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6F05" w14:textId="07DBD77B" w:rsidR="006A7D07" w:rsidRPr="00BE4143" w:rsidRDefault="00DB5798" w:rsidP="00DB5798">
      <w:pPr>
        <w:spacing w:line="240" w:lineRule="auto"/>
        <w:jc w:val="center"/>
        <w:rPr>
          <w:bCs/>
          <w:sz w:val="20"/>
        </w:rPr>
      </w:pPr>
      <w:bookmarkStart w:id="0" w:name="_Hlk140755983"/>
      <w:r w:rsidRPr="00BE4143">
        <w:rPr>
          <w:bCs/>
          <w:sz w:val="20"/>
        </w:rPr>
        <w:t>Filed 7/21/23</w:t>
      </w:r>
      <w:r w:rsidRPr="00DB5798">
        <w:rPr>
          <w:bCs/>
          <w:sz w:val="20"/>
        </w:rPr>
        <w:t>; REVIEW GRANTED.  See Cal. Rules of Court, rules 8.1105 and 8.1115 (and corresponding Comment, par. 2, concerning rule 8.1115(e)(3)).</w:t>
      </w:r>
    </w:p>
    <w:p w14:paraId="7B8A2DA8" w14:textId="249AC572" w:rsidR="001A4C33" w:rsidRPr="00BE4143" w:rsidRDefault="00DB5798" w:rsidP="001A4C33">
      <w:pPr>
        <w:spacing w:line="240" w:lineRule="auto"/>
        <w:rPr>
          <w:bCs/>
        </w:rPr>
      </w:pPr>
      <w:r w:rsidRPr="00BE4143">
        <w:rPr>
          <w:bCs/>
        </w:rPr>
        <w:t xml:space="preserve">See dissenting </w:t>
      </w:r>
      <w:proofErr w:type="gramStart"/>
      <w:r w:rsidRPr="00BE4143">
        <w:rPr>
          <w:bCs/>
        </w:rPr>
        <w:t>opinion</w:t>
      </w:r>
      <w:proofErr w:type="gramEnd"/>
    </w:p>
    <w:p w14:paraId="2F6EA1CA" w14:textId="13D20804" w:rsidR="000B0FF3" w:rsidRDefault="00DB5798" w:rsidP="000B0FF3">
      <w:pPr>
        <w:spacing w:line="240" w:lineRule="auto"/>
        <w:jc w:val="center"/>
        <w:rPr>
          <w:b/>
        </w:rPr>
      </w:pPr>
      <w:r>
        <w:rPr>
          <w:b/>
        </w:rPr>
        <w:t>CERTIFIED FOR PUBLICATION</w:t>
      </w:r>
    </w:p>
    <w:p w14:paraId="42417D34" w14:textId="77777777" w:rsidR="000B0FF3" w:rsidRPr="000A468E" w:rsidRDefault="000B0FF3" w:rsidP="000B0FF3">
      <w:pPr>
        <w:spacing w:line="240" w:lineRule="auto"/>
        <w:jc w:val="center"/>
        <w:rPr>
          <w:b/>
        </w:rPr>
      </w:pPr>
    </w:p>
    <w:p w14:paraId="656CFDEB" w14:textId="77777777" w:rsidR="000B0FF3" w:rsidRPr="000A468E" w:rsidRDefault="00DB5798" w:rsidP="000B0FF3">
      <w:pPr>
        <w:spacing w:line="240" w:lineRule="auto"/>
        <w:jc w:val="center"/>
        <w:rPr>
          <w:b/>
        </w:rPr>
      </w:pPr>
      <w:r w:rsidRPr="000A468E">
        <w:rPr>
          <w:b/>
        </w:rPr>
        <w:t>IN THE COURT OF APPEAL OF THE STATE OF CALIFORNIA</w:t>
      </w:r>
    </w:p>
    <w:p w14:paraId="21560BE5" w14:textId="77777777" w:rsidR="000B0FF3" w:rsidRPr="000A468E" w:rsidRDefault="000B0FF3" w:rsidP="000B0FF3">
      <w:pPr>
        <w:spacing w:line="240" w:lineRule="auto"/>
        <w:jc w:val="center"/>
        <w:rPr>
          <w:b/>
        </w:rPr>
      </w:pPr>
    </w:p>
    <w:p w14:paraId="7D131CC4" w14:textId="77777777" w:rsidR="000B0FF3" w:rsidRPr="000A468E" w:rsidRDefault="00DB5798" w:rsidP="000B0FF3">
      <w:pPr>
        <w:spacing w:line="240" w:lineRule="auto"/>
        <w:jc w:val="center"/>
        <w:rPr>
          <w:b/>
        </w:rPr>
      </w:pPr>
      <w:r w:rsidRPr="000A468E">
        <w:rPr>
          <w:b/>
        </w:rPr>
        <w:t>FOURTH APPELLATE DISTRICT</w:t>
      </w:r>
    </w:p>
    <w:p w14:paraId="61437D78" w14:textId="77777777" w:rsidR="000B0FF3" w:rsidRPr="000A468E" w:rsidRDefault="000B0FF3" w:rsidP="000B0FF3">
      <w:pPr>
        <w:spacing w:line="240" w:lineRule="auto"/>
        <w:jc w:val="center"/>
        <w:rPr>
          <w:b/>
        </w:rPr>
      </w:pPr>
    </w:p>
    <w:p w14:paraId="75313E94" w14:textId="77777777" w:rsidR="000B0FF3" w:rsidRPr="000A468E" w:rsidRDefault="00DB5798" w:rsidP="000B0FF3">
      <w:pPr>
        <w:spacing w:line="240" w:lineRule="auto"/>
        <w:jc w:val="center"/>
        <w:rPr>
          <w:b/>
        </w:rPr>
      </w:pPr>
      <w:r w:rsidRPr="000A468E">
        <w:rPr>
          <w:b/>
        </w:rPr>
        <w:t>DIVISION TWO</w:t>
      </w:r>
    </w:p>
    <w:p w14:paraId="7D3AB9BC" w14:textId="77777777" w:rsidR="000B0FF3" w:rsidRPr="000A468E" w:rsidRDefault="000B0FF3" w:rsidP="000B0FF3">
      <w:pPr>
        <w:spacing w:line="240" w:lineRule="auto"/>
        <w:jc w:val="center"/>
      </w:pPr>
    </w:p>
    <w:p w14:paraId="50F458CF" w14:textId="77777777" w:rsidR="000B0FF3" w:rsidRPr="000A468E" w:rsidRDefault="000B0FF3" w:rsidP="000B0FF3">
      <w:pPr>
        <w:spacing w:line="240" w:lineRule="auto"/>
        <w:jc w:val="center"/>
      </w:pPr>
    </w:p>
    <w:p w14:paraId="48FFCC40" w14:textId="77777777" w:rsidR="000B0FF3" w:rsidRPr="000A468E" w:rsidRDefault="000B0FF3" w:rsidP="000B0FF3">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627E3" w14:paraId="7D7D2198" w14:textId="77777777" w:rsidTr="00CD214C">
        <w:tc>
          <w:tcPr>
            <w:tcW w:w="4675" w:type="dxa"/>
            <w:tcBorders>
              <w:bottom w:val="single" w:sz="4" w:space="0" w:color="auto"/>
              <w:right w:val="single" w:sz="4" w:space="0" w:color="auto"/>
            </w:tcBorders>
            <w:shd w:val="clear" w:color="auto" w:fill="auto"/>
          </w:tcPr>
          <w:p w14:paraId="184B7EEE" w14:textId="1EE751B3" w:rsidR="000B0FF3" w:rsidRPr="000A468E" w:rsidRDefault="00DB5798" w:rsidP="00CD214C">
            <w:pPr>
              <w:spacing w:line="240" w:lineRule="auto"/>
            </w:pPr>
            <w:r w:rsidRPr="000A468E">
              <w:t>In re D</w:t>
            </w:r>
            <w:r w:rsidR="001F7DBC">
              <w:t xml:space="preserve">ELILA </w:t>
            </w:r>
            <w:r w:rsidRPr="000A468E">
              <w:t>D., a Person Coming Under the Juvenile Court Law.</w:t>
            </w:r>
          </w:p>
        </w:tc>
        <w:tc>
          <w:tcPr>
            <w:tcW w:w="4675" w:type="dxa"/>
            <w:tcBorders>
              <w:left w:val="single" w:sz="4" w:space="0" w:color="auto"/>
            </w:tcBorders>
            <w:shd w:val="clear" w:color="auto" w:fill="auto"/>
          </w:tcPr>
          <w:p w14:paraId="23513579" w14:textId="77777777" w:rsidR="000B0FF3" w:rsidRPr="000A468E" w:rsidRDefault="000B0FF3" w:rsidP="00CD214C">
            <w:pPr>
              <w:spacing w:line="240" w:lineRule="auto"/>
            </w:pPr>
          </w:p>
        </w:tc>
      </w:tr>
      <w:tr w:rsidR="00C627E3" w14:paraId="6F928E98" w14:textId="77777777" w:rsidTr="00CD214C">
        <w:tc>
          <w:tcPr>
            <w:tcW w:w="4675" w:type="dxa"/>
            <w:tcBorders>
              <w:bottom w:val="single" w:sz="4" w:space="0" w:color="auto"/>
              <w:right w:val="single" w:sz="4" w:space="0" w:color="auto"/>
            </w:tcBorders>
            <w:shd w:val="clear" w:color="auto" w:fill="auto"/>
          </w:tcPr>
          <w:p w14:paraId="447EBEBA" w14:textId="77777777" w:rsidR="000B0FF3" w:rsidRPr="000A468E" w:rsidRDefault="000B0FF3" w:rsidP="00CD214C">
            <w:pPr>
              <w:spacing w:line="240" w:lineRule="auto"/>
            </w:pPr>
          </w:p>
          <w:p w14:paraId="4D67BECF" w14:textId="77777777" w:rsidR="000B0FF3" w:rsidRPr="000A468E" w:rsidRDefault="00DB5798" w:rsidP="00CD214C">
            <w:pPr>
              <w:spacing w:line="240" w:lineRule="auto"/>
            </w:pPr>
            <w:r w:rsidRPr="000A468E">
              <w:t xml:space="preserve">RIVERSIDE COUNTY </w:t>
            </w:r>
            <w:r w:rsidRPr="000A468E">
              <w:t>DEPARTMENT OF PUBLIC SOCIAL SERVICES,</w:t>
            </w:r>
          </w:p>
          <w:p w14:paraId="200FF1DA" w14:textId="77777777" w:rsidR="000B0FF3" w:rsidRPr="000A468E" w:rsidRDefault="000B0FF3" w:rsidP="00CD214C">
            <w:pPr>
              <w:spacing w:line="240" w:lineRule="auto"/>
            </w:pPr>
          </w:p>
          <w:p w14:paraId="1EBE0C31" w14:textId="77777777" w:rsidR="000B0FF3" w:rsidRPr="000A468E" w:rsidRDefault="00DB5798" w:rsidP="00CD214C">
            <w:pPr>
              <w:spacing w:line="240" w:lineRule="auto"/>
            </w:pPr>
            <w:r w:rsidRPr="000A468E">
              <w:tab/>
              <w:t>Plaintiff and Respondent,</w:t>
            </w:r>
          </w:p>
          <w:p w14:paraId="7BE67F07" w14:textId="77777777" w:rsidR="000B0FF3" w:rsidRPr="000A468E" w:rsidRDefault="000B0FF3" w:rsidP="00CD214C">
            <w:pPr>
              <w:spacing w:line="240" w:lineRule="auto"/>
            </w:pPr>
          </w:p>
          <w:p w14:paraId="54A41778" w14:textId="77777777" w:rsidR="000B0FF3" w:rsidRPr="000A468E" w:rsidRDefault="00DB5798" w:rsidP="00CD214C">
            <w:pPr>
              <w:spacing w:line="240" w:lineRule="auto"/>
            </w:pPr>
            <w:r w:rsidRPr="000A468E">
              <w:t>v.</w:t>
            </w:r>
          </w:p>
          <w:p w14:paraId="36252E09" w14:textId="77777777" w:rsidR="000B0FF3" w:rsidRPr="000A468E" w:rsidRDefault="000B0FF3" w:rsidP="00CD214C">
            <w:pPr>
              <w:spacing w:line="240" w:lineRule="auto"/>
            </w:pPr>
          </w:p>
          <w:p w14:paraId="4B63E822" w14:textId="77777777" w:rsidR="000B0FF3" w:rsidRPr="000A468E" w:rsidRDefault="00DB5798" w:rsidP="00CD214C">
            <w:pPr>
              <w:spacing w:line="240" w:lineRule="auto"/>
            </w:pPr>
            <w:r w:rsidRPr="000A468E">
              <w:t>M.T.,</w:t>
            </w:r>
          </w:p>
          <w:p w14:paraId="52CD4A86" w14:textId="77777777" w:rsidR="000B0FF3" w:rsidRPr="000A468E" w:rsidRDefault="000B0FF3" w:rsidP="00CD214C">
            <w:pPr>
              <w:spacing w:line="240" w:lineRule="auto"/>
            </w:pPr>
          </w:p>
          <w:p w14:paraId="28B0DF48" w14:textId="77777777" w:rsidR="000B0FF3" w:rsidRPr="000A468E" w:rsidRDefault="00DB5798" w:rsidP="00CD214C">
            <w:pPr>
              <w:spacing w:line="240" w:lineRule="auto"/>
            </w:pPr>
            <w:r w:rsidRPr="000A468E">
              <w:tab/>
              <w:t>Defendant and Appellant.</w:t>
            </w:r>
          </w:p>
          <w:p w14:paraId="24729683" w14:textId="77777777" w:rsidR="000B0FF3" w:rsidRPr="000A468E" w:rsidRDefault="000B0FF3" w:rsidP="00CD214C">
            <w:pPr>
              <w:spacing w:line="240" w:lineRule="auto"/>
            </w:pPr>
          </w:p>
        </w:tc>
        <w:tc>
          <w:tcPr>
            <w:tcW w:w="4675" w:type="dxa"/>
            <w:tcBorders>
              <w:left w:val="single" w:sz="4" w:space="0" w:color="auto"/>
            </w:tcBorders>
            <w:shd w:val="clear" w:color="auto" w:fill="auto"/>
          </w:tcPr>
          <w:p w14:paraId="5B04F2C2" w14:textId="77777777" w:rsidR="000B0FF3" w:rsidRPr="000A468E" w:rsidRDefault="000B0FF3" w:rsidP="00CD214C">
            <w:pPr>
              <w:spacing w:line="240" w:lineRule="auto"/>
            </w:pPr>
          </w:p>
          <w:p w14:paraId="67E1EE24" w14:textId="77777777" w:rsidR="000B0FF3" w:rsidRPr="000A468E" w:rsidRDefault="000B0FF3" w:rsidP="00CD214C">
            <w:pPr>
              <w:spacing w:line="240" w:lineRule="auto"/>
            </w:pPr>
          </w:p>
          <w:p w14:paraId="6179C9F8" w14:textId="77777777" w:rsidR="000B0FF3" w:rsidRPr="000A468E" w:rsidRDefault="00DB5798" w:rsidP="00CD214C">
            <w:pPr>
              <w:spacing w:line="240" w:lineRule="auto"/>
            </w:pPr>
            <w:r w:rsidRPr="000A468E">
              <w:tab/>
            </w:r>
            <w:bookmarkStart w:id="1" w:name="_Hlk140846415"/>
            <w:r w:rsidRPr="000A468E">
              <w:t>E080389</w:t>
            </w:r>
            <w:bookmarkEnd w:id="1"/>
          </w:p>
          <w:p w14:paraId="184628B5" w14:textId="77777777" w:rsidR="000B0FF3" w:rsidRPr="000A468E" w:rsidRDefault="000B0FF3" w:rsidP="00CD214C">
            <w:pPr>
              <w:spacing w:line="240" w:lineRule="auto"/>
            </w:pPr>
          </w:p>
          <w:p w14:paraId="569453A9" w14:textId="77777777" w:rsidR="000B0FF3" w:rsidRPr="000A468E" w:rsidRDefault="00DB5798" w:rsidP="00CD214C">
            <w:pPr>
              <w:spacing w:line="240" w:lineRule="auto"/>
            </w:pPr>
            <w:r w:rsidRPr="000A468E">
              <w:tab/>
              <w:t>(</w:t>
            </w:r>
            <w:proofErr w:type="spellStart"/>
            <w:r w:rsidRPr="000A468E">
              <w:t>Super.Ct.No</w:t>
            </w:r>
            <w:proofErr w:type="spellEnd"/>
            <w:r w:rsidRPr="000A468E">
              <w:t>. RIJ118579)</w:t>
            </w:r>
          </w:p>
          <w:p w14:paraId="135A652C" w14:textId="77777777" w:rsidR="000B0FF3" w:rsidRPr="000A468E" w:rsidRDefault="000B0FF3" w:rsidP="00CD214C">
            <w:pPr>
              <w:spacing w:line="240" w:lineRule="auto"/>
            </w:pPr>
          </w:p>
          <w:p w14:paraId="0DE7F63F" w14:textId="77777777" w:rsidR="000B0FF3" w:rsidRPr="000A468E" w:rsidRDefault="00DB5798" w:rsidP="00CD214C">
            <w:pPr>
              <w:spacing w:line="240" w:lineRule="auto"/>
            </w:pPr>
            <w:r w:rsidRPr="000A468E">
              <w:tab/>
              <w:t>OPINION</w:t>
            </w:r>
          </w:p>
          <w:p w14:paraId="16DE7747" w14:textId="77777777" w:rsidR="000B0FF3" w:rsidRPr="000A468E" w:rsidRDefault="000B0FF3" w:rsidP="00CD214C">
            <w:pPr>
              <w:spacing w:line="240" w:lineRule="auto"/>
            </w:pPr>
          </w:p>
        </w:tc>
      </w:tr>
    </w:tbl>
    <w:p w14:paraId="64755913" w14:textId="77777777" w:rsidR="000B0FF3" w:rsidRPr="000A468E" w:rsidRDefault="000B0FF3" w:rsidP="000B0FF3">
      <w:pPr>
        <w:spacing w:line="480" w:lineRule="auto"/>
      </w:pPr>
    </w:p>
    <w:p w14:paraId="04E7117C" w14:textId="77777777" w:rsidR="000B0FF3" w:rsidRPr="000A468E" w:rsidRDefault="00DB5798" w:rsidP="000B0FF3">
      <w:pPr>
        <w:spacing w:line="480" w:lineRule="auto"/>
      </w:pPr>
      <w:r w:rsidRPr="000A468E">
        <w:tab/>
        <w:t>APPEAL from the Superior Court of Riverside County. Dorothy McLaughlin, Judge.</w:t>
      </w:r>
      <w:r>
        <w:t xml:space="preserve"> Conditionally reversed with directions.</w:t>
      </w:r>
    </w:p>
    <w:p w14:paraId="2F9684E2" w14:textId="77777777" w:rsidR="000B0FF3" w:rsidRPr="005A7042" w:rsidRDefault="00DB5798" w:rsidP="000B0FF3">
      <w:pPr>
        <w:spacing w:line="480" w:lineRule="auto"/>
        <w:ind w:firstLine="720"/>
      </w:pPr>
      <w:r w:rsidRPr="005A7042">
        <w:t>Rich Pfeiffer, under appointment by the Court of Appeal, for Defendant and</w:t>
      </w:r>
    </w:p>
    <w:p w14:paraId="3C74ACD7" w14:textId="77777777" w:rsidR="000B0FF3" w:rsidRPr="005A7042" w:rsidRDefault="00DB5798" w:rsidP="000B0FF3">
      <w:pPr>
        <w:spacing w:line="480" w:lineRule="auto"/>
      </w:pPr>
      <w:r w:rsidRPr="005A7042">
        <w:t>Appellant.</w:t>
      </w:r>
    </w:p>
    <w:p w14:paraId="63178CAB" w14:textId="77777777" w:rsidR="000B0FF3" w:rsidRPr="005A7042" w:rsidRDefault="00DB5798" w:rsidP="000B0FF3">
      <w:pPr>
        <w:spacing w:line="480" w:lineRule="auto"/>
        <w:ind w:firstLine="720"/>
      </w:pPr>
      <w:r w:rsidRPr="005A7042">
        <w:t xml:space="preserve">Minh C. Tran, County Counsel, Teresa </w:t>
      </w:r>
      <w:proofErr w:type="spellStart"/>
      <w:r w:rsidRPr="005A7042">
        <w:t>K.B</w:t>
      </w:r>
      <w:proofErr w:type="spellEnd"/>
      <w:r w:rsidRPr="005A7042">
        <w:t xml:space="preserve">. </w:t>
      </w:r>
      <w:proofErr w:type="gramStart"/>
      <w:r w:rsidRPr="005A7042">
        <w:t>Beecham</w:t>
      </w:r>
      <w:proofErr w:type="gramEnd"/>
      <w:r w:rsidRPr="005A7042">
        <w:t xml:space="preserve"> and Larisa R-McKenna,</w:t>
      </w:r>
    </w:p>
    <w:p w14:paraId="197C70CA" w14:textId="1A7193E7" w:rsidR="000B0FF3" w:rsidRPr="005A7042" w:rsidRDefault="00DB5798" w:rsidP="000B0FF3">
      <w:pPr>
        <w:spacing w:line="480" w:lineRule="auto"/>
      </w:pPr>
      <w:r w:rsidRPr="005A7042">
        <w:t>Deputy County Counsel</w:t>
      </w:r>
      <w:r>
        <w:t>,</w:t>
      </w:r>
      <w:r w:rsidRPr="005A7042">
        <w:t xml:space="preserve"> for Plaintiff and Respondent.</w:t>
      </w:r>
    </w:p>
    <w:p w14:paraId="55FFA1BD" w14:textId="77777777" w:rsidR="000B0FF3" w:rsidRPr="005A7042" w:rsidRDefault="000B0FF3" w:rsidP="000B0FF3">
      <w:pPr>
        <w:spacing w:line="480" w:lineRule="auto"/>
        <w:rPr>
          <w:highlight w:val="yellow"/>
        </w:rPr>
      </w:pPr>
    </w:p>
    <w:p w14:paraId="3384D173" w14:textId="3909A2C1" w:rsidR="000C43F9" w:rsidRDefault="000C43F9" w:rsidP="000B0FF3"/>
    <w:p w14:paraId="6895504E" w14:textId="52739553" w:rsidR="00CB72A1" w:rsidRDefault="00DB5798" w:rsidP="000C43F9">
      <w:pPr>
        <w:ind w:firstLine="720"/>
      </w:pPr>
      <w:r>
        <w:t xml:space="preserve">This case concerns a social worker’s duty to inquire whether a child involved in a dependency proceeding “is or may be an Indian child” under the </w:t>
      </w:r>
      <w:r w:rsidRPr="00E05071">
        <w:t>Indian Child Welfare Act</w:t>
      </w:r>
      <w:r>
        <w:t xml:space="preserve"> (</w:t>
      </w:r>
      <w:r w:rsidRPr="003C31D5">
        <w:t>25 U.S.C. § 1901 et seq.</w:t>
      </w:r>
      <w:r>
        <w:t>) (ICWA), a duty commonly referred to as the “initial inquir</w:t>
      </w:r>
      <w:r>
        <w:t>y.” (</w:t>
      </w:r>
      <w:proofErr w:type="spellStart"/>
      <w:r w:rsidRPr="00003EA2">
        <w:t>Welf</w:t>
      </w:r>
      <w:proofErr w:type="spellEnd"/>
      <w:r w:rsidRPr="00003EA2">
        <w:t xml:space="preserve">. &amp; Inst. Code, § </w:t>
      </w:r>
      <w:r>
        <w:t>224.2, subd. (a).)</w:t>
      </w:r>
      <w:r>
        <w:rPr>
          <w:rStyle w:val="FootnoteReference"/>
          <w:sz w:val="26"/>
          <w:szCs w:val="26"/>
          <w:vertAlign w:val="superscript"/>
        </w:rPr>
        <w:footnoteReference w:id="1"/>
      </w:r>
      <w:r>
        <w:t xml:space="preserve"> In 2018, our Legislature </w:t>
      </w:r>
      <w:r w:rsidR="00CB6B2F">
        <w:t>expanded</w:t>
      </w:r>
      <w:r w:rsidR="00765D8A">
        <w:t xml:space="preserve"> </w:t>
      </w:r>
      <w:r>
        <w:t>this duty as part of Assembly Bill No. 3176</w:t>
      </w:r>
      <w:r w:rsidR="00895F6D">
        <w:t xml:space="preserve"> </w:t>
      </w:r>
      <w:r w:rsidR="00895F6D" w:rsidRPr="00895F6D">
        <w:t>(2017-2018 Reg. Sess.)</w:t>
      </w:r>
      <w:r>
        <w:t xml:space="preserve">, </w:t>
      </w:r>
      <w:r w:rsidR="00C630C9">
        <w:t xml:space="preserve">which added various new ICWA-related provisions </w:t>
      </w:r>
      <w:r>
        <w:t>to the Welfare and Institutions Code</w:t>
      </w:r>
      <w:r w:rsidR="001E4A60">
        <w:t xml:space="preserve"> that became effective</w:t>
      </w:r>
      <w:r w:rsidR="00751141">
        <w:t xml:space="preserve"> January 1, 2019.</w:t>
      </w:r>
      <w:r w:rsidR="001E4A60">
        <w:t xml:space="preserve"> </w:t>
      </w:r>
      <w:r w:rsidR="00751141" w:rsidRPr="00751141">
        <w:t xml:space="preserve">(Stats. 2018, </w:t>
      </w:r>
      <w:proofErr w:type="spellStart"/>
      <w:r w:rsidR="00751141" w:rsidRPr="00751141">
        <w:t>ch.</w:t>
      </w:r>
      <w:proofErr w:type="spellEnd"/>
      <w:r w:rsidR="00751141" w:rsidRPr="00751141">
        <w:t xml:space="preserve"> 833 (A.B. 3176), § 5.)</w:t>
      </w:r>
    </w:p>
    <w:p w14:paraId="5B18EC57" w14:textId="4871637F" w:rsidR="000C43F9" w:rsidRDefault="00DB5798" w:rsidP="00CB72A1">
      <w:pPr>
        <w:ind w:firstLine="720"/>
      </w:pPr>
      <w:r>
        <w:t xml:space="preserve">Sponsored by a tribal coalition, </w:t>
      </w:r>
      <w:r w:rsidR="00CB72A1">
        <w:t>the new law</w:t>
      </w:r>
      <w:r>
        <w:t xml:space="preserve"> was designed to increase tribes’ opportunity to be involved in child custody cases involving Indian children by, among other things, expanding the scope</w:t>
      </w:r>
      <w:r>
        <w:t xml:space="preserve"> of the initial inquiry</w:t>
      </w:r>
      <w:r w:rsidR="00FB6CE8">
        <w:t xml:space="preserve"> beyond the child’s parents</w:t>
      </w:r>
      <w:r>
        <w:t xml:space="preserve">. </w:t>
      </w:r>
      <w:r w:rsidR="00CB72A1">
        <w:t>The new law</w:t>
      </w:r>
      <w:r>
        <w:t xml:space="preserve"> was also designed to bring California law into compliance with </w:t>
      </w:r>
      <w:r w:rsidR="00C630C9">
        <w:t>recent</w:t>
      </w:r>
      <w:r>
        <w:t xml:space="preserve"> federal </w:t>
      </w:r>
      <w:r w:rsidR="00AD0663">
        <w:t xml:space="preserve">ICWA </w:t>
      </w:r>
      <w:r>
        <w:t xml:space="preserve">regulations </w:t>
      </w:r>
      <w:r w:rsidR="00514851">
        <w:t xml:space="preserve">imposing </w:t>
      </w:r>
      <w:r w:rsidR="00E92FA5">
        <w:t>minimum</w:t>
      </w:r>
      <w:r w:rsidR="004C0209">
        <w:t xml:space="preserve"> </w:t>
      </w:r>
      <w:r w:rsidR="00514851">
        <w:t xml:space="preserve">requirements </w:t>
      </w:r>
      <w:r>
        <w:t xml:space="preserve">to </w:t>
      </w:r>
      <w:r w:rsidR="00AD0663">
        <w:t xml:space="preserve">state court </w:t>
      </w:r>
      <w:r w:rsidR="000C028F">
        <w:t>emergency proc</w:t>
      </w:r>
      <w:r w:rsidR="00963848">
        <w:t>e</w:t>
      </w:r>
      <w:r w:rsidR="000C028F">
        <w:t>edings</w:t>
      </w:r>
      <w:r w:rsidR="00AD0663">
        <w:t xml:space="preserve"> involving Indian children</w:t>
      </w:r>
      <w:r w:rsidRPr="0037706A">
        <w:t xml:space="preserve">. </w:t>
      </w:r>
      <w:r w:rsidR="0037706A" w:rsidRPr="0037706A">
        <w:t>T</w:t>
      </w:r>
      <w:r w:rsidR="00612786" w:rsidRPr="0037706A">
        <w:t>o achieve these purposes</w:t>
      </w:r>
      <w:r w:rsidR="00FB6CE8" w:rsidRPr="0037706A">
        <w:t xml:space="preserve">, </w:t>
      </w:r>
      <w:r w:rsidRPr="0037706A">
        <w:t>A.B. 3176 impos</w:t>
      </w:r>
      <w:r w:rsidR="00FB6CE8" w:rsidRPr="0037706A">
        <w:t>ed</w:t>
      </w:r>
      <w:r w:rsidRPr="0037706A">
        <w:t xml:space="preserve"> new </w:t>
      </w:r>
      <w:r w:rsidR="00A4496E" w:rsidRPr="0037706A">
        <w:t xml:space="preserve">ICWA-related requirements </w:t>
      </w:r>
      <w:r w:rsidRPr="0037706A">
        <w:t>for the temporary</w:t>
      </w:r>
      <w:r>
        <w:t xml:space="preserve"> custody and detention of Indian children and expanded the initial inquiry to include “</w:t>
      </w:r>
      <w:r w:rsidRPr="00463DE3">
        <w:t>extended family members, others who have an interest in the child, and the party reporting child abuse or neglect</w:t>
      </w:r>
      <w:r>
        <w:t>.” (§</w:t>
      </w:r>
      <w:r w:rsidR="008C635C">
        <w:t> </w:t>
      </w:r>
      <w:r>
        <w:t>224.2, subd. (b)</w:t>
      </w:r>
      <w:r w:rsidR="00533BC0">
        <w:t>; see also §§ 306, 319</w:t>
      </w:r>
      <w:r>
        <w:t>.)</w:t>
      </w:r>
    </w:p>
    <w:p w14:paraId="662F9F38" w14:textId="1298A08E" w:rsidR="000C43F9" w:rsidRDefault="00DB5798" w:rsidP="002E2198">
      <w:pPr>
        <w:ind w:firstLine="720"/>
      </w:pPr>
      <w:r>
        <w:t xml:space="preserve">At issue </w:t>
      </w:r>
      <w:r>
        <w:t xml:space="preserve">in this appeal is whether the initial inquiry encompasses available extended family members in </w:t>
      </w:r>
      <w:r w:rsidRPr="00332B0A">
        <w:rPr>
          <w:i/>
          <w:iCs/>
        </w:rPr>
        <w:t>every</w:t>
      </w:r>
      <w:r>
        <w:t xml:space="preserve"> </w:t>
      </w:r>
      <w:r w:rsidRPr="001E7496">
        <w:t>proceeding</w:t>
      </w:r>
      <w:r w:rsidR="005F48D6" w:rsidRPr="001E7496">
        <w:t xml:space="preserve"> where a child is removed from home</w:t>
      </w:r>
      <w:r w:rsidRPr="001E7496">
        <w:t xml:space="preserve"> or in </w:t>
      </w:r>
      <w:r w:rsidRPr="001E7496">
        <w:lastRenderedPageBreak/>
        <w:t>only those cases where the social worker takes</w:t>
      </w:r>
      <w:r>
        <w:t xml:space="preserve"> temporary custody of the child without a warrant under e</w:t>
      </w:r>
      <w:r>
        <w:t xml:space="preserve">xigent circumstances, as our court recently held in </w:t>
      </w:r>
      <w:r w:rsidRPr="002E54E2">
        <w:rPr>
          <w:i/>
          <w:iCs/>
        </w:rPr>
        <w:t>In re Robert F.</w:t>
      </w:r>
      <w:r w:rsidRPr="00A27A2A">
        <w:t xml:space="preserve"> (2023) </w:t>
      </w:r>
      <w:r>
        <w:t>90</w:t>
      </w:r>
      <w:r w:rsidRPr="00A27A2A">
        <w:t xml:space="preserve"> Cal.App.5th </w:t>
      </w:r>
      <w:r>
        <w:t>492</w:t>
      </w:r>
      <w:r w:rsidRPr="00A27A2A">
        <w:t xml:space="preserve"> (</w:t>
      </w:r>
      <w:r w:rsidRPr="002E54E2">
        <w:rPr>
          <w:i/>
          <w:iCs/>
        </w:rPr>
        <w:t>Robert F.</w:t>
      </w:r>
      <w:r w:rsidRPr="00A27A2A">
        <w:t>)</w:t>
      </w:r>
      <w:r>
        <w:t xml:space="preserve">. </w:t>
      </w:r>
      <w:r w:rsidR="00C4033C">
        <w:t xml:space="preserve">In this case, the child was initially taken into the custody </w:t>
      </w:r>
      <w:r w:rsidR="005111EE" w:rsidRPr="00215D0C">
        <w:t xml:space="preserve">of the Riverside County Department of Public Social Services (the department) </w:t>
      </w:r>
      <w:r w:rsidR="00226718">
        <w:t xml:space="preserve">by </w:t>
      </w:r>
      <w:r w:rsidR="00533BC0">
        <w:t xml:space="preserve">protective custody </w:t>
      </w:r>
      <w:r w:rsidR="00226718">
        <w:t>warrant before being detained</w:t>
      </w:r>
      <w:r w:rsidR="0054570B">
        <w:t xml:space="preserve"> by the juvenile court</w:t>
      </w:r>
      <w:r w:rsidR="00226718">
        <w:t xml:space="preserve"> </w:t>
      </w:r>
      <w:r w:rsidR="0054570B">
        <w:t xml:space="preserve">and </w:t>
      </w:r>
      <w:r w:rsidR="008A3335">
        <w:t>later</w:t>
      </w:r>
      <w:r w:rsidR="00226718">
        <w:t xml:space="preserve"> </w:t>
      </w:r>
      <w:r w:rsidR="001126E4">
        <w:t xml:space="preserve">removed at disposition. </w:t>
      </w:r>
      <w:r w:rsidR="00C53863">
        <w:t>Reunification efforts failed</w:t>
      </w:r>
      <w:r w:rsidR="00BE1279">
        <w:t>,</w:t>
      </w:r>
      <w:r w:rsidR="00C53863">
        <w:t xml:space="preserve"> and the juvenile court </w:t>
      </w:r>
      <w:r w:rsidR="008C7D53">
        <w:t xml:space="preserve">ultimately terminated parental rights and freed the child for adoption. </w:t>
      </w:r>
      <w:r w:rsidR="001126E4">
        <w:t xml:space="preserve">Relying on </w:t>
      </w:r>
      <w:r w:rsidR="001126E4" w:rsidRPr="00C53863">
        <w:rPr>
          <w:i/>
          <w:iCs/>
        </w:rPr>
        <w:t>Robert F.</w:t>
      </w:r>
      <w:r w:rsidR="001126E4">
        <w:t>, the department argues th</w:t>
      </w:r>
      <w:r w:rsidR="00A260BD">
        <w:t xml:space="preserve">at because the child wasn’t </w:t>
      </w:r>
      <w:r w:rsidR="00A260BD" w:rsidRPr="00D41FFE">
        <w:t>initially</w:t>
      </w:r>
      <w:r w:rsidR="00A260BD">
        <w:t xml:space="preserve"> </w:t>
      </w:r>
      <w:r w:rsidR="00D41FFE">
        <w:t>removed from home without a warrant</w:t>
      </w:r>
      <w:r w:rsidR="00A260BD">
        <w:t xml:space="preserve">, </w:t>
      </w:r>
      <w:r w:rsidR="00131F75">
        <w:t xml:space="preserve">the </w:t>
      </w:r>
      <w:r w:rsidR="00533BC0">
        <w:t>duty to interview</w:t>
      </w:r>
      <w:r w:rsidR="00264262">
        <w:t xml:space="preserve"> </w:t>
      </w:r>
      <w:r w:rsidR="00D41FFE">
        <w:t xml:space="preserve">available </w:t>
      </w:r>
      <w:r w:rsidR="00D3751D">
        <w:t xml:space="preserve">to </w:t>
      </w:r>
      <w:r w:rsidR="001126E4">
        <w:t xml:space="preserve">extended family members </w:t>
      </w:r>
      <w:r w:rsidR="00533BC0">
        <w:t>never arose</w:t>
      </w:r>
      <w:r w:rsidR="00C53863">
        <w:t>.</w:t>
      </w:r>
    </w:p>
    <w:p w14:paraId="4BFC0A79" w14:textId="10D25A92" w:rsidR="000C43F9" w:rsidRDefault="00DB5798" w:rsidP="0033587F">
      <w:pPr>
        <w:ind w:firstLine="720"/>
      </w:pPr>
      <w:r>
        <w:t xml:space="preserve">We conclude </w:t>
      </w:r>
      <w:r w:rsidR="007C673C">
        <w:t>the</w:t>
      </w:r>
      <w:r w:rsidR="00E4763B">
        <w:t xml:space="preserve">re is only one duty of </w:t>
      </w:r>
      <w:r w:rsidR="00FA025E">
        <w:t>initial inquiry</w:t>
      </w:r>
      <w:r w:rsidR="00E4763B">
        <w:t>,</w:t>
      </w:r>
      <w:r w:rsidR="00FA025E">
        <w:t xml:space="preserve"> </w:t>
      </w:r>
      <w:r w:rsidR="00E4763B">
        <w:t xml:space="preserve">and that duty </w:t>
      </w:r>
      <w:r w:rsidR="00561936">
        <w:t>encompasses available extended family members</w:t>
      </w:r>
      <w:r>
        <w:t xml:space="preserve"> no matter how the child </w:t>
      </w:r>
      <w:r w:rsidR="00402AA2">
        <w:t>is initially removed</w:t>
      </w:r>
      <w:r w:rsidR="00CF7F92">
        <w:t xml:space="preserve"> from</w:t>
      </w:r>
      <w:r w:rsidR="00561936">
        <w:t xml:space="preserve"> </w:t>
      </w:r>
      <w:r w:rsidR="00CF7F92">
        <w:t>home</w:t>
      </w:r>
      <w:r>
        <w:t xml:space="preserve">. </w:t>
      </w:r>
      <w:r w:rsidR="003C0521">
        <w:t xml:space="preserve">Applying </w:t>
      </w:r>
      <w:r w:rsidR="008C33BE">
        <w:t>a narrower initial inquiry to</w:t>
      </w:r>
      <w:r>
        <w:t xml:space="preserve"> </w:t>
      </w:r>
      <w:r w:rsidR="00561936">
        <w:t>the</w:t>
      </w:r>
      <w:r>
        <w:t xml:space="preserve"> subset of dependencies </w:t>
      </w:r>
      <w:r w:rsidR="003C67D4">
        <w:t xml:space="preserve">that begin with a temporary removal </w:t>
      </w:r>
      <w:r w:rsidR="00E745FD">
        <w:t>by warrant</w:t>
      </w:r>
      <w:r w:rsidR="00533BC0">
        <w:t xml:space="preserve"> frustrates the purpose of the initial inquiry and</w:t>
      </w:r>
      <w:r w:rsidR="003C67D4">
        <w:t xml:space="preserve"> </w:t>
      </w:r>
      <w:r w:rsidR="0033587F">
        <w:t>“den[</w:t>
      </w:r>
      <w:proofErr w:type="spellStart"/>
      <w:r w:rsidR="0033587F">
        <w:t>ies</w:t>
      </w:r>
      <w:proofErr w:type="spellEnd"/>
      <w:r w:rsidR="0033587F">
        <w:t xml:space="preserve">] tribes </w:t>
      </w:r>
      <w:r w:rsidR="000C789F" w:rsidRPr="000C789F">
        <w:t xml:space="preserve">the benefit of </w:t>
      </w:r>
      <w:r w:rsidR="00BB1191">
        <w:t>the</w:t>
      </w:r>
      <w:r w:rsidR="000C789F" w:rsidRPr="000C789F">
        <w:t xml:space="preserve"> statutory promise</w:t>
      </w:r>
      <w:r w:rsidR="000C789F">
        <w:t xml:space="preserve">” </w:t>
      </w:r>
      <w:r w:rsidR="00BB1191">
        <w:t>of A.B. 3176</w:t>
      </w:r>
      <w:r w:rsidR="00F66C88">
        <w:t xml:space="preserve">. </w:t>
      </w:r>
      <w:r w:rsidR="0033587F">
        <w:t>(</w:t>
      </w:r>
      <w:r w:rsidR="0033587F" w:rsidRPr="0033587F">
        <w:rPr>
          <w:i/>
          <w:iCs/>
        </w:rPr>
        <w:t>In re S.S.</w:t>
      </w:r>
      <w:r w:rsidR="0033587F">
        <w:t xml:space="preserve"> (2023) 90 Cal.App.5th 694, 711</w:t>
      </w:r>
      <w:r w:rsidR="00397C46">
        <w:t xml:space="preserve"> (</w:t>
      </w:r>
      <w:r w:rsidR="00397C46" w:rsidRPr="00397C46">
        <w:rPr>
          <w:i/>
          <w:iCs/>
        </w:rPr>
        <w:t>S.S.</w:t>
      </w:r>
      <w:r w:rsidR="00397C46">
        <w:t>)</w:t>
      </w:r>
      <w:r w:rsidR="0033587F">
        <w:t xml:space="preserve">.) </w:t>
      </w:r>
      <w:r w:rsidR="008120E3">
        <w:t>T</w:t>
      </w:r>
      <w:r>
        <w:t>he goal of the initial inquiry is to determine whether ICWA</w:t>
      </w:r>
      <w:r w:rsidR="008120E3">
        <w:t>’s protections</w:t>
      </w:r>
      <w:r>
        <w:t xml:space="preserve"> may apply</w:t>
      </w:r>
      <w:r w:rsidR="002F0017">
        <w:t xml:space="preserve"> to the proceeding</w:t>
      </w:r>
      <w:r w:rsidR="008120E3">
        <w:t xml:space="preserve">, </w:t>
      </w:r>
      <w:r>
        <w:t xml:space="preserve">and the way a child is initially removed from home has </w:t>
      </w:r>
      <w:r w:rsidR="00533BC0">
        <w:t>no bearing on</w:t>
      </w:r>
      <w:r>
        <w:t xml:space="preserve"> </w:t>
      </w:r>
      <w:r w:rsidR="00533BC0">
        <w:t>the question of whether they may be</w:t>
      </w:r>
      <w:r>
        <w:t xml:space="preserve"> an Indian child. </w:t>
      </w:r>
      <w:r w:rsidR="007F7186">
        <w:t>The holding of</w:t>
      </w:r>
      <w:r w:rsidR="00EE004E">
        <w:t xml:space="preserve"> </w:t>
      </w:r>
      <w:r w:rsidR="00BB0092" w:rsidRPr="00A86DA9">
        <w:rPr>
          <w:i/>
          <w:iCs/>
        </w:rPr>
        <w:t>Robert F</w:t>
      </w:r>
      <w:r w:rsidR="00BB0092">
        <w:t>.</w:t>
      </w:r>
      <w:r w:rsidR="007F7186">
        <w:t xml:space="preserve"> is, in our view, </w:t>
      </w:r>
      <w:r>
        <w:t xml:space="preserve">contrary to </w:t>
      </w:r>
      <w:r w:rsidR="00561936">
        <w:t xml:space="preserve">both </w:t>
      </w:r>
      <w:r>
        <w:t>the letter and spirit of A.B. 3176</w:t>
      </w:r>
      <w:r w:rsidR="00A95E36">
        <w:t>.</w:t>
      </w:r>
    </w:p>
    <w:p w14:paraId="61A35581" w14:textId="3F66875A" w:rsidR="00A95E36" w:rsidRDefault="00DB5798" w:rsidP="005F7F22">
      <w:pPr>
        <w:keepNext/>
        <w:keepLines/>
        <w:ind w:firstLine="720"/>
      </w:pPr>
      <w:r>
        <w:lastRenderedPageBreak/>
        <w:t xml:space="preserve">Because the department </w:t>
      </w:r>
      <w:r w:rsidR="00561936">
        <w:t xml:space="preserve">in this case </w:t>
      </w:r>
      <w:r>
        <w:t>fai</w:t>
      </w:r>
      <w:r>
        <w:t>led to ask</w:t>
      </w:r>
      <w:r w:rsidR="00FB4A83">
        <w:t xml:space="preserve"> the child’s</w:t>
      </w:r>
      <w:r>
        <w:t xml:space="preserve"> available extended family members </w:t>
      </w:r>
      <w:r w:rsidR="0058154A">
        <w:t>whether the child has any Native American ancestry</w:t>
      </w:r>
      <w:r w:rsidR="00FB4A83">
        <w:t xml:space="preserve">, we conditionally reverse the order </w:t>
      </w:r>
      <w:r w:rsidR="0030353B">
        <w:t>terminating parental rights and remand</w:t>
      </w:r>
      <w:r w:rsidR="00EB46D5">
        <w:t xml:space="preserve"> </w:t>
      </w:r>
      <w:r w:rsidR="00561936">
        <w:t>for</w:t>
      </w:r>
      <w:r w:rsidR="00EB46D5">
        <w:t xml:space="preserve"> the juvenile court </w:t>
      </w:r>
      <w:r w:rsidR="00561936">
        <w:t xml:space="preserve">to direct </w:t>
      </w:r>
      <w:r w:rsidR="00EB46D5">
        <w:t xml:space="preserve">the department to complete </w:t>
      </w:r>
      <w:r w:rsidR="00F63DC1">
        <w:t xml:space="preserve">its </w:t>
      </w:r>
      <w:r w:rsidR="00EB46D5">
        <w:t>investigation.</w:t>
      </w:r>
    </w:p>
    <w:p w14:paraId="1F2AA9B6" w14:textId="77777777" w:rsidR="000C43F9" w:rsidRPr="00AB41FB" w:rsidRDefault="00DB5798" w:rsidP="000C43F9">
      <w:pPr>
        <w:jc w:val="center"/>
        <w:rPr>
          <w:b/>
          <w:bCs/>
        </w:rPr>
      </w:pPr>
      <w:r w:rsidRPr="00AB41FB">
        <w:rPr>
          <w:b/>
          <w:bCs/>
        </w:rPr>
        <w:t>I</w:t>
      </w:r>
    </w:p>
    <w:p w14:paraId="42BD7838" w14:textId="77777777" w:rsidR="000C43F9" w:rsidRDefault="00DB5798" w:rsidP="000C43F9">
      <w:pPr>
        <w:jc w:val="center"/>
      </w:pPr>
      <w:r w:rsidRPr="00AB41FB">
        <w:rPr>
          <w:b/>
          <w:bCs/>
        </w:rPr>
        <w:t>FACTS</w:t>
      </w:r>
    </w:p>
    <w:p w14:paraId="68D380D2" w14:textId="0E591115" w:rsidR="000C43F9" w:rsidRDefault="00DB5798" w:rsidP="009068BF">
      <w:pPr>
        <w:ind w:firstLine="720"/>
      </w:pPr>
      <w:r>
        <w:t>The subject of this dependency is D</w:t>
      </w:r>
      <w:r w:rsidR="001F7DBC">
        <w:t>elila D</w:t>
      </w:r>
      <w:r>
        <w:t xml:space="preserve">., </w:t>
      </w:r>
      <w:r w:rsidR="00FB39AF">
        <w:t>whose m</w:t>
      </w:r>
      <w:r>
        <w:t>other</w:t>
      </w:r>
      <w:r w:rsidR="000B0FF3">
        <w:t xml:space="preserve">, </w:t>
      </w:r>
      <w:r w:rsidR="00FB39AF">
        <w:t>M.T.</w:t>
      </w:r>
      <w:r w:rsidR="00CC5841">
        <w:t xml:space="preserve"> </w:t>
      </w:r>
      <w:r w:rsidR="000B0FF3">
        <w:t>(</w:t>
      </w:r>
      <w:r w:rsidR="00CC5841">
        <w:t>mother</w:t>
      </w:r>
      <w:r w:rsidR="00FE6137">
        <w:t>)</w:t>
      </w:r>
      <w:r w:rsidR="00F11519">
        <w:t>,</w:t>
      </w:r>
      <w:r>
        <w:t xml:space="preserve"> and </w:t>
      </w:r>
      <w:r w:rsidR="00FE6137">
        <w:t>f</w:t>
      </w:r>
      <w:r>
        <w:t>ather</w:t>
      </w:r>
      <w:r w:rsidR="001F7DBC">
        <w:t>,</w:t>
      </w:r>
      <w:r w:rsidR="00FE6137">
        <w:t xml:space="preserve"> </w:t>
      </w:r>
      <w:r>
        <w:t>M.D.</w:t>
      </w:r>
      <w:r w:rsidR="001F7DBC">
        <w:t xml:space="preserve"> (father)</w:t>
      </w:r>
      <w:r w:rsidR="00F11519">
        <w:t>,</w:t>
      </w:r>
      <w:r>
        <w:t xml:space="preserve"> have a history of methamphetamine use and homelessness. </w:t>
      </w:r>
      <w:r w:rsidR="00F751CA">
        <w:t xml:space="preserve">Before </w:t>
      </w:r>
      <w:r w:rsidR="00A5390A">
        <w:t>this proceeding</w:t>
      </w:r>
      <w:r>
        <w:t xml:space="preserve"> began, </w:t>
      </w:r>
      <w:r w:rsidR="009068BF">
        <w:t xml:space="preserve">mother and father </w:t>
      </w:r>
      <w:r>
        <w:t xml:space="preserve">signed a caregiver’s affidavit giving mother’s friend, Amanda, permission to care for </w:t>
      </w:r>
      <w:r w:rsidR="009068BF">
        <w:t>Deli</w:t>
      </w:r>
      <w:r w:rsidR="00D83AB6">
        <w:t>l</w:t>
      </w:r>
      <w:r w:rsidR="009068BF">
        <w:t>a</w:t>
      </w:r>
      <w:r w:rsidR="00301313">
        <w:t>.</w:t>
      </w:r>
      <w:r w:rsidR="009068BF">
        <w:t xml:space="preserve"> On </w:t>
      </w:r>
      <w:r>
        <w:t xml:space="preserve">January 22, 2021, </w:t>
      </w:r>
      <w:r w:rsidR="009068BF">
        <w:t xml:space="preserve">the department </w:t>
      </w:r>
      <w:r>
        <w:t xml:space="preserve">received a referral </w:t>
      </w:r>
      <w:r w:rsidR="009068BF">
        <w:t xml:space="preserve">alleging </w:t>
      </w:r>
      <w:r>
        <w:t>that Amanda’s boyfriend was sexually abusing D</w:t>
      </w:r>
      <w:r w:rsidR="001F7DBC">
        <w:t>elila</w:t>
      </w:r>
      <w:r>
        <w:t xml:space="preserve"> and her half</w:t>
      </w:r>
      <w:r w:rsidR="0065314F">
        <w:t xml:space="preserve"> </w:t>
      </w:r>
      <w:r>
        <w:t xml:space="preserve">sibling. At the time, </w:t>
      </w:r>
      <w:r w:rsidR="002A04BB">
        <w:t>the half</w:t>
      </w:r>
      <w:r w:rsidR="0065314F">
        <w:t xml:space="preserve"> </w:t>
      </w:r>
      <w:r w:rsidR="002A04BB">
        <w:t>sibling</w:t>
      </w:r>
      <w:r>
        <w:t xml:space="preserve"> was living with the maternal uncle, A.M. As part of </w:t>
      </w:r>
      <w:r w:rsidRPr="001825D2">
        <w:t>her investigation</w:t>
      </w:r>
      <w:r>
        <w:t xml:space="preserve">, the social worker interviewed </w:t>
      </w:r>
      <w:r w:rsidR="002A04BB">
        <w:t>the half</w:t>
      </w:r>
      <w:r w:rsidR="0065314F">
        <w:t xml:space="preserve"> </w:t>
      </w:r>
      <w:r w:rsidR="002A04BB">
        <w:t>sibling</w:t>
      </w:r>
      <w:r>
        <w:t xml:space="preserve"> and the maternal uncle, and both confirmed the allegations of sexual abuse.</w:t>
      </w:r>
    </w:p>
    <w:p w14:paraId="1501F9FE" w14:textId="5B6350AD" w:rsidR="000C43F9" w:rsidRDefault="00DB5798" w:rsidP="000C43F9">
      <w:pPr>
        <w:ind w:firstLine="720"/>
      </w:pPr>
      <w:r>
        <w:t>On January 24, 202</w:t>
      </w:r>
      <w:r w:rsidR="000B0FF3">
        <w:t>1</w:t>
      </w:r>
      <w:r>
        <w:t>, the social worker obtained a prote</w:t>
      </w:r>
      <w:r>
        <w:t>ctive custody warrant for D</w:t>
      </w:r>
      <w:r w:rsidR="001F7DBC">
        <w:t>elila</w:t>
      </w:r>
      <w:r>
        <w:t xml:space="preserve">, and the following day, </w:t>
      </w:r>
      <w:r w:rsidR="002A04BB">
        <w:t>the department</w:t>
      </w:r>
      <w:r>
        <w:t xml:space="preserve"> placed </w:t>
      </w:r>
      <w:r w:rsidR="0043139D">
        <w:t>her</w:t>
      </w:r>
      <w:r>
        <w:t xml:space="preserve"> in a confidential foster home. Both mother and father denied having any </w:t>
      </w:r>
      <w:r w:rsidR="0058154A">
        <w:t xml:space="preserve">Native American </w:t>
      </w:r>
      <w:r>
        <w:t>ancestry.</w:t>
      </w:r>
    </w:p>
    <w:p w14:paraId="07E048DD" w14:textId="5B298247" w:rsidR="000C43F9" w:rsidRDefault="00DB5798" w:rsidP="000C43F9">
      <w:pPr>
        <w:ind w:firstLine="720"/>
      </w:pPr>
      <w:r>
        <w:t>On January 27, 2021, the department filed a dependency petition on behalf o</w:t>
      </w:r>
      <w:r>
        <w:t>f D</w:t>
      </w:r>
      <w:r w:rsidR="001F7DBC">
        <w:t>elila</w:t>
      </w:r>
      <w:r>
        <w:t>, alleging she fell within the meaning of section 300, subdivision (b) (failure to protect). The juvenile court held the detention hearing the following day</w:t>
      </w:r>
      <w:r w:rsidR="007657FF">
        <w:t xml:space="preserve"> and </w:t>
      </w:r>
      <w:r>
        <w:t>found a prima facie case to detain D</w:t>
      </w:r>
      <w:r w:rsidR="001F7DBC">
        <w:t>elila</w:t>
      </w:r>
      <w:r>
        <w:t xml:space="preserve"> from her parents</w:t>
      </w:r>
      <w:r w:rsidR="007657FF">
        <w:t>.</w:t>
      </w:r>
    </w:p>
    <w:p w14:paraId="4257F39E" w14:textId="2D29ADA8" w:rsidR="000C43F9" w:rsidRDefault="00DB5798" w:rsidP="008D24D9">
      <w:pPr>
        <w:keepNext/>
        <w:keepLines/>
        <w:ind w:firstLine="720"/>
      </w:pPr>
      <w:r>
        <w:lastRenderedPageBreak/>
        <w:t>In a jurisdiction and dispo</w:t>
      </w:r>
      <w:r>
        <w:t>sition report filed on February 18, 2021, the social worker listed the names and contact information of seven relatives she had attempted to notify about D</w:t>
      </w:r>
      <w:r w:rsidR="001F7DBC">
        <w:t>elila</w:t>
      </w:r>
      <w:r>
        <w:t xml:space="preserve">’s detention and interview about potential placement. </w:t>
      </w:r>
      <w:r w:rsidR="00A3323B">
        <w:t>S</w:t>
      </w:r>
      <w:r>
        <w:t>he had received no response to the letter</w:t>
      </w:r>
      <w:r>
        <w:t>s she had sent</w:t>
      </w:r>
      <w:r w:rsidR="00A3323B">
        <w:t xml:space="preserve"> to </w:t>
      </w:r>
      <w:r w:rsidR="001F7F1C">
        <w:t>the mailing addresses she had on file</w:t>
      </w:r>
      <w:r w:rsidR="0058154A">
        <w:t xml:space="preserve">, and </w:t>
      </w:r>
      <w:r w:rsidR="00B94211">
        <w:t xml:space="preserve">she </w:t>
      </w:r>
      <w:r>
        <w:t>was unable to reach any of the individuals by phone, as the numbers were either wrong or no longer in service.</w:t>
      </w:r>
    </w:p>
    <w:p w14:paraId="4329CA1E" w14:textId="70FD65C2" w:rsidR="000C43F9" w:rsidRDefault="00DB5798" w:rsidP="000C43F9">
      <w:pPr>
        <w:ind w:firstLine="720"/>
      </w:pPr>
      <w:r>
        <w:t>On April 2, 2021, the juvenile court declared D</w:t>
      </w:r>
      <w:r w:rsidR="001F7DBC">
        <w:t>elila</w:t>
      </w:r>
      <w:r>
        <w:t xml:space="preserve"> a dependent under section 3</w:t>
      </w:r>
      <w:r>
        <w:t>00, subdivision (b), removed her from her parents’ care, ordered family reunification services for both mother and father, and found ICWA did not apply. During the reunification period, the department placed D</w:t>
      </w:r>
      <w:r w:rsidR="00BD0E9A">
        <w:t>elila</w:t>
      </w:r>
      <w:r>
        <w:t xml:space="preserve"> with </w:t>
      </w:r>
      <w:r w:rsidR="00146152">
        <w:t>her half sibling</w:t>
      </w:r>
      <w:r>
        <w:t>, E., in the home of</w:t>
      </w:r>
      <w:r>
        <w:t xml:space="preserve"> </w:t>
      </w:r>
      <w:proofErr w:type="spellStart"/>
      <w:r>
        <w:t>E.’s</w:t>
      </w:r>
      <w:proofErr w:type="spellEnd"/>
      <w:r>
        <w:t xml:space="preserve"> paternal grandmother</w:t>
      </w:r>
      <w:r w:rsidR="0058154A">
        <w:t xml:space="preserve"> (</w:t>
      </w:r>
      <w:r>
        <w:t>to whom D</w:t>
      </w:r>
      <w:r w:rsidR="00BD0E9A">
        <w:t>elila</w:t>
      </w:r>
      <w:r>
        <w:t xml:space="preserve"> is not biologically related). D</w:t>
      </w:r>
      <w:r w:rsidR="003C1B47">
        <w:t>elila</w:t>
      </w:r>
      <w:r>
        <w:t xml:space="preserve"> thrived in </w:t>
      </w:r>
      <w:r w:rsidR="0058154A">
        <w:t xml:space="preserve">the </w:t>
      </w:r>
      <w:r w:rsidR="006E32CE">
        <w:t>caretaker’s</w:t>
      </w:r>
      <w:r w:rsidR="0058154A">
        <w:t xml:space="preserve"> </w:t>
      </w:r>
      <w:r>
        <w:t xml:space="preserve">home, and </w:t>
      </w:r>
      <w:r w:rsidR="006E32CE">
        <w:t xml:space="preserve">the caretaker </w:t>
      </w:r>
      <w:r>
        <w:t>wanted to adopt her.</w:t>
      </w:r>
    </w:p>
    <w:p w14:paraId="353BB2F2" w14:textId="564BB6EE" w:rsidR="000C43F9" w:rsidRDefault="00DB5798" w:rsidP="000C43F9">
      <w:pPr>
        <w:ind w:firstLine="720"/>
      </w:pPr>
      <w:r>
        <w:t xml:space="preserve">Reunification efforts were unsuccessful for both parents, and on November 22, 2022, the court held a </w:t>
      </w:r>
      <w:r>
        <w:t>selection and implementation hearing at which it terminated parental rights and ordered adoption as D</w:t>
      </w:r>
      <w:r w:rsidR="00BD0E9A">
        <w:t>elila</w:t>
      </w:r>
      <w:r>
        <w:t>’s permanent plan.</w:t>
      </w:r>
    </w:p>
    <w:p w14:paraId="30922921" w14:textId="77777777" w:rsidR="0030449D" w:rsidRPr="00AB41FB" w:rsidRDefault="00DB5798" w:rsidP="0030449D">
      <w:pPr>
        <w:keepNext/>
        <w:keepLines/>
        <w:jc w:val="center"/>
        <w:rPr>
          <w:b/>
          <w:bCs/>
        </w:rPr>
      </w:pPr>
      <w:r w:rsidRPr="00AB41FB">
        <w:rPr>
          <w:b/>
          <w:bCs/>
        </w:rPr>
        <w:t>II</w:t>
      </w:r>
    </w:p>
    <w:p w14:paraId="72409C38" w14:textId="77777777" w:rsidR="0030449D" w:rsidRDefault="00DB5798" w:rsidP="0030449D">
      <w:pPr>
        <w:keepNext/>
        <w:keepLines/>
        <w:jc w:val="center"/>
      </w:pPr>
      <w:r w:rsidRPr="00AB41FB">
        <w:rPr>
          <w:b/>
          <w:bCs/>
        </w:rPr>
        <w:t>ANALYSIS</w:t>
      </w:r>
    </w:p>
    <w:p w14:paraId="33B60A41" w14:textId="558BD0D2" w:rsidR="0030449D" w:rsidRDefault="00DB5798" w:rsidP="0030449D">
      <w:pPr>
        <w:ind w:firstLine="720"/>
      </w:pPr>
      <w:r>
        <w:t xml:space="preserve">Mother challenges the order terminating parental rights on the ground the court’s </w:t>
      </w:r>
      <w:r w:rsidR="006E32CE">
        <w:t xml:space="preserve">prior </w:t>
      </w:r>
      <w:r>
        <w:t>finding that ICWA does not appl</w:t>
      </w:r>
      <w:r>
        <w:t>y lacks evidentiary support. She argues the department was required under section 224.2</w:t>
      </w:r>
      <w:r w:rsidR="00BD0E9A">
        <w:t xml:space="preserve">, subdivision </w:t>
      </w:r>
      <w:r>
        <w:t xml:space="preserve">(b) </w:t>
      </w:r>
      <w:r w:rsidR="00BD0E9A">
        <w:t xml:space="preserve">(section 224.2(b)) </w:t>
      </w:r>
      <w:r>
        <w:t xml:space="preserve">to ask </w:t>
      </w:r>
      <w:r>
        <w:lastRenderedPageBreak/>
        <w:t>available extended family members whether D</w:t>
      </w:r>
      <w:r w:rsidR="00BD0E9A">
        <w:t>elila</w:t>
      </w:r>
      <w:r>
        <w:t xml:space="preserve"> may have Indian ancestry and that its failure to do so requires conditional </w:t>
      </w:r>
      <w:r>
        <w:t>reversal. We agree.</w:t>
      </w:r>
    </w:p>
    <w:p w14:paraId="69B42778" w14:textId="2965BCE6" w:rsidR="0030449D" w:rsidRPr="00B44F82" w:rsidRDefault="00DB5798" w:rsidP="0030449D">
      <w:pPr>
        <w:pStyle w:val="ListParagraph"/>
        <w:numPr>
          <w:ilvl w:val="0"/>
          <w:numId w:val="1"/>
        </w:numPr>
        <w:rPr>
          <w:i/>
          <w:iCs/>
        </w:rPr>
      </w:pPr>
      <w:r>
        <w:rPr>
          <w:i/>
          <w:iCs/>
        </w:rPr>
        <w:t>Inquiry and Notice Generally</w:t>
      </w:r>
    </w:p>
    <w:p w14:paraId="3F5B07DA" w14:textId="6B504B3E" w:rsidR="0030449D" w:rsidRDefault="00DB5798" w:rsidP="0030449D">
      <w:pPr>
        <w:ind w:firstLine="720"/>
      </w:pPr>
      <w:r w:rsidRPr="001D669C">
        <w:t>Congress enacted ICWA</w:t>
      </w:r>
      <w:r>
        <w:t xml:space="preserve"> in 1978 out of concern that “an alarmingly high percentage of Indian families are broken up by the removal, often unwarranted, of their children from them” by state agents who “</w:t>
      </w:r>
      <w:proofErr w:type="gramStart"/>
      <w:r>
        <w:t>fail[</w:t>
      </w:r>
      <w:proofErr w:type="gramEnd"/>
      <w:r>
        <w:t>] to recognize the essential tribal relations of Indian people and the cu</w:t>
      </w:r>
      <w:r>
        <w:t>ltural and social standards prevailing in Indian communities and families.” (25 U. S. C. §</w:t>
      </w:r>
      <w:r w:rsidR="00DB6B23">
        <w:t xml:space="preserve"> </w:t>
      </w:r>
      <w:r>
        <w:t>1901(4)</w:t>
      </w:r>
      <w:r w:rsidR="00DC05BA">
        <w:t xml:space="preserve"> </w:t>
      </w:r>
      <w:r>
        <w:t>&amp;</w:t>
      </w:r>
      <w:r w:rsidR="00DC05BA">
        <w:t xml:space="preserve"> </w:t>
      </w:r>
      <w:r>
        <w:t xml:space="preserve">(5).) The statute’s purpose is </w:t>
      </w:r>
      <w:r w:rsidRPr="001D669C">
        <w:t>to protect Indian children and to promote the stability and security of Indian tribes and families. (25 U.S.C. § 1902.)</w:t>
      </w:r>
    </w:p>
    <w:p w14:paraId="22490732" w14:textId="01AF3F12" w:rsidR="0030449D" w:rsidRDefault="00DB5798" w:rsidP="0030449D">
      <w:pPr>
        <w:ind w:firstLine="720"/>
      </w:pPr>
      <w:r>
        <w:t>ICWA</w:t>
      </w:r>
      <w:r>
        <w:t xml:space="preserve"> effectuates this purpose by setting </w:t>
      </w:r>
      <w:r w:rsidRPr="001D669C">
        <w:t xml:space="preserve">minimum federal standards </w:t>
      </w:r>
      <w:r>
        <w:t>state</w:t>
      </w:r>
      <w:r w:rsidRPr="001D669C">
        <w:t xml:space="preserve"> court</w:t>
      </w:r>
      <w:r>
        <w:t>s</w:t>
      </w:r>
      <w:r w:rsidRPr="001D669C">
        <w:t xml:space="preserve"> must follow </w:t>
      </w:r>
      <w:r>
        <w:t>in voluntary or involuntary custody proceedings involving Indian children</w:t>
      </w:r>
      <w:r w:rsidRPr="001D669C">
        <w:t>. (</w:t>
      </w:r>
      <w:r w:rsidRPr="009A0EE3">
        <w:rPr>
          <w:i/>
          <w:iCs/>
        </w:rPr>
        <w:t>Ibid.</w:t>
      </w:r>
      <w:r w:rsidRPr="001D669C">
        <w:t xml:space="preserve">; see also </w:t>
      </w:r>
      <w:r w:rsidRPr="009A0EE3">
        <w:rPr>
          <w:i/>
          <w:iCs/>
        </w:rPr>
        <w:t>In re T.G.</w:t>
      </w:r>
      <w:r w:rsidRPr="001D669C">
        <w:t xml:space="preserve"> (2020) 58 Cal.App.5th 275, 287</w:t>
      </w:r>
      <w:r>
        <w:t xml:space="preserve"> </w:t>
      </w:r>
      <w:r w:rsidRPr="001D669C">
        <w:t>(</w:t>
      </w:r>
      <w:r w:rsidRPr="005A1DB2">
        <w:rPr>
          <w:i/>
          <w:iCs/>
        </w:rPr>
        <w:t>T.G.</w:t>
      </w:r>
      <w:r w:rsidRPr="001D669C">
        <w:t xml:space="preserve">).) </w:t>
      </w:r>
      <w:r>
        <w:t>“If the Indian child live</w:t>
      </w:r>
      <w:r>
        <w:t>s on a reservation, ICWA grants the tribal court exclusive jurisdiction over all child custody proceedings, including adoptions and foster care proceedings. § 1911(a). For other Indian children, state and tribal courts exercise concurrent jurisdiction, alt</w:t>
      </w:r>
      <w:r>
        <w:t>hough the state court is sometimes required to transfer the case to tribal court. § 1911(b). When a state court adjudicates the proceeding, ICWA governs from start to finish.” (</w:t>
      </w:r>
      <w:proofErr w:type="spellStart"/>
      <w:r w:rsidRPr="0023419B">
        <w:rPr>
          <w:i/>
          <w:iCs/>
        </w:rPr>
        <w:t>Haaland</w:t>
      </w:r>
      <w:proofErr w:type="spellEnd"/>
      <w:r w:rsidRPr="0023419B">
        <w:rPr>
          <w:i/>
          <w:iCs/>
        </w:rPr>
        <w:t xml:space="preserve"> v. </w:t>
      </w:r>
      <w:proofErr w:type="spellStart"/>
      <w:r w:rsidRPr="0023419B">
        <w:rPr>
          <w:i/>
          <w:iCs/>
        </w:rPr>
        <w:t>Brackeen</w:t>
      </w:r>
      <w:proofErr w:type="spellEnd"/>
      <w:r w:rsidR="00BD0E9A">
        <w:t xml:space="preserve">, 599 U.S. __, __, 2023 U.S. Lexis 2545 (slip </w:t>
      </w:r>
      <w:proofErr w:type="spellStart"/>
      <w:r w:rsidR="00BD0E9A">
        <w:t>opn</w:t>
      </w:r>
      <w:proofErr w:type="spellEnd"/>
      <w:r w:rsidR="00BD0E9A">
        <w:t>., at *18)</w:t>
      </w:r>
      <w:r>
        <w:t xml:space="preserve"> </w:t>
      </w:r>
      <w:r>
        <w:t>(</w:t>
      </w:r>
      <w:proofErr w:type="spellStart"/>
      <w:r w:rsidRPr="009503BD">
        <w:rPr>
          <w:i/>
          <w:iCs/>
        </w:rPr>
        <w:t>Brackeen</w:t>
      </w:r>
      <w:proofErr w:type="spellEnd"/>
      <w:r>
        <w:t>).)</w:t>
      </w:r>
    </w:p>
    <w:p w14:paraId="66A5CA33" w14:textId="6ABE2816" w:rsidR="0030449D" w:rsidRDefault="00DB5798" w:rsidP="0030449D">
      <w:pPr>
        <w:ind w:firstLine="720"/>
      </w:pPr>
      <w:r>
        <w:t>Involuntary state court proceedings to place an Indian child in foster care or terminate parental rights “are subject to especially stringent safeguards.” (</w:t>
      </w:r>
      <w:proofErr w:type="spellStart"/>
      <w:r w:rsidRPr="009503BD">
        <w:rPr>
          <w:i/>
          <w:iCs/>
        </w:rPr>
        <w:t>Brackeen</w:t>
      </w:r>
      <w:proofErr w:type="spellEnd"/>
      <w:r>
        <w:t xml:space="preserve">, </w:t>
      </w:r>
      <w:r w:rsidRPr="009503BD">
        <w:rPr>
          <w:i/>
          <w:iCs/>
        </w:rPr>
        <w:lastRenderedPageBreak/>
        <w:t>supra</w:t>
      </w:r>
      <w:r>
        <w:t xml:space="preserve">, </w:t>
      </w:r>
      <w:r w:rsidR="00BD0E9A">
        <w:t>U.S. Lexis 2545</w:t>
      </w:r>
      <w:r>
        <w:t xml:space="preserve">, citing 25 C.F.R. § 23.104 (2022).) For </w:t>
      </w:r>
      <w:r>
        <w:t>example, the party initiating the proceeding must “notify the parent or Indian custodian and the Indian child’s tribe” (25 U.S.C. § 1912(a)); the court cannot order a foster care placement unless it finds “by clear and convincing evidence, including testim</w:t>
      </w:r>
      <w:r>
        <w:t>ony of qualified expert witnesses, that the continued custody of the child by the parent or Indian custodian is likely to result in serious emotional or physical damage to the child” (25 U.S.C. §</w:t>
      </w:r>
      <w:r w:rsidR="00C87FF7">
        <w:t> </w:t>
      </w:r>
      <w:r>
        <w:t xml:space="preserve">1912(e)); and, to terminate parental rights, the court must </w:t>
      </w:r>
      <w:r>
        <w:t xml:space="preserve">make the same finding “beyond a reasonable doubt” (25 </w:t>
      </w:r>
      <w:proofErr w:type="spellStart"/>
      <w:r>
        <w:t>U.S.C</w:t>
      </w:r>
      <w:proofErr w:type="spellEnd"/>
      <w:r>
        <w:t xml:space="preserve"> § 1912(f))</w:t>
      </w:r>
      <w:r w:rsidR="006C5FE8">
        <w:t>.</w:t>
      </w:r>
    </w:p>
    <w:p w14:paraId="52EABF81" w14:textId="5E1CD312" w:rsidR="0030449D" w:rsidRDefault="00DB5798" w:rsidP="00D20A79">
      <w:pPr>
        <w:ind w:firstLine="720"/>
      </w:pPr>
      <w:r>
        <w:t xml:space="preserve">Because </w:t>
      </w:r>
      <w:r w:rsidRPr="000955E1">
        <w:t>ICWA</w:t>
      </w:r>
      <w:r>
        <w:t xml:space="preserve"> </w:t>
      </w:r>
      <w:r w:rsidRPr="000955E1">
        <w:t>applies to</w:t>
      </w:r>
      <w:r w:rsidR="004C320A">
        <w:t xml:space="preserve"> </w:t>
      </w:r>
      <w:r w:rsidRPr="000955E1">
        <w:t>child custody proceeding</w:t>
      </w:r>
      <w:r w:rsidR="004C320A">
        <w:t>s</w:t>
      </w:r>
      <w:r w:rsidRPr="000955E1">
        <w:t xml:space="preserve"> involving an “Indian child,”</w:t>
      </w:r>
      <w:r>
        <w:t xml:space="preserve"> procedural rules for determining whether a child qualifies as </w:t>
      </w:r>
      <w:r w:rsidR="005F7717">
        <w:t xml:space="preserve">such </w:t>
      </w:r>
      <w:r>
        <w:t>are crucial to the statute’s applicati</w:t>
      </w:r>
      <w:r>
        <w:t xml:space="preserve">on. </w:t>
      </w:r>
      <w:r w:rsidR="0066613A">
        <w:t>ICWA defines an Indian</w:t>
      </w:r>
      <w:r>
        <w:t xml:space="preserve"> child </w:t>
      </w:r>
      <w:r w:rsidR="0066613A">
        <w:t>as</w:t>
      </w:r>
      <w:r>
        <w:t xml:space="preserve"> either 1) a member of a tribe or 2) a biological child of a member and eligible for membership. (25 U.S.C. § 1903(4); §</w:t>
      </w:r>
      <w:r w:rsidR="006C5FE8">
        <w:t> </w:t>
      </w:r>
      <w:r>
        <w:t>224.1, subd. (a).) The federal regulations implementing ICWA require state courts to ask each “parti</w:t>
      </w:r>
      <w:r>
        <w:t>cipant” in a child custody proceeding whether they “</w:t>
      </w:r>
      <w:proofErr w:type="gramStart"/>
      <w:r>
        <w:t>know</w:t>
      </w:r>
      <w:r w:rsidR="00BD0E9A">
        <w:t>[</w:t>
      </w:r>
      <w:proofErr w:type="gramEnd"/>
      <w:r w:rsidR="00BD0E9A">
        <w:t>]</w:t>
      </w:r>
      <w:r>
        <w:t>” or have “reason to know” the child is an Indian child. (25 C.F.R. § 23.107(a).) The regulations also require state courts to direct the parties to inform the court if they receive information prov</w:t>
      </w:r>
      <w:r>
        <w:t>iding a reason to know the child is an Indian child. (</w:t>
      </w:r>
      <w:r w:rsidRPr="0077174D">
        <w:rPr>
          <w:i/>
          <w:iCs/>
        </w:rPr>
        <w:t>Ibid.</w:t>
      </w:r>
      <w:r>
        <w:t xml:space="preserve">) When </w:t>
      </w:r>
      <w:r w:rsidRPr="000955E1">
        <w:t xml:space="preserve">the court or </w:t>
      </w:r>
      <w:r>
        <w:t>department</w:t>
      </w:r>
      <w:r w:rsidRPr="000955E1">
        <w:t xml:space="preserve"> “knows or has reason to know” that an Indian child is involved, </w:t>
      </w:r>
      <w:r>
        <w:t>they must send</w:t>
      </w:r>
      <w:r w:rsidRPr="000955E1">
        <w:t xml:space="preserve"> notice to any tribe to which the child belongs, or in which they may be eligible for me</w:t>
      </w:r>
      <w:r w:rsidRPr="000955E1">
        <w:t>mbership, informing the tribe of the pending proceedings and its right to intervene. (25 U.S.C. §</w:t>
      </w:r>
      <w:r w:rsidR="008871B9">
        <w:t> </w:t>
      </w:r>
      <w:r w:rsidRPr="000955E1">
        <w:t xml:space="preserve">1912(a); </w:t>
      </w:r>
      <w:proofErr w:type="spellStart"/>
      <w:r w:rsidRPr="000955E1">
        <w:t>Welf</w:t>
      </w:r>
      <w:proofErr w:type="spellEnd"/>
      <w:r w:rsidRPr="000955E1">
        <w:t>. &amp; Inst. Code, § 224.3.)</w:t>
      </w:r>
      <w:r w:rsidR="006613B9">
        <w:t xml:space="preserve"> </w:t>
      </w:r>
      <w:r>
        <w:t xml:space="preserve">Notice is “central </w:t>
      </w:r>
      <w:r w:rsidRPr="006458B8">
        <w:t xml:space="preserve">to effectuating </w:t>
      </w:r>
      <w:r w:rsidRPr="006458B8">
        <w:lastRenderedPageBreak/>
        <w:t>ICWA</w:t>
      </w:r>
      <w:r>
        <w:t>’</w:t>
      </w:r>
      <w:r w:rsidRPr="006458B8">
        <w:t>s purpose</w:t>
      </w:r>
      <w:r>
        <w:t xml:space="preserve">” because it </w:t>
      </w:r>
      <w:r w:rsidRPr="00A450BE">
        <w:t>enables the tribes to determine whether the child is an I</w:t>
      </w:r>
      <w:r w:rsidRPr="00A450BE">
        <w:t>ndian child and, if so, whether to intervene in or exercise jurisdiction over</w:t>
      </w:r>
      <w:r>
        <w:t xml:space="preserve"> </w:t>
      </w:r>
      <w:r w:rsidRPr="00A450BE">
        <w:t>the</w:t>
      </w:r>
      <w:r>
        <w:t xml:space="preserve"> custody proceeding. (</w:t>
      </w:r>
      <w:r w:rsidRPr="006374B5">
        <w:rPr>
          <w:i/>
          <w:iCs/>
        </w:rPr>
        <w:t>T.G.</w:t>
      </w:r>
      <w:r>
        <w:t xml:space="preserve">, </w:t>
      </w:r>
      <w:r w:rsidRPr="00613FE1">
        <w:rPr>
          <w:i/>
          <w:iCs/>
        </w:rPr>
        <w:t>supra</w:t>
      </w:r>
      <w:r>
        <w:t xml:space="preserve">, </w:t>
      </w:r>
      <w:r w:rsidRPr="00A450BE">
        <w:t>58 Cal.App.</w:t>
      </w:r>
      <w:r>
        <w:t xml:space="preserve">5th at p. </w:t>
      </w:r>
      <w:r w:rsidRPr="00A450BE">
        <w:t>288.)</w:t>
      </w:r>
    </w:p>
    <w:p w14:paraId="28D29303" w14:textId="2AF9B89F" w:rsidR="0030449D" w:rsidRDefault="00DB5798" w:rsidP="00021D91">
      <w:pPr>
        <w:ind w:firstLine="720"/>
      </w:pPr>
      <w:r>
        <w:t xml:space="preserve">The federal regulations establish the minimum investigation a state must conduct </w:t>
      </w:r>
      <w:r w:rsidR="006613B9">
        <w:t xml:space="preserve">into a child’s possible status </w:t>
      </w:r>
      <w:r w:rsidR="00021D91">
        <w:t>as</w:t>
      </w:r>
      <w:r>
        <w:t xml:space="preserve"> an Indian child. </w:t>
      </w:r>
      <w:r w:rsidR="00021D91">
        <w:t xml:space="preserve">However, </w:t>
      </w:r>
      <w:r>
        <w:t>ICWA allows states to require more thorough investigations</w:t>
      </w:r>
      <w:r w:rsidR="009D5CBA">
        <w:t>, a</w:t>
      </w:r>
      <w:r>
        <w:t>nd it directs that where states do so, the higher state standard “</w:t>
      </w:r>
      <w:r w:rsidRPr="00600851">
        <w:t>shall apply</w:t>
      </w:r>
      <w:r>
        <w:t>.” (</w:t>
      </w:r>
      <w:r w:rsidRPr="0077174D">
        <w:t>25 U.S.C. § 1921</w:t>
      </w:r>
      <w:r>
        <w:t>.)</w:t>
      </w:r>
      <w:r w:rsidR="00021D91">
        <w:t xml:space="preserve"> </w:t>
      </w:r>
      <w:r>
        <w:t xml:space="preserve">California </w:t>
      </w:r>
      <w:r w:rsidRPr="000113FC">
        <w:t xml:space="preserve">has enacted </w:t>
      </w:r>
      <w:r>
        <w:t xml:space="preserve">such </w:t>
      </w:r>
      <w:r w:rsidRPr="000113FC">
        <w:t>higher standards</w:t>
      </w:r>
      <w:r>
        <w:t xml:space="preserve"> for determining whether a child is an Indian child</w:t>
      </w:r>
      <w:r w:rsidRPr="000113FC">
        <w:t>. (</w:t>
      </w:r>
      <w:r w:rsidRPr="000113FC">
        <w:rPr>
          <w:i/>
          <w:iCs/>
        </w:rPr>
        <w:t>T.G.</w:t>
      </w:r>
      <w:r w:rsidRPr="000113FC">
        <w:t xml:space="preserve">, </w:t>
      </w:r>
      <w:r w:rsidRPr="000113FC">
        <w:rPr>
          <w:i/>
          <w:iCs/>
        </w:rPr>
        <w:t>supra</w:t>
      </w:r>
      <w:r w:rsidRPr="000113FC">
        <w:t>, 58 Cal.App.5th at pp.</w:t>
      </w:r>
      <w:r w:rsidR="00684C40">
        <w:t> </w:t>
      </w:r>
      <w:r w:rsidRPr="000113FC">
        <w:t>289</w:t>
      </w:r>
      <w:r w:rsidR="00684C40">
        <w:t>-</w:t>
      </w:r>
      <w:r w:rsidRPr="000113FC">
        <w:t>290.)</w:t>
      </w:r>
      <w:r>
        <w:t xml:space="preserve"> This case involves only the first step in the investigation—the initial inquiry</w:t>
      </w:r>
      <w:r w:rsidR="00427A22">
        <w:t>, which the Legislature recently expande</w:t>
      </w:r>
      <w:r w:rsidR="00025052">
        <w:t>d with the enactment of A.B. 3176</w:t>
      </w:r>
      <w:r>
        <w:t xml:space="preserve">. </w:t>
      </w:r>
      <w:r w:rsidR="00025052" w:rsidRPr="00751141">
        <w:t xml:space="preserve">(Stats. 2018, </w:t>
      </w:r>
      <w:proofErr w:type="spellStart"/>
      <w:r w:rsidR="00025052" w:rsidRPr="00751141">
        <w:t>ch.</w:t>
      </w:r>
      <w:proofErr w:type="spellEnd"/>
      <w:r w:rsidR="00025052" w:rsidRPr="00751141">
        <w:t xml:space="preserve"> 833, § 5.)</w:t>
      </w:r>
    </w:p>
    <w:p w14:paraId="473E87C7" w14:textId="77DB205D" w:rsidR="002D08C5" w:rsidRPr="00684C40" w:rsidRDefault="00DB5798" w:rsidP="00684C40">
      <w:pPr>
        <w:ind w:firstLine="720"/>
        <w:rPr>
          <w:i/>
          <w:iCs/>
        </w:rPr>
      </w:pPr>
      <w:r w:rsidRPr="00684C40">
        <w:t>B.</w:t>
      </w:r>
      <w:r w:rsidRPr="00684C40">
        <w:tab/>
      </w:r>
      <w:r w:rsidR="003B3289" w:rsidRPr="00684C40">
        <w:rPr>
          <w:i/>
          <w:iCs/>
        </w:rPr>
        <w:t>Section 224.2 and</w:t>
      </w:r>
      <w:r w:rsidR="009D646F" w:rsidRPr="00684C40">
        <w:rPr>
          <w:i/>
          <w:iCs/>
        </w:rPr>
        <w:t xml:space="preserve"> the Initial Inquiry</w:t>
      </w:r>
    </w:p>
    <w:p w14:paraId="321A4CC0" w14:textId="4435C926" w:rsidR="000563AC" w:rsidRDefault="00DB5798" w:rsidP="000563AC">
      <w:pPr>
        <w:ind w:firstLine="720"/>
      </w:pPr>
      <w:r>
        <w:t>Added by A.B. 3176, section 224.2 sets out</w:t>
      </w:r>
      <w:r w:rsidR="00ED51CD">
        <w:t>, among other things,</w:t>
      </w:r>
      <w:r>
        <w:t xml:space="preserve"> </w:t>
      </w:r>
      <w:r w:rsidR="00892489">
        <w:t>the duty of</w:t>
      </w:r>
      <w:r>
        <w:t xml:space="preserve"> initial inquiry under California law. Section 224.2, subdivision (a) (section 224.2(a)) states that both courts a</w:t>
      </w:r>
      <w:r>
        <w:t xml:space="preserve">nd social workers “have </w:t>
      </w:r>
      <w:r w:rsidRPr="00E23663">
        <w:t>an affirmative and continuing duty to inquire whether a child</w:t>
      </w:r>
      <w:r>
        <w:t xml:space="preserve">” </w:t>
      </w:r>
      <w:r w:rsidRPr="00E23663">
        <w:t xml:space="preserve">for whom a </w:t>
      </w:r>
      <w:r>
        <w:t xml:space="preserve">section 300 </w:t>
      </w:r>
      <w:r w:rsidRPr="00E23663">
        <w:t xml:space="preserve">petition </w:t>
      </w:r>
      <w:r>
        <w:t xml:space="preserve">is or </w:t>
      </w:r>
      <w:r w:rsidRPr="00E23663">
        <w:t xml:space="preserve">may be filed </w:t>
      </w:r>
      <w:r>
        <w:t>“</w:t>
      </w:r>
      <w:r w:rsidRPr="00E23663">
        <w:t>is or may be an Indian child</w:t>
      </w:r>
      <w:r>
        <w:t xml:space="preserve">.” </w:t>
      </w:r>
      <w:r w:rsidR="006E32CE">
        <w:t>T</w:t>
      </w:r>
      <w:r>
        <w:t>he duty “</w:t>
      </w:r>
      <w:r w:rsidRPr="00E75E92">
        <w:t>begins with the initial contact,</w:t>
      </w:r>
      <w:r>
        <w:t>” and includes, but is</w:t>
      </w:r>
      <w:r w:rsidRPr="00E75E92">
        <w:t xml:space="preserve"> </w:t>
      </w:r>
      <w:r>
        <w:t>“</w:t>
      </w:r>
      <w:r w:rsidRPr="00E75E92">
        <w:t>not limited to</w:t>
      </w:r>
      <w:r>
        <w:t>”</w:t>
      </w:r>
      <w:r w:rsidRPr="00E75E92">
        <w:t xml:space="preserve"> aski</w:t>
      </w:r>
      <w:r w:rsidRPr="00E75E92">
        <w:t>ng</w:t>
      </w:r>
      <w:r w:rsidRPr="00E23663">
        <w:t xml:space="preserve"> the </w:t>
      </w:r>
      <w:r>
        <w:t>“</w:t>
      </w:r>
      <w:r w:rsidRPr="00E23663">
        <w:t>party reporting child abuse or neglect whether the party has any information that the child may be an Indian child.</w:t>
      </w:r>
      <w:r>
        <w:t>” (§</w:t>
      </w:r>
      <w:r w:rsidR="00CE4C47">
        <w:t> </w:t>
      </w:r>
      <w:r>
        <w:t>224.2(a).)</w:t>
      </w:r>
    </w:p>
    <w:p w14:paraId="35FF3D77" w14:textId="5E729271" w:rsidR="000563AC" w:rsidRPr="004B2620" w:rsidRDefault="00DB5798" w:rsidP="005F7F22">
      <w:pPr>
        <w:keepNext/>
        <w:keepLines/>
        <w:ind w:firstLine="720"/>
      </w:pPr>
      <w:r>
        <w:lastRenderedPageBreak/>
        <w:t xml:space="preserve">Section 224.2(b) provides further guidance on the steps a social worker must take as part of the initial </w:t>
      </w:r>
      <w:r>
        <w:t>inquiry. It consists of two sentences. The first provides that “[</w:t>
      </w:r>
      <w:proofErr w:type="spellStart"/>
      <w:r>
        <w:t>i</w:t>
      </w:r>
      <w:proofErr w:type="spellEnd"/>
      <w:r>
        <w:t>]f</w:t>
      </w:r>
      <w:r w:rsidRPr="00EC105D">
        <w:t xml:space="preserve"> a child is placed into the temporary custody of a county welfare department pursuant to Section 306</w:t>
      </w:r>
      <w:r>
        <w:t>,” the social worker “</w:t>
      </w:r>
      <w:r w:rsidRPr="00540D30">
        <w:t>has a duty to inquire whether that child is an Indian child.</w:t>
      </w:r>
      <w:r>
        <w:t>” (§ 2</w:t>
      </w:r>
      <w:r>
        <w:t xml:space="preserve">24.2(b).) The second identifies which individuals are part of a social worker’s initial inquiry. It states that the </w:t>
      </w:r>
      <w:r w:rsidR="006E32CE">
        <w:t>“[</w:t>
      </w:r>
      <w:proofErr w:type="spellStart"/>
      <w:r>
        <w:t>i</w:t>
      </w:r>
      <w:proofErr w:type="spellEnd"/>
      <w:r w:rsidR="006E32CE">
        <w:t>]</w:t>
      </w:r>
      <w:proofErr w:type="spellStart"/>
      <w:r>
        <w:t>nquiry</w:t>
      </w:r>
      <w:proofErr w:type="spellEnd"/>
      <w:r>
        <w:t xml:space="preserve"> </w:t>
      </w:r>
      <w:r w:rsidRPr="00E500BF">
        <w:t>includes, but is not limited to, asking the child, parents, legal guardian, Indian custodian, extended family members, others who</w:t>
      </w:r>
      <w:r w:rsidRPr="00E500BF">
        <w:t xml:space="preserve"> have an interest in the child, and the party reporting child abuse or neglect, whether the </w:t>
      </w:r>
      <w:r w:rsidRPr="004B2620">
        <w:t>child is, or may be, an Indian child and where the child, the parents, or Indian custodian is domiciled.” (</w:t>
      </w:r>
      <w:r w:rsidRPr="004B2620">
        <w:rPr>
          <w:i/>
          <w:iCs/>
        </w:rPr>
        <w:t>Ibid.</w:t>
      </w:r>
      <w:r w:rsidRPr="004B2620">
        <w:t>)</w:t>
      </w:r>
    </w:p>
    <w:p w14:paraId="14AF53D5" w14:textId="0DDD033B" w:rsidR="000D1086" w:rsidRPr="004B2620" w:rsidRDefault="00DB5798" w:rsidP="000563AC">
      <w:pPr>
        <w:ind w:firstLine="720"/>
      </w:pPr>
      <w:r w:rsidRPr="004B2620">
        <w:t xml:space="preserve">In addition, </w:t>
      </w:r>
      <w:r w:rsidR="00FE56F0" w:rsidRPr="004B2620">
        <w:t xml:space="preserve">rule </w:t>
      </w:r>
      <w:r w:rsidR="00BA54EF" w:rsidRPr="004B2620">
        <w:t>5.481 of the California Rules of Court</w:t>
      </w:r>
      <w:r w:rsidR="00175A5C" w:rsidRPr="004B2620">
        <w:t xml:space="preserve">, </w:t>
      </w:r>
      <w:r w:rsidR="00FB353A" w:rsidRPr="004B2620">
        <w:t xml:space="preserve">which the Judicial Council </w:t>
      </w:r>
      <w:r w:rsidR="000909F4">
        <w:t>revised</w:t>
      </w:r>
      <w:r w:rsidR="000909F4" w:rsidRPr="004B2620">
        <w:t xml:space="preserve"> </w:t>
      </w:r>
      <w:r w:rsidR="00175A5C" w:rsidRPr="004B2620">
        <w:t>to implement</w:t>
      </w:r>
      <w:r w:rsidR="005253E0" w:rsidRPr="004B2620">
        <w:t xml:space="preserve"> </w:t>
      </w:r>
      <w:r w:rsidR="00BA54EF" w:rsidRPr="004B2620">
        <w:t>section 224.2(b)</w:t>
      </w:r>
      <w:r w:rsidR="005253E0" w:rsidRPr="004B2620">
        <w:t xml:space="preserve">, states: </w:t>
      </w:r>
      <w:r w:rsidRPr="004B2620">
        <w:t xml:space="preserve">“The party seeking a foster-care placement, . . . termination of parental rights, </w:t>
      </w:r>
      <w:proofErr w:type="spellStart"/>
      <w:r w:rsidRPr="004B2620">
        <w:t>preadoptive</w:t>
      </w:r>
      <w:proofErr w:type="spellEnd"/>
      <w:r w:rsidRPr="004B2620">
        <w:t xml:space="preserve"> placement, or adoption must ask the child, if the child is old enough, and the p</w:t>
      </w:r>
      <w:r w:rsidRPr="004B2620">
        <w:t>arents, Indian custodian, or legal guardians, extended family members, others who have an interest in the child, and where applicable the party reporting child abuse or neglect, whether the child is or may be an Indian child</w:t>
      </w:r>
      <w:r w:rsidR="007B793C" w:rsidRPr="004B2620">
        <w:t xml:space="preserve"> </w:t>
      </w:r>
      <w:r w:rsidRPr="004B2620">
        <w:t>. . . .” (</w:t>
      </w:r>
      <w:r w:rsidR="00BA50CE" w:rsidRPr="004B2620">
        <w:t>Cal. Rules of Court, rule 5.481(a)(1) (rule 5.481).)</w:t>
      </w:r>
      <w:r>
        <w:rPr>
          <w:rStyle w:val="FootnoteReference"/>
          <w:sz w:val="26"/>
          <w:szCs w:val="26"/>
          <w:vertAlign w:val="superscript"/>
        </w:rPr>
        <w:footnoteReference w:id="2"/>
      </w:r>
    </w:p>
    <w:p w14:paraId="1BE5BE4C" w14:textId="0B79BFF7" w:rsidR="000563AC" w:rsidRDefault="00DB5798" w:rsidP="000563AC">
      <w:pPr>
        <w:ind w:firstLine="720"/>
      </w:pPr>
      <w:r w:rsidRPr="004B2620">
        <w:t>Read together, these provisions impose on social workers a duty of initial inquiry that begins at first contact, lasts throughout the proceeding, and includes “but is not limited to” the reporting party, the child’s parent</w:t>
      </w:r>
      <w:r w:rsidRPr="004B2620">
        <w:t xml:space="preserve">s and extended family members, and </w:t>
      </w:r>
      <w:r w:rsidRPr="004B2620">
        <w:lastRenderedPageBreak/>
        <w:t>others who have an interest in the child, as those individuals</w:t>
      </w:r>
      <w:r>
        <w:t xml:space="preserve"> become available during the case. </w:t>
      </w:r>
      <w:r w:rsidR="006E32CE">
        <w:t>In other words</w:t>
      </w:r>
      <w:r>
        <w:t>, the “</w:t>
      </w:r>
      <w:r w:rsidRPr="0086713E">
        <w:t xml:space="preserve">duty to inquire begins with initial contact </w:t>
      </w:r>
      <w:r>
        <w:t xml:space="preserve">. . . </w:t>
      </w:r>
      <w:r w:rsidRPr="0086713E">
        <w:t>and obligates the juvenile court and child protective</w:t>
      </w:r>
      <w:r w:rsidRPr="0086713E">
        <w:t xml:space="preserve"> agencies to ask </w:t>
      </w:r>
      <w:r w:rsidRPr="000B4CD6">
        <w:rPr>
          <w:i/>
          <w:iCs/>
        </w:rPr>
        <w:t>all relevant involved individuals</w:t>
      </w:r>
      <w:r w:rsidRPr="0086713E">
        <w:t xml:space="preserve"> whether the child may be an Indian child.</w:t>
      </w:r>
      <w:r>
        <w:t>” (</w:t>
      </w:r>
      <w:r w:rsidRPr="00340F2F">
        <w:rPr>
          <w:i/>
          <w:iCs/>
        </w:rPr>
        <w:t>T.G.</w:t>
      </w:r>
      <w:r>
        <w:t xml:space="preserve">, </w:t>
      </w:r>
      <w:r w:rsidRPr="00340F2F">
        <w:rPr>
          <w:i/>
          <w:iCs/>
        </w:rPr>
        <w:t>supra</w:t>
      </w:r>
      <w:r>
        <w:t xml:space="preserve">, 58 Cal.App.5th at p. 290, citing </w:t>
      </w:r>
      <w:r w:rsidRPr="0086713E">
        <w:t>§ 224.2, subds. (a)-(c)</w:t>
      </w:r>
      <w:r w:rsidR="00CD663D">
        <w:t>, italics added</w:t>
      </w:r>
      <w:r>
        <w:t>.)</w:t>
      </w:r>
    </w:p>
    <w:p w14:paraId="0DDC3890" w14:textId="25643D61" w:rsidR="00127955" w:rsidRDefault="00DB5798" w:rsidP="00B3633F">
      <w:pPr>
        <w:ind w:firstLine="720"/>
      </w:pPr>
      <w:r>
        <w:t xml:space="preserve">As we’ll </w:t>
      </w:r>
      <w:r w:rsidR="00C240B8">
        <w:t>explain, t</w:t>
      </w:r>
      <w:r w:rsidR="00B3633F">
        <w:t xml:space="preserve">hese provisions represent an expansion to the scope of </w:t>
      </w:r>
      <w:r w:rsidR="000A0CE4">
        <w:t xml:space="preserve">a social </w:t>
      </w:r>
      <w:r w:rsidR="00BE46F8">
        <w:t xml:space="preserve">worker’s </w:t>
      </w:r>
      <w:r w:rsidR="00CC7B91">
        <w:t>duty of initial inquiry</w:t>
      </w:r>
      <w:r w:rsidR="00E8750D">
        <w:t>.</w:t>
      </w:r>
    </w:p>
    <w:p w14:paraId="50AD9301" w14:textId="187E0944" w:rsidR="00BA519A" w:rsidRPr="00CD663D" w:rsidRDefault="00DB5798" w:rsidP="00CD663D">
      <w:pPr>
        <w:ind w:firstLine="720"/>
        <w:rPr>
          <w:i/>
          <w:iCs/>
        </w:rPr>
      </w:pPr>
      <w:r w:rsidRPr="00CD663D">
        <w:t>C.</w:t>
      </w:r>
      <w:r>
        <w:rPr>
          <w:i/>
          <w:iCs/>
        </w:rPr>
        <w:tab/>
      </w:r>
      <w:r w:rsidRPr="00CD663D">
        <w:rPr>
          <w:i/>
          <w:iCs/>
        </w:rPr>
        <w:t>A.B. 3176 Expanded the Scope of the Initial Inquiry</w:t>
      </w:r>
    </w:p>
    <w:p w14:paraId="2FDAE1DE" w14:textId="35756458" w:rsidR="007F78F8" w:rsidRDefault="00DB5798" w:rsidP="00365208">
      <w:pPr>
        <w:ind w:firstLine="720"/>
      </w:pPr>
      <w:r>
        <w:t>Codified in 2006</w:t>
      </w:r>
      <w:r w:rsidR="00F22C21">
        <w:t xml:space="preserve"> with the passage of Senate Bill No. 678 (2005-2006 Reg. Sess.)</w:t>
      </w:r>
      <w:r>
        <w:t>, the duty of initial in</w:t>
      </w:r>
      <w:r>
        <w:t xml:space="preserve">quiry was </w:t>
      </w:r>
      <w:r w:rsidR="00F30DF3">
        <w:t xml:space="preserve">originally </w:t>
      </w:r>
      <w:r>
        <w:t xml:space="preserve">set out in former section 224.3. (Stats. 2006, </w:t>
      </w:r>
      <w:proofErr w:type="spellStart"/>
      <w:r>
        <w:t>ch.</w:t>
      </w:r>
      <w:proofErr w:type="spellEnd"/>
      <w:r>
        <w:t xml:space="preserve"> 838</w:t>
      </w:r>
      <w:r w:rsidR="008460AB">
        <w:t xml:space="preserve"> (S.B. 678)</w:t>
      </w:r>
      <w:r>
        <w:t xml:space="preserve">; </w:t>
      </w:r>
      <w:r w:rsidRPr="00430CD8">
        <w:rPr>
          <w:i/>
          <w:iCs/>
        </w:rPr>
        <w:t>In re Isaiah W</w:t>
      </w:r>
      <w:r>
        <w:t xml:space="preserve">. (2016) 1 Cal.5th 1, 9.) That provision </w:t>
      </w:r>
      <w:r w:rsidR="00C849D1" w:rsidRPr="00473D17">
        <w:t>stated that</w:t>
      </w:r>
      <w:r w:rsidR="00C849D1">
        <w:t xml:space="preserve"> </w:t>
      </w:r>
      <w:r>
        <w:t xml:space="preserve">juvenile courts and county welfare departments </w:t>
      </w:r>
      <w:r w:rsidRPr="00342390">
        <w:t>“</w:t>
      </w:r>
      <w:r w:rsidR="00A112CD">
        <w:t xml:space="preserve">have </w:t>
      </w:r>
      <w:r w:rsidRPr="00342390">
        <w:t>an affirmative and continuing duty</w:t>
      </w:r>
      <w:r>
        <w:t xml:space="preserve">” </w:t>
      </w:r>
      <w:r w:rsidRPr="00342390">
        <w:t>to inquire w</w:t>
      </w:r>
      <w:r w:rsidRPr="00342390">
        <w:t xml:space="preserve">hether a child </w:t>
      </w:r>
      <w:r>
        <w:t xml:space="preserve">involved in a dependency proceeding </w:t>
      </w:r>
      <w:r w:rsidRPr="00342390">
        <w:t xml:space="preserve">is or may be an Indian child </w:t>
      </w:r>
      <w:r w:rsidRPr="00E97CA5">
        <w:t xml:space="preserve">if the child </w:t>
      </w:r>
      <w:r>
        <w:t>had been placed in foster care or was “</w:t>
      </w:r>
      <w:r w:rsidRPr="00E97CA5">
        <w:t>at risk of entering foster care.</w:t>
      </w:r>
      <w:r>
        <w:t>” (</w:t>
      </w:r>
      <w:r w:rsidR="00F22C21" w:rsidRPr="00F22C21">
        <w:rPr>
          <w:i/>
          <w:iCs/>
        </w:rPr>
        <w:t>Isaiah</w:t>
      </w:r>
      <w:r w:rsidR="00473D17">
        <w:rPr>
          <w:i/>
          <w:iCs/>
        </w:rPr>
        <w:t xml:space="preserve"> W.</w:t>
      </w:r>
      <w:r w:rsidR="00F22C21">
        <w:t>, at p. 9; f</w:t>
      </w:r>
      <w:r>
        <w:t>ormer § 224.3, subd. (a)</w:t>
      </w:r>
      <w:r w:rsidR="003B3289">
        <w:t>.</w:t>
      </w:r>
      <w:r>
        <w:t>)</w:t>
      </w:r>
      <w:r w:rsidR="003B3289">
        <w:t xml:space="preserve"> </w:t>
      </w:r>
      <w:r>
        <w:t xml:space="preserve">Though former </w:t>
      </w:r>
      <w:r w:rsidR="00473D17">
        <w:t xml:space="preserve">section </w:t>
      </w:r>
      <w:r>
        <w:t>224.3 did not speci</w:t>
      </w:r>
      <w:r>
        <w:t xml:space="preserve">fy which individuals should be interviewed, our courts interpreted the provision to require inquiry of the parents only. (See, e.g., </w:t>
      </w:r>
      <w:r w:rsidRPr="00B7535D">
        <w:rPr>
          <w:i/>
          <w:iCs/>
        </w:rPr>
        <w:t>In re C.Y.</w:t>
      </w:r>
      <w:r>
        <w:t xml:space="preserve"> (2012) 208 Cal.App.4th 34, 42 [“The initial inquiry . . . need only be made to the parents”]; see also </w:t>
      </w:r>
      <w:r w:rsidRPr="00B7535D">
        <w:rPr>
          <w:i/>
          <w:iCs/>
        </w:rPr>
        <w:t xml:space="preserve">In re </w:t>
      </w:r>
      <w:proofErr w:type="spellStart"/>
      <w:r w:rsidRPr="00B7535D">
        <w:rPr>
          <w:i/>
          <w:iCs/>
        </w:rPr>
        <w:t>J.K</w:t>
      </w:r>
      <w:proofErr w:type="spellEnd"/>
      <w:r w:rsidRPr="00B7535D">
        <w:rPr>
          <w:i/>
          <w:iCs/>
        </w:rPr>
        <w:t xml:space="preserve">. </w:t>
      </w:r>
      <w:r>
        <w:t>(2022) 83 Cal.App.5th 498, 506 [noting the duty of initial inquiry “could be satisfied by asking the child’s parents whether the child is or may be an Indian child”].)</w:t>
      </w:r>
    </w:p>
    <w:p w14:paraId="34630596" w14:textId="41BD4260" w:rsidR="00434FE9" w:rsidRDefault="00DB5798" w:rsidP="00434FE9">
      <w:pPr>
        <w:ind w:firstLine="720"/>
      </w:pPr>
      <w:r>
        <w:lastRenderedPageBreak/>
        <w:t>As we’ve seen, under section 224.2</w:t>
      </w:r>
      <w:r w:rsidR="006E32CE">
        <w:t>,</w:t>
      </w:r>
      <w:r>
        <w:t xml:space="preserve"> a social worker may no longer rely solely</w:t>
      </w:r>
      <w:r>
        <w:t xml:space="preserve"> on the child’s parents for information about possible Indian ancestry. Section 224.2(a) requires social workers to make the initial inquiry of the party reporting the abuse, and section 224.2(b) </w:t>
      </w:r>
      <w:r w:rsidR="006E32CE">
        <w:t xml:space="preserve">identifies </w:t>
      </w:r>
      <w:r>
        <w:t>several more individuals</w:t>
      </w:r>
      <w:r w:rsidR="006E32CE">
        <w:t xml:space="preserve"> who must be interviewed</w:t>
      </w:r>
      <w:r>
        <w:t>,</w:t>
      </w:r>
      <w:r>
        <w:t xml:space="preserve"> including extended family members and any others “</w:t>
      </w:r>
      <w:r w:rsidRPr="005E5706">
        <w:t>who have an interest in the child</w:t>
      </w:r>
      <w:r>
        <w:t>.” (§224.2(a)</w:t>
      </w:r>
      <w:r w:rsidR="00600766">
        <w:t xml:space="preserve"> </w:t>
      </w:r>
      <w:r>
        <w:t>&amp;</w:t>
      </w:r>
      <w:r w:rsidR="00600766">
        <w:t xml:space="preserve"> </w:t>
      </w:r>
      <w:r>
        <w:t>(b).)</w:t>
      </w:r>
    </w:p>
    <w:p w14:paraId="2E4C96E2" w14:textId="4F9799D6" w:rsidR="005C1314" w:rsidRDefault="00DB5798" w:rsidP="00AF5ECA">
      <w:pPr>
        <w:ind w:firstLine="720"/>
      </w:pPr>
      <w:r>
        <w:t>The</w:t>
      </w:r>
      <w:r w:rsidR="00D54B00">
        <w:t xml:space="preserve"> legislative history of A.B. 3176 reveals </w:t>
      </w:r>
      <w:r>
        <w:t>that</w:t>
      </w:r>
      <w:r w:rsidR="00D54B00">
        <w:t xml:space="preserve"> </w:t>
      </w:r>
      <w:r w:rsidR="00B91982">
        <w:t xml:space="preserve">this amendment </w:t>
      </w:r>
      <w:r>
        <w:t>was “tribal in origin and purpose.” (</w:t>
      </w:r>
      <w:r w:rsidRPr="00927905">
        <w:rPr>
          <w:i/>
          <w:iCs/>
        </w:rPr>
        <w:t>S.S.</w:t>
      </w:r>
      <w:r w:rsidR="004035E2">
        <w:t xml:space="preserve">, </w:t>
      </w:r>
      <w:r w:rsidR="004035E2" w:rsidRPr="004035E2">
        <w:rPr>
          <w:i/>
          <w:iCs/>
        </w:rPr>
        <w:t>supra</w:t>
      </w:r>
      <w:r w:rsidR="004035E2">
        <w:t>,</w:t>
      </w:r>
      <w:r>
        <w:t xml:space="preserve"> 90 Cal.App.5th </w:t>
      </w:r>
      <w:r w:rsidR="004035E2">
        <w:t xml:space="preserve">at p. </w:t>
      </w:r>
      <w:r>
        <w:t xml:space="preserve">699.) </w:t>
      </w:r>
      <w:r w:rsidRPr="00C2664E">
        <w:t xml:space="preserve">In </w:t>
      </w:r>
      <w:r w:rsidRPr="00C2664E">
        <w:t>November 2015, the California Department of Justice</w:t>
      </w:r>
      <w:r>
        <w:t>’</w:t>
      </w:r>
      <w:r w:rsidRPr="00C2664E">
        <w:t>s Bureau of Children</w:t>
      </w:r>
      <w:r>
        <w:t>’</w:t>
      </w:r>
      <w:r w:rsidRPr="00C2664E">
        <w:t>s Justice created the ICWA Compliance Task Force</w:t>
      </w:r>
      <w:r>
        <w:t xml:space="preserve"> to</w:t>
      </w:r>
      <w:r w:rsidRPr="00C2664E">
        <w:t xml:space="preserve"> gather </w:t>
      </w:r>
      <w:r>
        <w:t>empirical data on ICWA violations within the state and recommend changes to California’s ICWA</w:t>
      </w:r>
      <w:r w:rsidR="006E32CE">
        <w:t>-implementing</w:t>
      </w:r>
      <w:r>
        <w:t xml:space="preserve"> laws. </w:t>
      </w:r>
      <w:r w:rsidRPr="00655D8A">
        <w:t>(Cal. Healt</w:t>
      </w:r>
      <w:r w:rsidRPr="00655D8A">
        <w:t xml:space="preserve">h and Human Services Agency, Enrolled Bill Rep. on </w:t>
      </w:r>
      <w:proofErr w:type="spellStart"/>
      <w:r w:rsidRPr="00655D8A">
        <w:t>Assem</w:t>
      </w:r>
      <w:proofErr w:type="spellEnd"/>
      <w:r w:rsidRPr="00655D8A">
        <w:t>. Bill No. 3176 (2017-2018 Reg. Sess.) prepared for Governor Brown (Aug. 31, 2018 &amp; Sept. 4, 2018) p. 5 (Enrolled Bill Report).)</w:t>
      </w:r>
      <w:r w:rsidRPr="00C2664E">
        <w:t xml:space="preserve"> </w:t>
      </w:r>
      <w:r>
        <w:t>M</w:t>
      </w:r>
      <w:r w:rsidRPr="00C2664E">
        <w:t>ade up of tribal representatives and advocates</w:t>
      </w:r>
      <w:r>
        <w:t>, the task force was the</w:t>
      </w:r>
      <w:r>
        <w:t xml:space="preserve"> first of its kind in California</w:t>
      </w:r>
      <w:r w:rsidRPr="00AA47AF">
        <w:t xml:space="preserve">. </w:t>
      </w:r>
      <w:r w:rsidR="00AA47AF">
        <w:t>(</w:t>
      </w:r>
      <w:r w:rsidRPr="00AA47AF">
        <w:rPr>
          <w:i/>
          <w:iCs/>
        </w:rPr>
        <w:t>Ibid.</w:t>
      </w:r>
      <w:r w:rsidRPr="00AA47AF">
        <w:t>)</w:t>
      </w:r>
    </w:p>
    <w:p w14:paraId="36CEEBC5" w14:textId="76638897" w:rsidR="005C1314" w:rsidRDefault="00DB5798" w:rsidP="005F5311">
      <w:pPr>
        <w:ind w:firstLine="720"/>
      </w:pPr>
      <w:r>
        <w:t>The task force issued its report in 2017. Among other things, it recommended broadening the initial inquiry to include not just a child’s parents, but their extended family members as well. (</w:t>
      </w:r>
      <w:r w:rsidRPr="002B6329">
        <w:t>California ICWA Complia</w:t>
      </w:r>
      <w:r w:rsidRPr="002B6329">
        <w:t xml:space="preserve">nce Task Force, Report to the California Attorney General's Bureau of Children's Justice, 2017 [as of </w:t>
      </w:r>
      <w:r>
        <w:t>J</w:t>
      </w:r>
      <w:r w:rsidR="00AA47AF">
        <w:t>uly 10</w:t>
      </w:r>
      <w:r w:rsidRPr="002B6329">
        <w:t xml:space="preserve">, 2023], archived at </w:t>
      </w:r>
      <w:r w:rsidRPr="0086556B">
        <w:t>https://perma.cc/NYF6-VPY9</w:t>
      </w:r>
      <w:r>
        <w:t xml:space="preserve"> (Task Force Report) at p. 26.) The report explained why relying on parents alone for the initial in</w:t>
      </w:r>
      <w:r>
        <w:t xml:space="preserve">quiry does not necessarily protect </w:t>
      </w:r>
      <w:r>
        <w:lastRenderedPageBreak/>
        <w:t xml:space="preserve">the rights of the tribe: “When parents are the </w:t>
      </w:r>
      <w:r w:rsidRPr="00A81533">
        <w:t>sole target</w:t>
      </w:r>
      <w:r>
        <w:t xml:space="preserve"> of the initial inquiry, </w:t>
      </w:r>
      <w:proofErr w:type="gramStart"/>
      <w:r>
        <w:t>it should be understood that there</w:t>
      </w:r>
      <w:proofErr w:type="gramEnd"/>
      <w:r>
        <w:t xml:space="preserve"> are a variety of reasons why </w:t>
      </w:r>
      <w:r w:rsidRPr="00A81533">
        <w:t>relying on the parents does not necessarily protect the child’s best inter</w:t>
      </w:r>
      <w:r w:rsidRPr="00A81533">
        <w:t>ests, or the rights of the tribe</w:t>
      </w:r>
      <w:r>
        <w:t xml:space="preserve">. Parents may simply not have that </w:t>
      </w:r>
      <w:proofErr w:type="gramStart"/>
      <w:r>
        <w:t>information, or</w:t>
      </w:r>
      <w:proofErr w:type="gramEnd"/>
      <w:r>
        <w:t xml:space="preserve"> may possess only vague or ambiguous information. [¶] The parents or Indian custodian may be fearful to self-identify, and social workers are ill-equipped to overcome that by</w:t>
      </w:r>
      <w:r>
        <w:t xml:space="preserve"> explaining the rights a parent or Indian custodian has under the law. Parents may even wish to avoid the tribe’s participation or assumption of jurisdiction.” (Task Force Report, p. 28.)</w:t>
      </w:r>
    </w:p>
    <w:p w14:paraId="3B37B963" w14:textId="30BD2785" w:rsidR="005C1314" w:rsidRDefault="00DB5798" w:rsidP="005C1314">
      <w:pPr>
        <w:ind w:firstLine="720"/>
      </w:pPr>
      <w:r>
        <w:t>In 2017, a</w:t>
      </w:r>
      <w:r w:rsidRPr="00B748DB">
        <w:t>fter the task force issued its report</w:t>
      </w:r>
      <w:r w:rsidR="00CB7D3B">
        <w:t xml:space="preserve">, </w:t>
      </w:r>
      <w:r w:rsidR="00CB7D3B" w:rsidRPr="00003C61">
        <w:t>tribal leaders from across</w:t>
      </w:r>
      <w:r w:rsidR="00CB7D3B" w:rsidRPr="002E4037">
        <w:t xml:space="preserve"> </w:t>
      </w:r>
      <w:r w:rsidR="00CB7D3B">
        <w:t>the state formed</w:t>
      </w:r>
      <w:r>
        <w:t xml:space="preserve"> the</w:t>
      </w:r>
      <w:r w:rsidRPr="00B748DB">
        <w:t xml:space="preserve"> California Tribal Families Coalition</w:t>
      </w:r>
      <w:r>
        <w:t xml:space="preserve"> “</w:t>
      </w:r>
      <w:r w:rsidRPr="002E4037">
        <w:t>to implement the</w:t>
      </w:r>
      <w:r>
        <w:t xml:space="preserve"> [report’s]</w:t>
      </w:r>
      <w:r w:rsidRPr="002E4037">
        <w:t xml:space="preserve"> comprehensive findings</w:t>
      </w:r>
      <w:r>
        <w:t>” and sponsor “</w:t>
      </w:r>
      <w:r w:rsidRPr="002E4037">
        <w:t>key legislation that helps protect Native children and tribal sovereignty</w:t>
      </w:r>
      <w:r>
        <w:t xml:space="preserve">.” </w:t>
      </w:r>
      <w:r w:rsidRPr="00607830">
        <w:t xml:space="preserve">(Enrolled Bill Report, </w:t>
      </w:r>
      <w:r w:rsidRPr="00607830">
        <w:rPr>
          <w:i/>
          <w:iCs/>
        </w:rPr>
        <w:t>supra</w:t>
      </w:r>
      <w:r w:rsidRPr="00607830">
        <w:t>, p. 6</w:t>
      </w:r>
      <w:r>
        <w:t>.)</w:t>
      </w:r>
      <w:r>
        <w:t xml:space="preserve"> C</w:t>
      </w:r>
      <w:r w:rsidRPr="00F24FFA">
        <w:t xml:space="preserve">omprised of </w:t>
      </w:r>
      <w:r w:rsidR="00064A33">
        <w:t>13</w:t>
      </w:r>
      <w:r w:rsidRPr="00F24FFA">
        <w:t xml:space="preserve"> Tribal Council leaders</w:t>
      </w:r>
      <w:r w:rsidR="003A3F56">
        <w:t xml:space="preserve"> and </w:t>
      </w:r>
      <w:r w:rsidRPr="00F24FFA">
        <w:t xml:space="preserve">five of the seven co-chairs of the </w:t>
      </w:r>
      <w:r>
        <w:t>t</w:t>
      </w:r>
      <w:r w:rsidRPr="00F24FFA">
        <w:t xml:space="preserve">ask </w:t>
      </w:r>
      <w:r>
        <w:t>f</w:t>
      </w:r>
      <w:r w:rsidRPr="00F24FFA">
        <w:t>orce</w:t>
      </w:r>
      <w:r>
        <w:t>, the coalition’s goal was “</w:t>
      </w:r>
      <w:r w:rsidRPr="00003C61">
        <w:t>to provide a strong and unified voice on behalf of tribal children</w:t>
      </w:r>
      <w:r>
        <w:t>.” (</w:t>
      </w:r>
      <w:r w:rsidRPr="00003C61">
        <w:t>California Tribal Families Coalition &lt;https://caltribalfamilies.org/&gt;</w:t>
      </w:r>
      <w:r>
        <w:t xml:space="preserve"> </w:t>
      </w:r>
      <w:r w:rsidRPr="00003C61">
        <w:t xml:space="preserve">[as of </w:t>
      </w:r>
      <w:r>
        <w:t xml:space="preserve">July </w:t>
      </w:r>
      <w:r w:rsidR="00AA47AF">
        <w:t>10</w:t>
      </w:r>
      <w:r w:rsidRPr="00003C61">
        <w:t>, 2023], archived at &lt;https://perma.cc/NC9Z-2AGM&gt;</w:t>
      </w:r>
      <w:r>
        <w:t>.) The coalition was A.B. 3176’s “</w:t>
      </w:r>
      <w:r w:rsidRPr="0063021B">
        <w:t>sponsor and source.</w:t>
      </w:r>
      <w:r>
        <w:t>”</w:t>
      </w:r>
      <w:r w:rsidRPr="0063021B">
        <w:t xml:space="preserve"> (</w:t>
      </w:r>
      <w:r w:rsidRPr="001D40B0">
        <w:rPr>
          <w:i/>
          <w:iCs/>
        </w:rPr>
        <w:t>S.S.</w:t>
      </w:r>
      <w:r>
        <w:t xml:space="preserve">, </w:t>
      </w:r>
      <w:r w:rsidRPr="001D40B0">
        <w:rPr>
          <w:i/>
          <w:iCs/>
        </w:rPr>
        <w:t>supra</w:t>
      </w:r>
      <w:r>
        <w:t xml:space="preserve">, 90 Cal.App.5th at p. 701; </w:t>
      </w:r>
      <w:proofErr w:type="spellStart"/>
      <w:r w:rsidRPr="0063021B">
        <w:t>Assem</w:t>
      </w:r>
      <w:proofErr w:type="spellEnd"/>
      <w:r w:rsidRPr="0063021B">
        <w:t xml:space="preserve">. Com. on Judiciary, Rep. on </w:t>
      </w:r>
      <w:proofErr w:type="spellStart"/>
      <w:r w:rsidRPr="0063021B">
        <w:t>Assem</w:t>
      </w:r>
      <w:proofErr w:type="spellEnd"/>
      <w:r w:rsidRPr="0063021B">
        <w:t xml:space="preserve">. Bill No. 3176 [2017-2018 Reg. Sess.] </w:t>
      </w:r>
      <w:r w:rsidR="00F22C21">
        <w:t xml:space="preserve">as amended </w:t>
      </w:r>
      <w:r w:rsidRPr="0063021B">
        <w:t>Apr</w:t>
      </w:r>
      <w:r w:rsidR="00F22C21">
        <w:t>.</w:t>
      </w:r>
      <w:r w:rsidRPr="0063021B">
        <w:t xml:space="preserve"> 1</w:t>
      </w:r>
      <w:r w:rsidR="00F22C21">
        <w:t>1</w:t>
      </w:r>
      <w:r w:rsidRPr="0063021B">
        <w:t>,</w:t>
      </w:r>
      <w:r w:rsidRPr="0063021B">
        <w:t xml:space="preserve"> 2018, pp. 1 &amp; 10.)</w:t>
      </w:r>
    </w:p>
    <w:p w14:paraId="63CFD61E" w14:textId="63A1DFAC" w:rsidR="005C1314" w:rsidRDefault="00DB5798" w:rsidP="005F7F22">
      <w:pPr>
        <w:spacing w:after="100" w:afterAutospacing="1"/>
        <w:ind w:firstLine="720"/>
      </w:pPr>
      <w:r>
        <w:t xml:space="preserve">As </w:t>
      </w:r>
      <w:r w:rsidRPr="00A81533">
        <w:rPr>
          <w:i/>
          <w:iCs/>
        </w:rPr>
        <w:t>S.S.</w:t>
      </w:r>
      <w:r w:rsidRPr="005C7A96">
        <w:t xml:space="preserve"> </w:t>
      </w:r>
      <w:r>
        <w:t>succinctly puts it, “</w:t>
      </w:r>
      <w:r w:rsidRPr="00EE7645">
        <w:t>California tribal leaders gathered narratives and data about the failure of implementation of the Act. They issued a report that generated the 2018 amendment: the Legislature embraced the tribal proposal swi</w:t>
      </w:r>
      <w:r w:rsidRPr="00EE7645">
        <w:t xml:space="preserve">ftly and without </w:t>
      </w:r>
      <w:r w:rsidRPr="00EE7645">
        <w:lastRenderedPageBreak/>
        <w:t xml:space="preserve">opposition. The resulting law required </w:t>
      </w:r>
      <w:r>
        <w:t>[social workers]</w:t>
      </w:r>
      <w:r w:rsidRPr="00EE7645">
        <w:t xml:space="preserve"> to </w:t>
      </w:r>
      <w:proofErr w:type="gramStart"/>
      <w:r w:rsidRPr="00EE7645">
        <w:t>ask</w:t>
      </w:r>
      <w:proofErr w:type="gramEnd"/>
      <w:r w:rsidRPr="00EE7645">
        <w:t xml:space="preserve"> </w:t>
      </w:r>
      <w:r>
        <w:t>‘</w:t>
      </w:r>
      <w:r w:rsidRPr="00EE7645">
        <w:t>extended family members</w:t>
      </w:r>
      <w:r>
        <w:t>’</w:t>
      </w:r>
      <w:r w:rsidRPr="00EE7645">
        <w:t xml:space="preserve"> whether the child may be an Indian child.</w:t>
      </w:r>
      <w:r>
        <w:t>” (</w:t>
      </w:r>
      <w:r w:rsidRPr="005F7F22">
        <w:t>S.S.</w:t>
      </w:r>
      <w:r>
        <w:t xml:space="preserve">, </w:t>
      </w:r>
      <w:r w:rsidRPr="005F7F22">
        <w:t>supra</w:t>
      </w:r>
      <w:r>
        <w:t>, 90 Cal.App.5th at p. 699.)</w:t>
      </w:r>
    </w:p>
    <w:p w14:paraId="1DCF3B15" w14:textId="53D573B5" w:rsidR="000563AC" w:rsidRPr="005F7F22" w:rsidRDefault="00DB5798" w:rsidP="005F7F22">
      <w:pPr>
        <w:spacing w:line="240" w:lineRule="auto"/>
        <w:ind w:left="1440" w:hanging="720"/>
      </w:pPr>
      <w:r>
        <w:t>D.</w:t>
      </w:r>
      <w:r>
        <w:tab/>
      </w:r>
      <w:r w:rsidRPr="005F7F22">
        <w:rPr>
          <w:i/>
          <w:iCs/>
        </w:rPr>
        <w:t xml:space="preserve">A.B. </w:t>
      </w:r>
      <w:r w:rsidR="00F954FE" w:rsidRPr="005F7F22">
        <w:rPr>
          <w:i/>
          <w:iCs/>
        </w:rPr>
        <w:t xml:space="preserve">3176 </w:t>
      </w:r>
      <w:r w:rsidR="005A47E2" w:rsidRPr="005F7F22">
        <w:rPr>
          <w:i/>
          <w:iCs/>
        </w:rPr>
        <w:t>I</w:t>
      </w:r>
      <w:r w:rsidR="0016667B" w:rsidRPr="005F7F22">
        <w:rPr>
          <w:i/>
          <w:iCs/>
        </w:rPr>
        <w:t>mpose</w:t>
      </w:r>
      <w:r w:rsidR="00832CD8" w:rsidRPr="005F7F22">
        <w:rPr>
          <w:i/>
          <w:iCs/>
        </w:rPr>
        <w:t>d</w:t>
      </w:r>
      <w:r w:rsidR="0016667B" w:rsidRPr="005F7F22">
        <w:rPr>
          <w:i/>
          <w:iCs/>
        </w:rPr>
        <w:t xml:space="preserve"> </w:t>
      </w:r>
      <w:r w:rsidR="003A3F56" w:rsidRPr="005F7F22">
        <w:rPr>
          <w:i/>
          <w:iCs/>
        </w:rPr>
        <w:t>New</w:t>
      </w:r>
      <w:r w:rsidR="00752EC4" w:rsidRPr="005F7F22">
        <w:rPr>
          <w:i/>
          <w:iCs/>
        </w:rPr>
        <w:t xml:space="preserve"> </w:t>
      </w:r>
      <w:r w:rsidR="005A47E2" w:rsidRPr="005F7F22">
        <w:rPr>
          <w:i/>
          <w:iCs/>
        </w:rPr>
        <w:t>R</w:t>
      </w:r>
      <w:r w:rsidR="009C61A1" w:rsidRPr="005F7F22">
        <w:rPr>
          <w:i/>
          <w:iCs/>
        </w:rPr>
        <w:t xml:space="preserve">equirements </w:t>
      </w:r>
      <w:r w:rsidR="00002E20" w:rsidRPr="005F7F22">
        <w:rPr>
          <w:i/>
          <w:iCs/>
        </w:rPr>
        <w:t>for</w:t>
      </w:r>
      <w:r w:rsidR="003A3F56" w:rsidRPr="005F7F22">
        <w:rPr>
          <w:i/>
          <w:iCs/>
        </w:rPr>
        <w:t xml:space="preserve"> the Temporary Custody and</w:t>
      </w:r>
      <w:r w:rsidR="00002E20" w:rsidRPr="005F7F22">
        <w:rPr>
          <w:i/>
          <w:iCs/>
        </w:rPr>
        <w:t xml:space="preserve"> Det</w:t>
      </w:r>
      <w:r w:rsidR="003A3F56" w:rsidRPr="005F7F22">
        <w:rPr>
          <w:i/>
          <w:iCs/>
        </w:rPr>
        <w:t>ention of</w:t>
      </w:r>
      <w:r w:rsidR="00002E20" w:rsidRPr="005F7F22">
        <w:rPr>
          <w:i/>
          <w:iCs/>
        </w:rPr>
        <w:t xml:space="preserve"> Indian Children</w:t>
      </w:r>
    </w:p>
    <w:p w14:paraId="3B995A52" w14:textId="53F1CEA1" w:rsidR="00C91C91" w:rsidRDefault="00DB5798" w:rsidP="005F7F22">
      <w:pPr>
        <w:ind w:firstLine="720"/>
      </w:pPr>
      <w:r>
        <w:t xml:space="preserve">In addition to expanding </w:t>
      </w:r>
      <w:r w:rsidR="00CC36B4">
        <w:t xml:space="preserve">the scope of the initial inquiry, </w:t>
      </w:r>
      <w:r>
        <w:t xml:space="preserve">A.B. 3176 imposed new </w:t>
      </w:r>
      <w:r w:rsidR="003A3F56">
        <w:t xml:space="preserve">ICWA-related </w:t>
      </w:r>
      <w:r>
        <w:t>requirements for the temporary custody and detention of Indian children. As many of the legislative materi</w:t>
      </w:r>
      <w:r>
        <w:t xml:space="preserve">als describing A.B. 3176 </w:t>
      </w:r>
      <w:r w:rsidR="00880CF8">
        <w:t>observe</w:t>
      </w:r>
      <w:r>
        <w:t>, the changes to the temporary custody and detention provisions were “intended to ‘conform [California law] to changes to federal regulations” governing [ICWA].’” (</w:t>
      </w:r>
      <w:proofErr w:type="spellStart"/>
      <w:r w:rsidRPr="00177467">
        <w:t>Assem</w:t>
      </w:r>
      <w:proofErr w:type="spellEnd"/>
      <w:r w:rsidRPr="00177467">
        <w:t xml:space="preserve">. Com. on Human </w:t>
      </w:r>
      <w:r w:rsidR="00F22C21">
        <w:t xml:space="preserve">Resources, </w:t>
      </w:r>
      <w:r w:rsidRPr="00177467">
        <w:t>Rep.</w:t>
      </w:r>
      <w:r w:rsidR="00F22C21">
        <w:t xml:space="preserve"> on </w:t>
      </w:r>
      <w:proofErr w:type="spellStart"/>
      <w:r w:rsidR="00F22C21">
        <w:t>Assem</w:t>
      </w:r>
      <w:proofErr w:type="spellEnd"/>
      <w:r w:rsidR="00F22C21">
        <w:t>. Bill No. 3176 (2017-2018 Reg. Sess.)</w:t>
      </w:r>
      <w:r w:rsidRPr="00177467">
        <w:t xml:space="preserve"> Apr. 10, </w:t>
      </w:r>
      <w:proofErr w:type="gramStart"/>
      <w:r w:rsidRPr="00177467">
        <w:t>2018</w:t>
      </w:r>
      <w:proofErr w:type="gramEnd"/>
      <w:r w:rsidR="00F22C21">
        <w:t xml:space="preserve"> Report</w:t>
      </w:r>
      <w:r w:rsidRPr="00177467">
        <w:t xml:space="preserve">, p. 1; </w:t>
      </w:r>
      <w:proofErr w:type="spellStart"/>
      <w:r w:rsidRPr="00177467">
        <w:t>Assem</w:t>
      </w:r>
      <w:proofErr w:type="spellEnd"/>
      <w:r w:rsidRPr="00177467">
        <w:t xml:space="preserve">. </w:t>
      </w:r>
      <w:r w:rsidR="0008012A">
        <w:t>Com. On Human Services, 3d</w:t>
      </w:r>
      <w:r w:rsidRPr="00177467">
        <w:t xml:space="preserve"> </w:t>
      </w:r>
      <w:r w:rsidR="0008012A">
        <w:t>r</w:t>
      </w:r>
      <w:r w:rsidRPr="00177467">
        <w:t xml:space="preserve">eading as amended May 25, 2018, p. 1; </w:t>
      </w:r>
      <w:proofErr w:type="spellStart"/>
      <w:r w:rsidR="0008012A">
        <w:t>Assem</w:t>
      </w:r>
      <w:proofErr w:type="spellEnd"/>
      <w:r w:rsidR="0008012A">
        <w:t xml:space="preserve">. </w:t>
      </w:r>
      <w:r w:rsidRPr="00177467">
        <w:t>Conc. in Sen. Amends., as amended Aug. 22, 2018, p. 1.)</w:t>
      </w:r>
    </w:p>
    <w:p w14:paraId="052AC05A" w14:textId="1F06B9E1" w:rsidR="00C91C91" w:rsidRDefault="00DB5798" w:rsidP="00C91C91">
      <w:pPr>
        <w:ind w:firstLine="720"/>
      </w:pPr>
      <w:r>
        <w:t xml:space="preserve">In 2016, the federal government issued regulations </w:t>
      </w:r>
      <w:r w:rsidR="009C3012">
        <w:t xml:space="preserve">applicable to </w:t>
      </w:r>
      <w:r>
        <w:t>eme</w:t>
      </w:r>
      <w:r>
        <w:t xml:space="preserve">rgency proceedings involving Indian children. The regulations defined </w:t>
      </w:r>
      <w:r w:rsidR="0008012A">
        <w:t xml:space="preserve">an </w:t>
      </w:r>
      <w:r>
        <w:t>“emergency proceeding” as “</w:t>
      </w:r>
      <w:r w:rsidRPr="00824DBF">
        <w:t>any court action that involves an emergency removal or emergency placement of an Indian child</w:t>
      </w:r>
      <w:r w:rsidR="003A3F56">
        <w:t>,</w:t>
      </w:r>
      <w:r>
        <w:t>”</w:t>
      </w:r>
      <w:r w:rsidR="003A3F56">
        <w:t xml:space="preserve"> which, under California law, includes the detention hearing under section 319.</w:t>
      </w:r>
      <w:r>
        <w:t xml:space="preserve"> (</w:t>
      </w:r>
      <w:r w:rsidRPr="006730A8">
        <w:t>25 C.F.R. § 23</w:t>
      </w:r>
      <w:r>
        <w:t>.2</w:t>
      </w:r>
      <w:r w:rsidR="003A3F56">
        <w:t xml:space="preserve">; </w:t>
      </w:r>
      <w:proofErr w:type="spellStart"/>
      <w:r w:rsidR="003A3F56">
        <w:t>Welf</w:t>
      </w:r>
      <w:proofErr w:type="spellEnd"/>
      <w:r w:rsidR="003A3F56">
        <w:t>. &amp; Inst. Code, § 319</w:t>
      </w:r>
      <w:r>
        <w:t>.) Under the regulations, a state court may not order the emergency removal or placement of an Indian child unless it “</w:t>
      </w:r>
      <w:r w:rsidRPr="000F4127">
        <w:t>make</w:t>
      </w:r>
      <w:r>
        <w:t>[s]</w:t>
      </w:r>
      <w:r w:rsidRPr="000F4127">
        <w:t xml:space="preserve"> a fin</w:t>
      </w:r>
      <w:r w:rsidRPr="000F4127">
        <w:t>ding on the record</w:t>
      </w:r>
      <w:r>
        <w:t xml:space="preserve"> that the emergency removal or placement is </w:t>
      </w:r>
      <w:r w:rsidRPr="00A81533">
        <w:t>necessary</w:t>
      </w:r>
      <w:r>
        <w:t xml:space="preserve"> to prevent imminent physical damage or harm to the child.” (</w:t>
      </w:r>
      <w:r w:rsidRPr="006730A8">
        <w:t>25 C.F.R. §</w:t>
      </w:r>
      <w:r w:rsidR="001A4C33">
        <w:t> </w:t>
      </w:r>
      <w:r w:rsidRPr="006730A8">
        <w:t>23.1</w:t>
      </w:r>
      <w:r>
        <w:t xml:space="preserve">13(b).) </w:t>
      </w:r>
      <w:r w:rsidR="003A3F56">
        <w:t>The</w:t>
      </w:r>
      <w:r>
        <w:t xml:space="preserve"> regulations </w:t>
      </w:r>
      <w:r w:rsidR="003A3F56">
        <w:t xml:space="preserve">also </w:t>
      </w:r>
      <w:r>
        <w:t xml:space="preserve">extended the court’s initial inquiry </w:t>
      </w:r>
      <w:r w:rsidR="006B2056">
        <w:t>obligation</w:t>
      </w:r>
      <w:r>
        <w:t xml:space="preserve"> to emergency proceedings. </w:t>
      </w:r>
      <w:r w:rsidRPr="006730A8">
        <w:t>(25 C</w:t>
      </w:r>
      <w:r w:rsidRPr="006730A8">
        <w:t>.F.R. § 23.107(a).</w:t>
      </w:r>
      <w:r w:rsidR="006B2056">
        <w:t>)</w:t>
      </w:r>
    </w:p>
    <w:p w14:paraId="0CEE0D25" w14:textId="1EC4E8DA" w:rsidR="00371F5B" w:rsidRDefault="00DB5798" w:rsidP="00C91C91">
      <w:pPr>
        <w:ind w:firstLine="720"/>
      </w:pPr>
      <w:r>
        <w:lastRenderedPageBreak/>
        <w:t xml:space="preserve">As the </w:t>
      </w:r>
      <w:r w:rsidR="00EA668D">
        <w:t>E</w:t>
      </w:r>
      <w:r w:rsidR="00675AA6" w:rsidRPr="00675AA6">
        <w:t xml:space="preserve">nrolled </w:t>
      </w:r>
      <w:r w:rsidR="00EA668D">
        <w:t>B</w:t>
      </w:r>
      <w:r w:rsidR="00675AA6" w:rsidRPr="00675AA6">
        <w:t xml:space="preserve">ill </w:t>
      </w:r>
      <w:r w:rsidR="00EA668D">
        <w:t>R</w:t>
      </w:r>
      <w:r w:rsidR="00675AA6" w:rsidRPr="00675AA6">
        <w:t xml:space="preserve">eport </w:t>
      </w:r>
      <w:r w:rsidR="00675AA6">
        <w:t>for A.B. 3176 notes,</w:t>
      </w:r>
      <w:r>
        <w:t xml:space="preserve"> </w:t>
      </w:r>
      <w:r w:rsidR="00675AA6">
        <w:t>at the time of their issu</w:t>
      </w:r>
      <w:r w:rsidR="00EB3745">
        <w:t>ance, these</w:t>
      </w:r>
      <w:r w:rsidR="00D36A4F">
        <w:t xml:space="preserve"> </w:t>
      </w:r>
      <w:r>
        <w:t>regulations represented “a departure from the existing application of ICWA in California, where the</w:t>
      </w:r>
      <w:r w:rsidR="00EB3745">
        <w:t xml:space="preserve"> minimum </w:t>
      </w:r>
      <w:r w:rsidR="00E97A6C">
        <w:t>federal standards often do not get applied until the dispositional hearing.”</w:t>
      </w:r>
      <w:r>
        <w:t xml:space="preserve"> </w:t>
      </w:r>
      <w:r w:rsidR="00675AA6">
        <w:t>(</w:t>
      </w:r>
      <w:r w:rsidR="00675AA6" w:rsidRPr="00607830">
        <w:t xml:space="preserve">Enrolled Bill Report, </w:t>
      </w:r>
      <w:r w:rsidR="00675AA6" w:rsidRPr="00607830">
        <w:rPr>
          <w:i/>
          <w:iCs/>
        </w:rPr>
        <w:t>supra</w:t>
      </w:r>
      <w:r w:rsidR="00675AA6" w:rsidRPr="00607830">
        <w:t xml:space="preserve">, p. </w:t>
      </w:r>
      <w:r w:rsidR="00675AA6">
        <w:t>8</w:t>
      </w:r>
      <w:r>
        <w:t xml:space="preserve">.) </w:t>
      </w:r>
      <w:r w:rsidR="007919DA">
        <w:t>T</w:t>
      </w:r>
      <w:r w:rsidR="00C91C91">
        <w:t xml:space="preserve">o bring California law into compliance with </w:t>
      </w:r>
      <w:r>
        <w:t xml:space="preserve">the </w:t>
      </w:r>
      <w:r w:rsidR="008F4F34">
        <w:t>2016</w:t>
      </w:r>
      <w:r>
        <w:t xml:space="preserve"> regulations</w:t>
      </w:r>
      <w:r w:rsidR="00C91C91">
        <w:t xml:space="preserve">, </w:t>
      </w:r>
      <w:r w:rsidR="007919DA">
        <w:t>our Legislature</w:t>
      </w:r>
      <w:r w:rsidR="00C91C91">
        <w:t xml:space="preserve"> made several amendments to the ICWA-</w:t>
      </w:r>
      <w:r w:rsidR="003A3F56">
        <w:t>related</w:t>
      </w:r>
      <w:r w:rsidR="00C91C91">
        <w:t xml:space="preserve"> provisions in </w:t>
      </w:r>
      <w:r w:rsidR="00C91C91" w:rsidRPr="0017054B">
        <w:t xml:space="preserve">article </w:t>
      </w:r>
      <w:r w:rsidR="00C91C91">
        <w:t>7</w:t>
      </w:r>
      <w:r w:rsidR="00C91C91" w:rsidRPr="0017054B">
        <w:t xml:space="preserve"> of the juvenile court law</w:t>
      </w:r>
      <w:r w:rsidR="00C91C91">
        <w:t xml:space="preserve"> (§§ 305</w:t>
      </w:r>
      <w:r w:rsidR="0008012A">
        <w:t>-</w:t>
      </w:r>
      <w:r w:rsidR="00C91C91">
        <w:t xml:space="preserve">324.5), which governs temporary custody and detention </w:t>
      </w:r>
      <w:r w:rsidR="003A3F56">
        <w:t xml:space="preserve">prior to </w:t>
      </w:r>
      <w:r w:rsidR="00C91C91">
        <w:t>the jurisdiction hearing. (</w:t>
      </w:r>
      <w:proofErr w:type="spellStart"/>
      <w:r w:rsidR="00C91C91" w:rsidRPr="00030899">
        <w:t>Welf</w:t>
      </w:r>
      <w:proofErr w:type="spellEnd"/>
      <w:r w:rsidR="00C91C91" w:rsidRPr="00030899">
        <w:t xml:space="preserve">. &amp; Inst. Code, div. 2, part 1, </w:t>
      </w:r>
      <w:proofErr w:type="spellStart"/>
      <w:r w:rsidR="00C91C91" w:rsidRPr="00030899">
        <w:t>ch.</w:t>
      </w:r>
      <w:proofErr w:type="spellEnd"/>
      <w:r w:rsidR="00C91C91" w:rsidRPr="00030899">
        <w:t xml:space="preserve"> 2, art</w:t>
      </w:r>
      <w:r w:rsidR="00C91C91">
        <w:t>s</w:t>
      </w:r>
      <w:r w:rsidR="00C91C91" w:rsidRPr="00030899">
        <w:t xml:space="preserve">. </w:t>
      </w:r>
      <w:r w:rsidR="00C91C91">
        <w:t>1</w:t>
      </w:r>
      <w:r w:rsidR="006A3AE7">
        <w:t xml:space="preserve"> </w:t>
      </w:r>
      <w:r w:rsidR="00C91C91">
        <w:t xml:space="preserve">&amp; </w:t>
      </w:r>
      <w:r w:rsidR="00C91C91" w:rsidRPr="00030899">
        <w:t>7</w:t>
      </w:r>
      <w:r w:rsidR="00C91C91">
        <w:t>.)</w:t>
      </w:r>
    </w:p>
    <w:p w14:paraId="5421F7E3" w14:textId="0325B104" w:rsidR="00C91C91" w:rsidRDefault="00DB5798" w:rsidP="00C91C91">
      <w:pPr>
        <w:ind w:firstLine="720"/>
      </w:pPr>
      <w:r>
        <w:t xml:space="preserve">For example, A.B. 3176 </w:t>
      </w:r>
      <w:r w:rsidR="00EA3E99">
        <w:t xml:space="preserve">added </w:t>
      </w:r>
      <w:r>
        <w:t>“Emergency proceeding”</w:t>
      </w:r>
      <w:r w:rsidR="00356505">
        <w:t xml:space="preserve"> to the definitions in section 224.1 and defined the term</w:t>
      </w:r>
      <w:r>
        <w:t xml:space="preserve"> as “</w:t>
      </w:r>
      <w:r w:rsidRPr="00106E8E">
        <w:t>the initial petition hearing held pursuant to Section 319</w:t>
      </w:r>
      <w:r w:rsidR="00356505">
        <w:t>.</w:t>
      </w:r>
      <w:r>
        <w:t>” (§ 224.1, subd. (</w:t>
      </w:r>
      <w:r w:rsidRPr="0064345F">
        <w:rPr>
          <w:i/>
          <w:iCs/>
        </w:rPr>
        <w:t>l</w:t>
      </w:r>
      <w:r>
        <w:t>)</w:t>
      </w:r>
      <w:r w:rsidR="00DF1BF7">
        <w:t xml:space="preserve">; </w:t>
      </w:r>
      <w:r w:rsidR="00DF1BF7" w:rsidRPr="00751141">
        <w:t xml:space="preserve">Stats. 2018, </w:t>
      </w:r>
      <w:proofErr w:type="spellStart"/>
      <w:r w:rsidR="00DF1BF7" w:rsidRPr="00751141">
        <w:t>ch.</w:t>
      </w:r>
      <w:proofErr w:type="spellEnd"/>
      <w:r w:rsidR="00DF1BF7" w:rsidRPr="00751141">
        <w:t xml:space="preserve"> 833, §</w:t>
      </w:r>
      <w:r w:rsidR="00DF1BF7">
        <w:t xml:space="preserve"> 3</w:t>
      </w:r>
      <w:r w:rsidR="00356505">
        <w:t>.</w:t>
      </w:r>
      <w:r>
        <w:t xml:space="preserve">) </w:t>
      </w:r>
      <w:r w:rsidR="00356505">
        <w:t xml:space="preserve">A.B. 3176 </w:t>
      </w:r>
      <w:r w:rsidR="00FC09E6">
        <w:t>added a provision to section 319 that states</w:t>
      </w:r>
      <w:r>
        <w:t xml:space="preserve"> that “</w:t>
      </w:r>
      <w:r w:rsidRPr="000B139F">
        <w:t xml:space="preserve">any order detaining </w:t>
      </w:r>
      <w:r>
        <w:t>[an Indian]</w:t>
      </w:r>
      <w:r w:rsidRPr="000B139F">
        <w:t xml:space="preserve"> child pursuant to this section shall be considere</w:t>
      </w:r>
      <w:r w:rsidRPr="000B139F">
        <w:t xml:space="preserve">d an </w:t>
      </w:r>
      <w:r w:rsidRPr="00A81533">
        <w:t>emergency removal</w:t>
      </w:r>
      <w:r w:rsidRPr="000B139F">
        <w:t xml:space="preserve"> within the meaning of Section 1922 of the federal Indian Child Welfare Act of 1978</w:t>
      </w:r>
      <w:r>
        <w:t>.” (§ 319, subd. (</w:t>
      </w:r>
      <w:proofErr w:type="spellStart"/>
      <w:r>
        <w:t>i</w:t>
      </w:r>
      <w:proofErr w:type="spellEnd"/>
      <w:r>
        <w:t>)</w:t>
      </w:r>
      <w:r w:rsidR="00DF1BF7">
        <w:t xml:space="preserve">; </w:t>
      </w:r>
      <w:r w:rsidR="00DF1BF7" w:rsidRPr="00751141">
        <w:t xml:space="preserve">Stats. 2018, </w:t>
      </w:r>
      <w:proofErr w:type="spellStart"/>
      <w:r w:rsidR="00DF1BF7" w:rsidRPr="00751141">
        <w:t>ch.</w:t>
      </w:r>
      <w:proofErr w:type="spellEnd"/>
      <w:r w:rsidR="00DF1BF7" w:rsidRPr="00751141">
        <w:t xml:space="preserve"> 833, §</w:t>
      </w:r>
      <w:r w:rsidR="00DF1BF7">
        <w:t xml:space="preserve"> 22</w:t>
      </w:r>
      <w:r>
        <w:t>.) In addition, A.B. 3176 amended section 306, the provision authorizing social workers to take tempora</w:t>
      </w:r>
      <w:r>
        <w:t>ry custody of children in advance of the initial petition (i.e., detention) hearing, to require that “[u]</w:t>
      </w:r>
      <w:proofErr w:type="spellStart"/>
      <w:r>
        <w:t>pon</w:t>
      </w:r>
      <w:proofErr w:type="spellEnd"/>
      <w:r>
        <w:t xml:space="preserve"> receiving temporary </w:t>
      </w:r>
      <w:r w:rsidRPr="00850A2F">
        <w:t>custody of a child, the county welfare department shall inquire pursuant to Section 224.2, whether the child is an Indian child</w:t>
      </w:r>
      <w:r>
        <w:t>.” (§ 306, subd. (b)</w:t>
      </w:r>
      <w:r w:rsidR="00DF1BF7">
        <w:t xml:space="preserve">; </w:t>
      </w:r>
      <w:r w:rsidR="00DF1BF7" w:rsidRPr="00751141">
        <w:t xml:space="preserve">Stats. 2018, </w:t>
      </w:r>
      <w:proofErr w:type="spellStart"/>
      <w:r w:rsidR="00DF1BF7" w:rsidRPr="00751141">
        <w:t>ch.</w:t>
      </w:r>
      <w:proofErr w:type="spellEnd"/>
      <w:r w:rsidR="00DF1BF7" w:rsidRPr="00751141">
        <w:t xml:space="preserve"> 833, §</w:t>
      </w:r>
      <w:r w:rsidR="00DF1BF7">
        <w:t xml:space="preserve"> 19</w:t>
      </w:r>
      <w:r>
        <w:t>.)</w:t>
      </w:r>
    </w:p>
    <w:p w14:paraId="362FAC56" w14:textId="5804944F" w:rsidR="00C91C91" w:rsidRDefault="00DB5798" w:rsidP="005F7F22">
      <w:pPr>
        <w:keepNext/>
        <w:keepLines/>
        <w:ind w:firstLine="720"/>
      </w:pPr>
      <w:r>
        <w:lastRenderedPageBreak/>
        <w:t xml:space="preserve">If the child taken into temporary custody is an Indian child (or there is “reason to know” they are), </w:t>
      </w:r>
      <w:r w:rsidR="008766BF">
        <w:t>various</w:t>
      </w:r>
      <w:r>
        <w:t xml:space="preserve"> provisions </w:t>
      </w:r>
      <w:r w:rsidR="00FF1C5C">
        <w:t xml:space="preserve">added by A.B. 3176 </w:t>
      </w:r>
      <w:r>
        <w:t>apply to both social workers and the juvenile court. For example,</w:t>
      </w:r>
      <w:r>
        <w:t xml:space="preserve"> leading up to the detention hearing, the social worker must make “</w:t>
      </w:r>
      <w:r w:rsidRPr="001E37D6">
        <w:t>active efforts</w:t>
      </w:r>
      <w:r>
        <w:t xml:space="preserve">” </w:t>
      </w:r>
      <w:r w:rsidRPr="00EA4E9E">
        <w:t xml:space="preserve">to prevent the emergency removal of </w:t>
      </w:r>
      <w:r>
        <w:t>the</w:t>
      </w:r>
      <w:r w:rsidRPr="00EA4E9E">
        <w:t xml:space="preserve"> Indian child from their home</w:t>
      </w:r>
      <w:r>
        <w:t xml:space="preserve"> and must submit a detention report containing more information than required for non-Indian children. (§</w:t>
      </w:r>
      <w:r>
        <w:t>§ 306, subd. (f)(4), 31</w:t>
      </w:r>
      <w:r w:rsidR="00DF1BF7">
        <w:t xml:space="preserve">9; </w:t>
      </w:r>
      <w:r w:rsidR="00DF1BF7" w:rsidRPr="00751141">
        <w:t xml:space="preserve">Stats. 2018, </w:t>
      </w:r>
      <w:proofErr w:type="spellStart"/>
      <w:r w:rsidR="00DF1BF7" w:rsidRPr="00751141">
        <w:t>ch.</w:t>
      </w:r>
      <w:proofErr w:type="spellEnd"/>
      <w:r w:rsidR="00DF1BF7" w:rsidRPr="00751141">
        <w:t xml:space="preserve"> 833, §§</w:t>
      </w:r>
      <w:r w:rsidR="00DF1BF7">
        <w:t xml:space="preserve"> 19, 22</w:t>
      </w:r>
      <w:r>
        <w:t>.)</w:t>
      </w:r>
    </w:p>
    <w:p w14:paraId="5DF33628" w14:textId="42BA7AD6" w:rsidR="00C91C91" w:rsidRDefault="00DB5798" w:rsidP="00C91C91">
      <w:pPr>
        <w:ind w:firstLine="720"/>
      </w:pPr>
      <w:r>
        <w:t>As another example, at the detention hearing, a higher standard applies to the removal of Indian children than non-Indian children. A court may detain a non-Indian child based on a finding that “[</w:t>
      </w:r>
      <w:r>
        <w:t xml:space="preserve">t]here is </w:t>
      </w:r>
      <w:r w:rsidR="0008012A">
        <w:t xml:space="preserve">a </w:t>
      </w:r>
      <w:r w:rsidRPr="007028DB">
        <w:t>substantial danger to the physical health of the child</w:t>
      </w:r>
      <w:r>
        <w:t xml:space="preserve"> </w:t>
      </w:r>
      <w:r w:rsidRPr="00B87B4A">
        <w:t>or the child is suffering severe emotional damage, and</w:t>
      </w:r>
      <w:r w:rsidRPr="00510692">
        <w:t xml:space="preserve"> there are no reasonable means by which the child</w:t>
      </w:r>
      <w:r>
        <w:t>’s</w:t>
      </w:r>
      <w:r w:rsidRPr="00510692">
        <w:t xml:space="preserve"> physical or emotional health may be protected without</w:t>
      </w:r>
      <w:r>
        <w:t>” detaining the child. (§</w:t>
      </w:r>
      <w:r w:rsidR="00464BB6">
        <w:t> </w:t>
      </w:r>
      <w:r>
        <w:t>319, subd. (c)(1).) In contrast, with the enactment of A.B. 3176, a court may</w:t>
      </w:r>
      <w:r w:rsidRPr="004D17B3">
        <w:t xml:space="preserve"> detain </w:t>
      </w:r>
      <w:r>
        <w:t>an</w:t>
      </w:r>
      <w:r w:rsidRPr="004D17B3">
        <w:t xml:space="preserve"> Indian child </w:t>
      </w:r>
      <w:r>
        <w:t xml:space="preserve">only upon a finding </w:t>
      </w:r>
      <w:r w:rsidRPr="004D17B3">
        <w:t xml:space="preserve">that detention is </w:t>
      </w:r>
      <w:r>
        <w:t>“</w:t>
      </w:r>
      <w:r w:rsidRPr="004D17B3">
        <w:t>necessary to prevent imminent physic</w:t>
      </w:r>
      <w:r w:rsidRPr="004D17B3">
        <w:t>al damage or harm</w:t>
      </w:r>
      <w:r>
        <w:t>,</w:t>
      </w:r>
      <w:r w:rsidR="00FD625D">
        <w:t>”</w:t>
      </w:r>
      <w:r>
        <w:t xml:space="preserve"> and the court must “</w:t>
      </w:r>
      <w:r w:rsidRPr="004D17B3">
        <w:t>state on the record</w:t>
      </w:r>
      <w:r>
        <w:t>”</w:t>
      </w:r>
      <w:r w:rsidRPr="004D17B3">
        <w:t xml:space="preserve"> the facts supporting th</w:t>
      </w:r>
      <w:r>
        <w:t>at</w:t>
      </w:r>
      <w:r w:rsidRPr="004D17B3">
        <w:t xml:space="preserve"> finding.</w:t>
      </w:r>
      <w:r>
        <w:t xml:space="preserve"> (§ 319, subd. (d); </w:t>
      </w:r>
      <w:r w:rsidRPr="00751141">
        <w:t xml:space="preserve">Stats. 2018, </w:t>
      </w:r>
      <w:proofErr w:type="spellStart"/>
      <w:r w:rsidRPr="00751141">
        <w:t>ch.</w:t>
      </w:r>
      <w:proofErr w:type="spellEnd"/>
      <w:r w:rsidRPr="00751141">
        <w:t xml:space="preserve"> 833, §</w:t>
      </w:r>
      <w:r>
        <w:t xml:space="preserve"> 22.) And, when a court orders the detention of an Indian child, ICWA’s placement preferences (codified in </w:t>
      </w:r>
      <w:r w:rsidR="00FD625D">
        <w:t>§</w:t>
      </w:r>
      <w:r>
        <w:t xml:space="preserve"> 361.31) a</w:t>
      </w:r>
      <w:r>
        <w:t xml:space="preserve">pply to the emergency placement unless the court finds “good cause” to deviate from them. (§ 319, subd. (h)(1)(C); </w:t>
      </w:r>
      <w:r w:rsidRPr="00751141">
        <w:t xml:space="preserve">Stats. 2018, </w:t>
      </w:r>
      <w:proofErr w:type="spellStart"/>
      <w:r w:rsidRPr="00751141">
        <w:t>ch.</w:t>
      </w:r>
      <w:proofErr w:type="spellEnd"/>
      <w:r w:rsidRPr="00751141">
        <w:t xml:space="preserve"> 833, §</w:t>
      </w:r>
      <w:r>
        <w:t xml:space="preserve"> 22</w:t>
      </w:r>
      <w:r w:rsidR="00885C21">
        <w:t>.</w:t>
      </w:r>
      <w:r>
        <w:t>) Finally, A.B. 3176 added a provision allowing any party to request rehearing of the detention order for an India</w:t>
      </w:r>
      <w:r>
        <w:t>n child at any time “[p]</w:t>
      </w:r>
      <w:proofErr w:type="spellStart"/>
      <w:r>
        <w:t>rior</w:t>
      </w:r>
      <w:proofErr w:type="spellEnd"/>
      <w:r>
        <w:t xml:space="preserve"> to disposition” to present evidence to the court that the </w:t>
      </w:r>
      <w:r>
        <w:lastRenderedPageBreak/>
        <w:t xml:space="preserve">emergency placement “is no longer necessary to prevent imminent physical damage or harm to the child.” (§ 319.4; </w:t>
      </w:r>
      <w:r w:rsidRPr="00751141">
        <w:t xml:space="preserve">Stats. 2018, </w:t>
      </w:r>
      <w:proofErr w:type="spellStart"/>
      <w:r w:rsidRPr="00751141">
        <w:t>ch.</w:t>
      </w:r>
      <w:proofErr w:type="spellEnd"/>
      <w:r w:rsidRPr="00751141">
        <w:t xml:space="preserve"> 833, §</w:t>
      </w:r>
      <w:r>
        <w:t xml:space="preserve"> 23.)</w:t>
      </w:r>
    </w:p>
    <w:p w14:paraId="080CCF62" w14:textId="6015A3CF" w:rsidR="00C91C91" w:rsidRDefault="00DB5798" w:rsidP="00530CBE">
      <w:r>
        <w:tab/>
      </w:r>
      <w:r w:rsidR="003831AE">
        <w:t>A</w:t>
      </w:r>
      <w:r w:rsidR="008B0A09">
        <w:t xml:space="preserve">s </w:t>
      </w:r>
      <w:r w:rsidR="00C72DE0">
        <w:t>t</w:t>
      </w:r>
      <w:r w:rsidR="005C11BE">
        <w:t>he legislative history of A.B. 3176</w:t>
      </w:r>
      <w:r w:rsidR="00C72DE0">
        <w:t xml:space="preserve"> </w:t>
      </w:r>
      <w:r w:rsidR="008B0A09">
        <w:t xml:space="preserve">shows, </w:t>
      </w:r>
      <w:r w:rsidR="005C11BE">
        <w:t xml:space="preserve">the </w:t>
      </w:r>
      <w:r w:rsidR="008F5285">
        <w:t xml:space="preserve">impetus </w:t>
      </w:r>
      <w:r w:rsidR="00EF5CBC">
        <w:t>for expanding</w:t>
      </w:r>
      <w:r w:rsidR="008F5285">
        <w:t xml:space="preserve"> </w:t>
      </w:r>
      <w:r w:rsidR="00510E28">
        <w:t>the scope of</w:t>
      </w:r>
      <w:r w:rsidR="00F80F48">
        <w:t xml:space="preserve"> the</w:t>
      </w:r>
      <w:r w:rsidR="009664EE">
        <w:t xml:space="preserve"> initial inquiry</w:t>
      </w:r>
      <w:r w:rsidR="008F5285">
        <w:t xml:space="preserve"> was different from the impetus for</w:t>
      </w:r>
      <w:r w:rsidR="00EF5CBC">
        <w:t xml:space="preserve"> imposing</w:t>
      </w:r>
      <w:r w:rsidR="008F5285">
        <w:t xml:space="preserve"> </w:t>
      </w:r>
      <w:r w:rsidR="00510E28">
        <w:t>the</w:t>
      </w:r>
      <w:r w:rsidR="004A1623">
        <w:t xml:space="preserve"> </w:t>
      </w:r>
      <w:r w:rsidR="00EF5CBC">
        <w:t xml:space="preserve">new </w:t>
      </w:r>
      <w:r w:rsidR="00510E28">
        <w:t>ICWA-related requirements for temporary custody and detention</w:t>
      </w:r>
      <w:r w:rsidR="006C0EE1">
        <w:t xml:space="preserve">. </w:t>
      </w:r>
      <w:r w:rsidR="00C34C9C">
        <w:t xml:space="preserve">A tribal coalition </w:t>
      </w:r>
      <w:r w:rsidR="00143637">
        <w:t xml:space="preserve">prompted the </w:t>
      </w:r>
      <w:r w:rsidR="00143637" w:rsidRPr="00D36A4F">
        <w:t>expansion of the initial inquiry beyond parents</w:t>
      </w:r>
      <w:r w:rsidR="001F0D2D">
        <w:t>,</w:t>
      </w:r>
      <w:r w:rsidR="00143637" w:rsidRPr="00D36A4F">
        <w:t xml:space="preserve"> to include extended family members and others</w:t>
      </w:r>
      <w:r w:rsidR="00C34C9C">
        <w:t xml:space="preserve">, whereas the </w:t>
      </w:r>
      <w:r w:rsidR="00C34C9C" w:rsidRPr="00D36A4F">
        <w:t xml:space="preserve">2016 federal regulations prompted </w:t>
      </w:r>
      <w:r w:rsidR="00C34C9C">
        <w:t xml:space="preserve">the </w:t>
      </w:r>
      <w:r w:rsidR="00EF5CBC">
        <w:t xml:space="preserve">new </w:t>
      </w:r>
      <w:r w:rsidR="00C34C9C">
        <w:t>temporary custody and detention</w:t>
      </w:r>
      <w:r w:rsidR="00EF5CBC">
        <w:t xml:space="preserve"> requirements</w:t>
      </w:r>
      <w:r w:rsidR="00143637" w:rsidRPr="00D36A4F">
        <w:t>. (</w:t>
      </w:r>
      <w:r w:rsidR="00EF5CBC" w:rsidRPr="00607830">
        <w:t xml:space="preserve">Enrolled Bill Report, </w:t>
      </w:r>
      <w:r w:rsidR="00EF5CBC" w:rsidRPr="00607830">
        <w:rPr>
          <w:i/>
          <w:iCs/>
        </w:rPr>
        <w:t>supra</w:t>
      </w:r>
      <w:r w:rsidR="00EF5CBC" w:rsidRPr="00607830">
        <w:t xml:space="preserve">, p. </w:t>
      </w:r>
      <w:r w:rsidR="00EF5CBC">
        <w:t>8; s</w:t>
      </w:r>
      <w:r w:rsidR="00694083" w:rsidRPr="00D36A4F">
        <w:t>ee</w:t>
      </w:r>
      <w:r w:rsidR="00EF5CBC">
        <w:t xml:space="preserve"> also</w:t>
      </w:r>
      <w:r w:rsidR="00694083" w:rsidRPr="00D36A4F">
        <w:t xml:space="preserve"> </w:t>
      </w:r>
      <w:r w:rsidR="00143637" w:rsidRPr="00D36A4F">
        <w:rPr>
          <w:i/>
          <w:iCs/>
        </w:rPr>
        <w:t>S.S.</w:t>
      </w:r>
      <w:r w:rsidR="00E26658" w:rsidRPr="00D36A4F">
        <w:t xml:space="preserve">, </w:t>
      </w:r>
      <w:r w:rsidR="00E26658" w:rsidRPr="00D36A4F">
        <w:rPr>
          <w:i/>
          <w:iCs/>
        </w:rPr>
        <w:t>supra</w:t>
      </w:r>
      <w:r w:rsidR="00E26658" w:rsidRPr="00D36A4F">
        <w:t xml:space="preserve">, </w:t>
      </w:r>
      <w:r w:rsidR="0088422F" w:rsidRPr="00D36A4F">
        <w:t xml:space="preserve">90 Cal.App.5th at p. </w:t>
      </w:r>
      <w:r w:rsidR="00694083" w:rsidRPr="00D36A4F">
        <w:t>696</w:t>
      </w:r>
      <w:r w:rsidR="00143637" w:rsidRPr="00D36A4F">
        <w:t xml:space="preserve"> </w:t>
      </w:r>
      <w:r w:rsidR="00694083" w:rsidRPr="00D36A4F">
        <w:t>[</w:t>
      </w:r>
      <w:r w:rsidR="00C34C9C">
        <w:t>observ</w:t>
      </w:r>
      <w:r w:rsidR="00EF5CBC">
        <w:t xml:space="preserve">ing </w:t>
      </w:r>
      <w:r w:rsidR="00C34C9C">
        <w:t>that t</w:t>
      </w:r>
      <w:r w:rsidR="00694083" w:rsidRPr="00D36A4F">
        <w:t>he Legislature</w:t>
      </w:r>
      <w:r w:rsidR="00272D93" w:rsidRPr="00D36A4F">
        <w:t xml:space="preserve"> </w:t>
      </w:r>
      <w:r w:rsidR="00EF5CBC">
        <w:t>expanded</w:t>
      </w:r>
      <w:r w:rsidR="00C2676F" w:rsidRPr="00D36A4F">
        <w:t xml:space="preserve"> the initial inquiry “at the behest of tribes”</w:t>
      </w:r>
      <w:r w:rsidR="00272D93" w:rsidRPr="00D36A4F">
        <w:t>]</w:t>
      </w:r>
      <w:r w:rsidR="0073741B">
        <w:t>.)</w:t>
      </w:r>
    </w:p>
    <w:p w14:paraId="793CE27C" w14:textId="02D94606" w:rsidR="00277FA7" w:rsidRPr="000E2608" w:rsidRDefault="00DB5798" w:rsidP="000E2608">
      <w:pPr>
        <w:pStyle w:val="ListParagraph"/>
        <w:numPr>
          <w:ilvl w:val="0"/>
          <w:numId w:val="6"/>
        </w:numPr>
        <w:rPr>
          <w:i/>
          <w:iCs/>
        </w:rPr>
      </w:pPr>
      <w:r w:rsidRPr="000E2608">
        <w:rPr>
          <w:i/>
          <w:iCs/>
        </w:rPr>
        <w:t xml:space="preserve">The </w:t>
      </w:r>
      <w:r w:rsidR="00646601" w:rsidRPr="000E2608">
        <w:rPr>
          <w:i/>
          <w:iCs/>
        </w:rPr>
        <w:t>Department</w:t>
      </w:r>
      <w:r w:rsidR="00C11C3A" w:rsidRPr="000E2608">
        <w:rPr>
          <w:i/>
          <w:iCs/>
        </w:rPr>
        <w:t>’s</w:t>
      </w:r>
      <w:r w:rsidR="00646601" w:rsidRPr="000E2608">
        <w:rPr>
          <w:i/>
          <w:iCs/>
        </w:rPr>
        <w:t xml:space="preserve"> </w:t>
      </w:r>
      <w:r w:rsidR="00853A5E" w:rsidRPr="000E2608">
        <w:rPr>
          <w:i/>
          <w:iCs/>
        </w:rPr>
        <w:t>Incomplete</w:t>
      </w:r>
      <w:r w:rsidR="00C34C9C" w:rsidRPr="000E2608">
        <w:rPr>
          <w:i/>
          <w:iCs/>
        </w:rPr>
        <w:t xml:space="preserve"> Initial Inquiry</w:t>
      </w:r>
      <w:r w:rsidR="00853A5E" w:rsidRPr="000E2608">
        <w:rPr>
          <w:i/>
          <w:iCs/>
        </w:rPr>
        <w:t xml:space="preserve"> Requires Conditional Reversal</w:t>
      </w:r>
    </w:p>
    <w:p w14:paraId="6E62FA5B" w14:textId="4209DD1D" w:rsidR="004C33D7" w:rsidRDefault="00DB5798" w:rsidP="004C33D7">
      <w:pPr>
        <w:ind w:firstLine="720"/>
      </w:pPr>
      <w:r>
        <w:t xml:space="preserve">Here, </w:t>
      </w:r>
      <w:r w:rsidR="005E2185">
        <w:t>the social worker failed to ask the maternal uncle whether D</w:t>
      </w:r>
      <w:r w:rsidR="00FD625D">
        <w:t>elila</w:t>
      </w:r>
      <w:r w:rsidR="005E2185">
        <w:t xml:space="preserve"> is or may be an Indian child, despite the fact he was available from the outset of the </w:t>
      </w:r>
      <w:proofErr w:type="gramStart"/>
      <w:r w:rsidR="005E2185">
        <w:t>case</w:t>
      </w:r>
      <w:proofErr w:type="gramEnd"/>
      <w:r w:rsidR="005E2185">
        <w:t xml:space="preserve"> and she spoke with him about other matters. Mother argues this failure is a violation of section 224.2(b)’s clear mandate to make the initial inquiry of available extended family members. </w:t>
      </w:r>
      <w:r w:rsidR="00670298">
        <w:t xml:space="preserve">Relying </w:t>
      </w:r>
      <w:r w:rsidR="001719EE">
        <w:t xml:space="preserve">on </w:t>
      </w:r>
      <w:r w:rsidR="001719EE" w:rsidRPr="00CB7331">
        <w:rPr>
          <w:i/>
          <w:iCs/>
        </w:rPr>
        <w:t>Robert F.</w:t>
      </w:r>
      <w:r w:rsidR="001719EE">
        <w:t>, the department argue</w:t>
      </w:r>
      <w:r w:rsidR="00C9722C">
        <w:t>s</w:t>
      </w:r>
      <w:r w:rsidR="001719EE">
        <w:t xml:space="preserve"> the obligation to interview extended family members arises only in cases that begin with the child being taken into temporary custody </w:t>
      </w:r>
      <w:r w:rsidR="001719EE" w:rsidRPr="00D3602D">
        <w:rPr>
          <w:i/>
          <w:iCs/>
        </w:rPr>
        <w:t>without a warrant</w:t>
      </w:r>
      <w:r w:rsidR="001719EE">
        <w:t xml:space="preserve">. The department </w:t>
      </w:r>
      <w:r w:rsidR="00764635">
        <w:t>argues</w:t>
      </w:r>
      <w:r w:rsidR="001719EE">
        <w:t xml:space="preserve"> that because D</w:t>
      </w:r>
      <w:r w:rsidR="00FD625D">
        <w:t>elila</w:t>
      </w:r>
      <w:r w:rsidR="001719EE">
        <w:t xml:space="preserve"> was taken into custody</w:t>
      </w:r>
      <w:r w:rsidR="00EF5CBC">
        <w:t xml:space="preserve"> by protective custody warrant</w:t>
      </w:r>
      <w:r w:rsidR="001719EE">
        <w:t>, the social worker was not required to interview the child’s extended family members.</w:t>
      </w:r>
    </w:p>
    <w:p w14:paraId="2368AD9B" w14:textId="77777777" w:rsidR="0011607C" w:rsidRDefault="00DB5798" w:rsidP="0011607C">
      <w:pPr>
        <w:ind w:firstLine="720"/>
      </w:pPr>
      <w:r>
        <w:lastRenderedPageBreak/>
        <w:t>We agree with mother</w:t>
      </w:r>
      <w:r w:rsidR="00FB7BBE">
        <w:t>. A</w:t>
      </w:r>
      <w:r w:rsidR="00DB36C1">
        <w:t xml:space="preserve">s we’ll explain, </w:t>
      </w:r>
      <w:r w:rsidR="00764635">
        <w:t xml:space="preserve">we conclude </w:t>
      </w:r>
      <w:r w:rsidR="00DB36C1" w:rsidRPr="001907E8">
        <w:rPr>
          <w:i/>
          <w:iCs/>
        </w:rPr>
        <w:t>Robert F.</w:t>
      </w:r>
      <w:r w:rsidR="001907E8">
        <w:t xml:space="preserve"> </w:t>
      </w:r>
      <w:r w:rsidR="003C04F5">
        <w:t>misinterprets the language and purpose of</w:t>
      </w:r>
      <w:r w:rsidR="001907E8">
        <w:t xml:space="preserve"> section 224.2(b).</w:t>
      </w:r>
    </w:p>
    <w:p w14:paraId="0892953F" w14:textId="77777777" w:rsidR="0011607C" w:rsidRDefault="00DB5798" w:rsidP="0011607C">
      <w:pPr>
        <w:pStyle w:val="ListParagraph"/>
        <w:numPr>
          <w:ilvl w:val="0"/>
          <w:numId w:val="7"/>
        </w:numPr>
      </w:pPr>
      <w:r w:rsidRPr="0011607C">
        <w:rPr>
          <w:i/>
          <w:iCs/>
        </w:rPr>
        <w:t>We decline to follow</w:t>
      </w:r>
      <w:r>
        <w:t xml:space="preserve"> </w:t>
      </w:r>
      <w:r w:rsidR="001E0245" w:rsidRPr="006B7110">
        <w:t>Robert F.</w:t>
      </w:r>
    </w:p>
    <w:p w14:paraId="7A2CE485" w14:textId="70A9D2BD" w:rsidR="008F2625" w:rsidRDefault="00DB5798" w:rsidP="0011607C">
      <w:pPr>
        <w:ind w:firstLine="720"/>
      </w:pPr>
      <w:r>
        <w:t xml:space="preserve">In </w:t>
      </w:r>
      <w:r w:rsidRPr="0011607C">
        <w:rPr>
          <w:i/>
          <w:iCs/>
        </w:rPr>
        <w:t>Robert F.</w:t>
      </w:r>
      <w:r>
        <w:t xml:space="preserve">, Robert’s mother appealed the order terminating her </w:t>
      </w:r>
      <w:r w:rsidRPr="00894682">
        <w:t>parental rights</w:t>
      </w:r>
      <w:r>
        <w:t xml:space="preserve"> on the same ground as mother does here</w:t>
      </w:r>
      <w:r w:rsidR="00EF5CBC">
        <w:t xml:space="preserve">: </w:t>
      </w:r>
      <w:r>
        <w:t xml:space="preserve">that the department failed to ask available </w:t>
      </w:r>
      <w:r w:rsidRPr="00894682">
        <w:t>extended family members whether Robert ha</w:t>
      </w:r>
      <w:r>
        <w:t>d</w:t>
      </w:r>
      <w:r w:rsidRPr="00894682">
        <w:t xml:space="preserve"> Indian ancestry</w:t>
      </w:r>
      <w:r>
        <w:t>. (</w:t>
      </w:r>
      <w:r w:rsidRPr="0011607C">
        <w:rPr>
          <w:i/>
          <w:iCs/>
        </w:rPr>
        <w:t>Robert F.</w:t>
      </w:r>
      <w:r>
        <w:t xml:space="preserve">, </w:t>
      </w:r>
      <w:r w:rsidRPr="0011607C">
        <w:rPr>
          <w:i/>
          <w:iCs/>
        </w:rPr>
        <w:t>supra</w:t>
      </w:r>
      <w:r>
        <w:t>, 90 Cal.App.5th at p. 497.) Our court concluded that the duty to interview extended family members contained in section 224.2(b) arise</w:t>
      </w:r>
      <w:r>
        <w:t>s only if the child was initially removed from home without a warrant under the exigent circumstances described in section 306, subdivision (a)(2). (</w:t>
      </w:r>
      <w:r w:rsidR="0014563F" w:rsidRPr="0011607C">
        <w:rPr>
          <w:i/>
          <w:iCs/>
        </w:rPr>
        <w:t>Robert F.</w:t>
      </w:r>
      <w:r w:rsidR="0014563F">
        <w:t xml:space="preserve">, </w:t>
      </w:r>
      <w:r w:rsidR="002C45B0">
        <w:t>at p</w:t>
      </w:r>
      <w:r w:rsidR="005130C1">
        <w:t>.</w:t>
      </w:r>
      <w:r w:rsidR="002C45B0">
        <w:t xml:space="preserve"> 504.</w:t>
      </w:r>
      <w:r>
        <w:t xml:space="preserve">) Based on this conclusion, we held the department was not required to interview extended family members because </w:t>
      </w:r>
      <w:r w:rsidR="00BD7150">
        <w:t xml:space="preserve">Robert </w:t>
      </w:r>
      <w:r w:rsidR="00081149">
        <w:t>was not initially removed from home without a warrant</w:t>
      </w:r>
      <w:r w:rsidR="00EF5CBC">
        <w:t xml:space="preserve">, he was removed by </w:t>
      </w:r>
      <w:r>
        <w:t>protective custody warrant. (</w:t>
      </w:r>
      <w:r w:rsidR="002C45B0" w:rsidRPr="0011607C">
        <w:rPr>
          <w:i/>
          <w:iCs/>
        </w:rPr>
        <w:t>Ibid.</w:t>
      </w:r>
      <w:r>
        <w:t>) In other words, circumstanc</w:t>
      </w:r>
      <w:r>
        <w:t>es occurring before Robert was even detained dictated the scope of the ICWA</w:t>
      </w:r>
      <w:r w:rsidR="004035E2">
        <w:t xml:space="preserve"> i</w:t>
      </w:r>
      <w:r>
        <w:t xml:space="preserve">nvestigation that applied </w:t>
      </w:r>
      <w:r w:rsidR="00360CF0">
        <w:t xml:space="preserve">throughout his </w:t>
      </w:r>
      <w:r>
        <w:t>case</w:t>
      </w:r>
      <w:r w:rsidR="00EF5CBC">
        <w:t xml:space="preserve">, </w:t>
      </w:r>
      <w:r w:rsidR="00360CF0">
        <w:t>from disposition to termination of parental rights</w:t>
      </w:r>
      <w:r>
        <w:t>.</w:t>
      </w:r>
    </w:p>
    <w:p w14:paraId="30B971D3" w14:textId="1BA61F86" w:rsidR="00E84049" w:rsidRDefault="00DB5798" w:rsidP="00E84049">
      <w:pPr>
        <w:ind w:firstLine="720"/>
      </w:pPr>
      <w:r>
        <w:t xml:space="preserve">To reach this conclusion, </w:t>
      </w:r>
      <w:r w:rsidRPr="001A1581">
        <w:rPr>
          <w:i/>
          <w:iCs/>
        </w:rPr>
        <w:t>Robert F.</w:t>
      </w:r>
      <w:r>
        <w:t xml:space="preserve"> interpreted the first sentence of section 22</w:t>
      </w:r>
      <w:r>
        <w:t xml:space="preserve">4.2(b) as dictating the </w:t>
      </w:r>
      <w:r w:rsidRPr="000E2608">
        <w:t>only</w:t>
      </w:r>
      <w:r>
        <w:t xml:space="preserve"> circumstance under which the duty described in the second applies. </w:t>
      </w:r>
      <w:r w:rsidR="00A10C27" w:rsidRPr="00205343">
        <w:rPr>
          <w:i/>
          <w:iCs/>
        </w:rPr>
        <w:t>Robert F</w:t>
      </w:r>
      <w:r w:rsidR="005D0AC3" w:rsidRPr="00205343">
        <w:rPr>
          <w:i/>
          <w:iCs/>
        </w:rPr>
        <w:t>.</w:t>
      </w:r>
      <w:r w:rsidR="005D0AC3">
        <w:t xml:space="preserve"> held </w:t>
      </w:r>
      <w:r w:rsidR="00480684">
        <w:t xml:space="preserve">that </w:t>
      </w:r>
      <w:r w:rsidR="005D0AC3">
        <w:t>section</w:t>
      </w:r>
      <w:r w:rsidR="00E70F71">
        <w:t xml:space="preserve"> 224.2(b)</w:t>
      </w:r>
      <w:r w:rsidR="005D0AC3" w:rsidRPr="005D0AC3">
        <w:t xml:space="preserve"> </w:t>
      </w:r>
      <w:r w:rsidR="00E70F71">
        <w:t>“</w:t>
      </w:r>
      <w:r w:rsidR="005D0AC3" w:rsidRPr="005D0AC3">
        <w:t>requires a county welfare department to ask extended family members about a child</w:t>
      </w:r>
      <w:r w:rsidR="00E70F71">
        <w:t>’</w:t>
      </w:r>
      <w:r w:rsidR="005D0AC3" w:rsidRPr="005D0AC3">
        <w:t xml:space="preserve">s Indian status </w:t>
      </w:r>
      <w:r w:rsidR="005D0AC3" w:rsidRPr="00E70F71">
        <w:rPr>
          <w:i/>
          <w:iCs/>
        </w:rPr>
        <w:t>only if</w:t>
      </w:r>
      <w:r w:rsidR="005D0AC3" w:rsidRPr="005D0AC3">
        <w:t xml:space="preserve"> the department has taken the child into temporary custody under section 306.</w:t>
      </w:r>
      <w:r w:rsidR="00E70F71">
        <w:t xml:space="preserve">” </w:t>
      </w:r>
      <w:r>
        <w:t>(</w:t>
      </w:r>
      <w:r w:rsidR="00EA3282" w:rsidRPr="00E40B9A">
        <w:rPr>
          <w:i/>
          <w:iCs/>
        </w:rPr>
        <w:t>Robert F.</w:t>
      </w:r>
      <w:r w:rsidR="00EA3282">
        <w:t xml:space="preserve">, </w:t>
      </w:r>
      <w:r w:rsidR="00EA3282" w:rsidRPr="00E40B9A">
        <w:rPr>
          <w:i/>
          <w:iCs/>
        </w:rPr>
        <w:t>supra</w:t>
      </w:r>
      <w:r w:rsidR="00EA3282">
        <w:t xml:space="preserve">, 90 Cal.App.5th at </w:t>
      </w:r>
      <w:r w:rsidR="00E70F71">
        <w:t>p. 504</w:t>
      </w:r>
      <w:r w:rsidR="00E37866">
        <w:t>, italics added</w:t>
      </w:r>
      <w:r>
        <w:t xml:space="preserve">.) In addition, </w:t>
      </w:r>
      <w:r w:rsidRPr="00040DCC">
        <w:rPr>
          <w:i/>
          <w:iCs/>
        </w:rPr>
        <w:t>Robert F.</w:t>
      </w:r>
      <w:r>
        <w:t xml:space="preserve"> </w:t>
      </w:r>
      <w:r w:rsidR="00205343">
        <w:t>conclude</w:t>
      </w:r>
      <w:r w:rsidR="00727329">
        <w:t>d</w:t>
      </w:r>
      <w:r w:rsidR="00205343">
        <w:t xml:space="preserve"> that </w:t>
      </w:r>
      <w:r w:rsidR="000A547E">
        <w:t xml:space="preserve">section 224.2(b)’s reference </w:t>
      </w:r>
      <w:r w:rsidR="000A547E">
        <w:lastRenderedPageBreak/>
        <w:t xml:space="preserve">to </w:t>
      </w:r>
      <w:r w:rsidR="002B156C">
        <w:t xml:space="preserve">temporary custody </w:t>
      </w:r>
      <w:r w:rsidR="000A547E">
        <w:t>“pursuant to [s]</w:t>
      </w:r>
      <w:proofErr w:type="spellStart"/>
      <w:r w:rsidR="006527F8">
        <w:t>ection</w:t>
      </w:r>
      <w:proofErr w:type="spellEnd"/>
      <w:r w:rsidR="006527F8">
        <w:t xml:space="preserve"> 306</w:t>
      </w:r>
      <w:r w:rsidR="000A547E">
        <w:t>”</w:t>
      </w:r>
      <w:r w:rsidR="00AF6E2E">
        <w:t xml:space="preserve"> is limited to circumstances where the </w:t>
      </w:r>
      <w:r w:rsidR="006527F8">
        <w:t xml:space="preserve">child </w:t>
      </w:r>
      <w:r w:rsidR="00AF6E2E">
        <w:t xml:space="preserve">is removed </w:t>
      </w:r>
      <w:r w:rsidR="006527F8">
        <w:t>without a warrant</w:t>
      </w:r>
      <w:r>
        <w:t xml:space="preserve">. </w:t>
      </w:r>
      <w:r w:rsidR="00FA43FF">
        <w:t>(</w:t>
      </w:r>
      <w:r w:rsidR="00FD625D">
        <w:rPr>
          <w:i/>
          <w:iCs/>
        </w:rPr>
        <w:t>Robert F</w:t>
      </w:r>
      <w:r w:rsidR="006073BD">
        <w:rPr>
          <w:i/>
          <w:iCs/>
        </w:rPr>
        <w:t>.</w:t>
      </w:r>
      <w:r w:rsidR="006073BD">
        <w:t>,</w:t>
      </w:r>
      <w:r w:rsidR="00FA43FF">
        <w:t xml:space="preserve"> at pp. 500-501.)</w:t>
      </w:r>
    </w:p>
    <w:p w14:paraId="6AFFDB26" w14:textId="27874898" w:rsidR="00E2531E" w:rsidRDefault="00DB5798" w:rsidP="004B275F">
      <w:pPr>
        <w:ind w:firstLine="720"/>
      </w:pPr>
      <w:r w:rsidRPr="008B57EC">
        <w:t xml:space="preserve">We </w:t>
      </w:r>
      <w:r w:rsidR="00677B32" w:rsidRPr="008B57EC">
        <w:t xml:space="preserve">cannot join </w:t>
      </w:r>
      <w:r w:rsidR="000A547E">
        <w:t>this</w:t>
      </w:r>
      <w:r w:rsidR="00935E7D" w:rsidRPr="008B57EC">
        <w:t xml:space="preserve"> </w:t>
      </w:r>
      <w:r w:rsidR="00677B32" w:rsidRPr="008B57EC">
        <w:t>reasoning</w:t>
      </w:r>
      <w:r w:rsidR="00935E7D">
        <w:t xml:space="preserve"> for two reasons. First, </w:t>
      </w:r>
      <w:r w:rsidR="00677B32" w:rsidRPr="008B57EC">
        <w:t xml:space="preserve">we </w:t>
      </w:r>
      <w:r w:rsidRPr="008B57EC">
        <w:t xml:space="preserve">disagree that </w:t>
      </w:r>
      <w:r w:rsidR="000A547E">
        <w:t xml:space="preserve">temporary custody under </w:t>
      </w:r>
      <w:r w:rsidRPr="008B57EC">
        <w:t xml:space="preserve">section 306 is limited to </w:t>
      </w:r>
      <w:r w:rsidR="00532792">
        <w:t>circumstances where the child is removed without a warrant</w:t>
      </w:r>
      <w:r w:rsidRPr="008B57EC">
        <w:t xml:space="preserve">. </w:t>
      </w:r>
      <w:r w:rsidR="004B275F" w:rsidRPr="008B57EC">
        <w:t xml:space="preserve">Section 306 authorizes a department to maintain a child in temporary custody both when the child has been taken from home by a social worker or police officer under exigent circumstances without a warrant (§ 306, subds. (a)(1) &amp; (2)) </w:t>
      </w:r>
      <w:r w:rsidR="004B275F" w:rsidRPr="008B57EC">
        <w:rPr>
          <w:i/>
          <w:iCs/>
        </w:rPr>
        <w:t>and</w:t>
      </w:r>
      <w:r w:rsidR="004B275F" w:rsidRPr="008B57EC">
        <w:t xml:space="preserve"> when the child has been taken from home by means of a protective custody warrant issued under section 340 (§</w:t>
      </w:r>
      <w:r w:rsidR="000E2608">
        <w:t> </w:t>
      </w:r>
      <w:r w:rsidR="004B275F" w:rsidRPr="008B57EC">
        <w:t>306, subd. (a)(1))</w:t>
      </w:r>
      <w:r w:rsidR="00447087">
        <w:t>.</w:t>
      </w:r>
    </w:p>
    <w:p w14:paraId="1894969D" w14:textId="4F0E56BB" w:rsidR="004B275F" w:rsidRPr="008B57EC" w:rsidRDefault="00DB5798" w:rsidP="004B275F">
      <w:pPr>
        <w:ind w:firstLine="720"/>
      </w:pPr>
      <w:r>
        <w:t>When a child is removed by warrant</w:t>
      </w:r>
      <w:r w:rsidRPr="008B57EC">
        <w:t>, the taking is authorized by section 340, and the holding or maintaining in custo</w:t>
      </w:r>
      <w:r w:rsidRPr="008B57EC">
        <w:t xml:space="preserve">dy is authorized by section 306, subdivision (a)(1). That is, section 340 provides that when a child is taken from home by means of a warrant, the child must be </w:t>
      </w:r>
      <w:r w:rsidR="000A547E">
        <w:t>“</w:t>
      </w:r>
      <w:r w:rsidRPr="008B57EC">
        <w:t>delivered to</w:t>
      </w:r>
      <w:r w:rsidR="000A547E">
        <w:t>”</w:t>
      </w:r>
      <w:r w:rsidRPr="008B57EC">
        <w:t xml:space="preserve"> the social worker</w:t>
      </w:r>
      <w:r w:rsidR="00C23ED1">
        <w:t>. (§ 340, subd. (c) [</w:t>
      </w:r>
      <w:r w:rsidR="004C483F">
        <w:t>“A</w:t>
      </w:r>
      <w:r w:rsidR="004C483F" w:rsidRPr="004C483F">
        <w:t>ny child taken into protective custody pursuant to this section shall immediately be delivered to the social worker who shall investigate, pursuant to Section 309, the facts and circumstances of the child and the facts surrounding the child being taken into custody and attempt to maintain the child with the child</w:t>
      </w:r>
      <w:r w:rsidR="008D5AF7">
        <w:t>’</w:t>
      </w:r>
      <w:r w:rsidR="004C483F" w:rsidRPr="004C483F">
        <w:t>s family through the provision of service</w:t>
      </w:r>
      <w:r w:rsidR="008D5AF7">
        <w:t>s</w:t>
      </w:r>
      <w:r w:rsidR="004C483F">
        <w:t xml:space="preserve">”].) </w:t>
      </w:r>
      <w:r w:rsidRPr="008B57EC">
        <w:t>Section 306, subdivision (a)(1)</w:t>
      </w:r>
      <w:r w:rsidR="004C483F">
        <w:t>, in turn,</w:t>
      </w:r>
      <w:r w:rsidRPr="008B57EC">
        <w:t xml:space="preserve"> authorizes the social worker to “receive” the child and “maintain” them in temporary custody.</w:t>
      </w:r>
      <w:r w:rsidR="00512EF4">
        <w:t xml:space="preserve"> (§ 306, subd. (a)(1)</w:t>
      </w:r>
      <w:r w:rsidR="00197554">
        <w:t>.)</w:t>
      </w:r>
    </w:p>
    <w:p w14:paraId="6E9AC4F3" w14:textId="24980916" w:rsidR="003F20F9" w:rsidRPr="008B57EC" w:rsidRDefault="00DB5798" w:rsidP="005F7F22">
      <w:pPr>
        <w:keepNext/>
        <w:keepLines/>
        <w:ind w:firstLine="720"/>
      </w:pPr>
      <w:r>
        <w:lastRenderedPageBreak/>
        <w:t xml:space="preserve">When a child is removed </w:t>
      </w:r>
      <w:r>
        <w:t>without a warrant</w:t>
      </w:r>
      <w:r w:rsidRPr="008B57EC">
        <w:t xml:space="preserve">, the taking is authorized by section 306, subdivision (a)(2) (for social workers) and </w:t>
      </w:r>
      <w:r w:rsidR="000A547E">
        <w:t xml:space="preserve">by </w:t>
      </w:r>
      <w:r w:rsidRPr="008B57EC">
        <w:t xml:space="preserve">either section 305 or 305.6 (for police officers). If </w:t>
      </w:r>
      <w:r w:rsidR="000A547E">
        <w:t>a social worker</w:t>
      </w:r>
      <w:r w:rsidR="00783742">
        <w:t xml:space="preserve"> </w:t>
      </w:r>
      <w:r w:rsidR="000A547E">
        <w:t>takes</w:t>
      </w:r>
      <w:r w:rsidR="000A547E" w:rsidRPr="008B57EC">
        <w:t xml:space="preserve"> </w:t>
      </w:r>
      <w:r w:rsidR="000A547E">
        <w:t>a</w:t>
      </w:r>
      <w:r w:rsidR="000A547E" w:rsidRPr="008B57EC">
        <w:t xml:space="preserve"> </w:t>
      </w:r>
      <w:r w:rsidRPr="008B57EC">
        <w:t>child without a warrant, section 306, subdivision (a)(2) authorizes the</w:t>
      </w:r>
      <w:r w:rsidR="00B44B8B" w:rsidRPr="008B57EC">
        <w:t xml:space="preserve"> social worker</w:t>
      </w:r>
      <w:r w:rsidRPr="008B57EC">
        <w:t xml:space="preserve"> to </w:t>
      </w:r>
      <w:r w:rsidR="00B44B8B" w:rsidRPr="008B57EC">
        <w:t>“</w:t>
      </w:r>
      <w:r w:rsidRPr="008B57EC">
        <w:t>maintain</w:t>
      </w:r>
      <w:r w:rsidR="00B44B8B" w:rsidRPr="008B57EC">
        <w:t>”</w:t>
      </w:r>
      <w:r w:rsidRPr="008B57EC">
        <w:t xml:space="preserve"> custody of the child. (See §</w:t>
      </w:r>
      <w:r w:rsidR="00464BB6">
        <w:t> </w:t>
      </w:r>
      <w:r w:rsidRPr="008B57EC">
        <w:t>306, subd. (a)(2) [permitting the social worker to both “[t]</w:t>
      </w:r>
      <w:proofErr w:type="spellStart"/>
      <w:r w:rsidRPr="008B57EC">
        <w:t>ake</w:t>
      </w:r>
      <w:proofErr w:type="spellEnd"/>
      <w:r w:rsidRPr="008B57EC">
        <w:t xml:space="preserve"> into and maintain temporary custody of” a child </w:t>
      </w:r>
      <w:r w:rsidR="00E249A2">
        <w:t>the department</w:t>
      </w:r>
      <w:r w:rsidR="00E249A2" w:rsidRPr="008B57EC">
        <w:t xml:space="preserve"> </w:t>
      </w:r>
      <w:r w:rsidRPr="008B57EC">
        <w:t>remove</w:t>
      </w:r>
      <w:r w:rsidR="00E249A2">
        <w:t>s</w:t>
      </w:r>
      <w:r w:rsidRPr="008B57EC">
        <w:t xml:space="preserve"> from home without a warrant].) </w:t>
      </w:r>
      <w:r w:rsidR="000A547E">
        <w:t>By contrast, i</w:t>
      </w:r>
      <w:r w:rsidRPr="008B57EC">
        <w:t>f a police officer</w:t>
      </w:r>
      <w:r w:rsidRPr="008B57EC">
        <w:t xml:space="preserve"> </w:t>
      </w:r>
      <w:r w:rsidR="000A547E">
        <w:t>takes</w:t>
      </w:r>
      <w:r w:rsidR="000A547E" w:rsidRPr="008B57EC">
        <w:t xml:space="preserve"> </w:t>
      </w:r>
      <w:r w:rsidR="000A547E">
        <w:t>a</w:t>
      </w:r>
      <w:r w:rsidR="000A547E" w:rsidRPr="008B57EC">
        <w:t xml:space="preserve"> </w:t>
      </w:r>
      <w:r w:rsidRPr="008B57EC">
        <w:t>child without a warrant, section 306, subdivision (a)(1) authorizes the social worker to “[r]</w:t>
      </w:r>
      <w:proofErr w:type="spellStart"/>
      <w:r w:rsidRPr="008B57EC">
        <w:t>eceive</w:t>
      </w:r>
      <w:proofErr w:type="spellEnd"/>
      <w:r w:rsidRPr="008B57EC">
        <w:t xml:space="preserve"> and maintain” the child </w:t>
      </w:r>
      <w:r w:rsidR="00F016A5">
        <w:t xml:space="preserve">upon delivery by the officer, </w:t>
      </w:r>
      <w:r w:rsidRPr="008B57EC">
        <w:t>pending the detention hearing.</w:t>
      </w:r>
      <w:r w:rsidR="00E249A2">
        <w:t xml:space="preserve"> (§ 306, subd. (a)(1).)</w:t>
      </w:r>
    </w:p>
    <w:p w14:paraId="763AAD0D" w14:textId="6D849544" w:rsidR="006E2100" w:rsidRDefault="00DB5798" w:rsidP="00C936A7">
      <w:pPr>
        <w:ind w:firstLine="720"/>
      </w:pPr>
      <w:r>
        <w:t>R</w:t>
      </w:r>
      <w:r w:rsidR="00C05162" w:rsidRPr="008B57EC">
        <w:t xml:space="preserve">egardless of whether </w:t>
      </w:r>
      <w:r w:rsidR="000A547E">
        <w:t>a</w:t>
      </w:r>
      <w:r w:rsidR="000A547E" w:rsidRPr="008B57EC">
        <w:t xml:space="preserve"> </w:t>
      </w:r>
      <w:r w:rsidR="00C05162" w:rsidRPr="008B57EC">
        <w:t xml:space="preserve">child is taken into custody by law enforcement and then delivered to the department, or is taken by the department directly, </w:t>
      </w:r>
      <w:r w:rsidRPr="008B57EC">
        <w:t xml:space="preserve">it is the </w:t>
      </w:r>
      <w:r w:rsidRPr="00A81533">
        <w:rPr>
          <w:i/>
          <w:iCs/>
        </w:rPr>
        <w:t>maintaining in custody</w:t>
      </w:r>
      <w:r w:rsidRPr="008B57EC">
        <w:t xml:space="preserve"> that triggers the </w:t>
      </w:r>
      <w:r w:rsidR="00863463" w:rsidRPr="008B57EC">
        <w:t xml:space="preserve">need for a detention hearing. (See § 315 </w:t>
      </w:r>
      <w:r w:rsidR="00863463" w:rsidRPr="00216133">
        <w:t>[</w:t>
      </w:r>
      <w:r w:rsidR="00216133" w:rsidRPr="00216133">
        <w:t>“</w:t>
      </w:r>
      <w:r w:rsidR="00863463" w:rsidRPr="00216133">
        <w:t xml:space="preserve">If a child has been taken into custody under this article and </w:t>
      </w:r>
      <w:r w:rsidR="00863463" w:rsidRPr="00A81533">
        <w:rPr>
          <w:i/>
          <w:iCs/>
        </w:rPr>
        <w:t>not released to a parent or guardian</w:t>
      </w:r>
      <w:r w:rsidR="00863463" w:rsidRPr="00216133">
        <w:t xml:space="preserve">, the juvenile court shall hold a hearing (which shall be referred to as a </w:t>
      </w:r>
      <w:r w:rsidR="00216133" w:rsidRPr="00216133">
        <w:t>‘</w:t>
      </w:r>
      <w:r w:rsidR="00863463" w:rsidRPr="00216133">
        <w:t>detention hearing</w:t>
      </w:r>
      <w:r w:rsidR="00216133" w:rsidRPr="00216133">
        <w:t>’</w:t>
      </w:r>
      <w:r w:rsidR="00863463" w:rsidRPr="00216133">
        <w:t>) to determine whether the child shall be further detained</w:t>
      </w:r>
      <w:r w:rsidR="00272748" w:rsidRPr="00216133">
        <w:t>”</w:t>
      </w:r>
      <w:r w:rsidR="00863463" w:rsidRPr="00216133">
        <w:t>]</w:t>
      </w:r>
      <w:r w:rsidR="000A547E">
        <w:t>, italics added</w:t>
      </w:r>
      <w:r w:rsidR="00AB0330" w:rsidRPr="00216133">
        <w:t xml:space="preserve">.) </w:t>
      </w:r>
      <w:r w:rsidR="007F1B86" w:rsidRPr="00216133">
        <w:t xml:space="preserve">Whether the </w:t>
      </w:r>
      <w:r w:rsidR="000A547E">
        <w:t>initial taking</w:t>
      </w:r>
      <w:r w:rsidR="000A547E" w:rsidRPr="00216133">
        <w:t xml:space="preserve"> </w:t>
      </w:r>
      <w:r w:rsidR="000A547E">
        <w:t xml:space="preserve">involves law enforcement—and is thus termed </w:t>
      </w:r>
      <w:r w:rsidR="007F1B86" w:rsidRPr="00216133">
        <w:t>“protective</w:t>
      </w:r>
      <w:r w:rsidR="000A547E">
        <w:t xml:space="preserve"> custody</w:t>
      </w:r>
      <w:r w:rsidR="007F1B86" w:rsidRPr="00216133">
        <w:t>”</w:t>
      </w:r>
      <w:r w:rsidR="000A547E">
        <w:t>—</w:t>
      </w:r>
      <w:r w:rsidR="00510130" w:rsidRPr="00216133">
        <w:t xml:space="preserve">does not </w:t>
      </w:r>
      <w:r w:rsidR="000A547E">
        <w:t>alter</w:t>
      </w:r>
      <w:r w:rsidR="000A547E" w:rsidRPr="00216133">
        <w:t xml:space="preserve"> </w:t>
      </w:r>
      <w:r w:rsidR="00510130" w:rsidRPr="00216133">
        <w:t>the fact</w:t>
      </w:r>
      <w:r w:rsidR="00B12304">
        <w:t xml:space="preserve"> that</w:t>
      </w:r>
      <w:r w:rsidR="00510130" w:rsidRPr="00216133">
        <w:t xml:space="preserve"> t</w:t>
      </w:r>
      <w:r w:rsidR="00B4395B" w:rsidRPr="00216133">
        <w:t xml:space="preserve">he court </w:t>
      </w:r>
      <w:r w:rsidR="00B12304">
        <w:t>is required to</w:t>
      </w:r>
      <w:r w:rsidR="00B12304" w:rsidRPr="00216133">
        <w:t xml:space="preserve"> </w:t>
      </w:r>
      <w:r w:rsidR="00B4395B" w:rsidRPr="00216133">
        <w:t>hold a detention hearing if the child is not going to be</w:t>
      </w:r>
      <w:r w:rsidR="001D1385" w:rsidRPr="00216133">
        <w:t xml:space="preserve"> released to a parent or guardian. </w:t>
      </w:r>
      <w:r w:rsidR="00921DE0" w:rsidRPr="00216133">
        <w:t>(</w:t>
      </w:r>
      <w:r w:rsidR="00921DE0" w:rsidRPr="008B57EC">
        <w:t xml:space="preserve">See </w:t>
      </w:r>
      <w:r w:rsidR="00921DE0" w:rsidRPr="008B57EC">
        <w:rPr>
          <w:i/>
          <w:iCs/>
        </w:rPr>
        <w:t>In re Ethan C.</w:t>
      </w:r>
      <w:r w:rsidR="00921DE0" w:rsidRPr="008B57EC">
        <w:t xml:space="preserve"> (2012) 54 Cal.4th 610, 625 </w:t>
      </w:r>
      <w:r w:rsidR="00921DE0" w:rsidRPr="005A37B9">
        <w:t>[“</w:t>
      </w:r>
      <w:r w:rsidR="00510130" w:rsidRPr="005A37B9">
        <w:t xml:space="preserve">If the child has been taken into temporary protective </w:t>
      </w:r>
      <w:proofErr w:type="gramStart"/>
      <w:r w:rsidR="00510130" w:rsidRPr="005A37B9">
        <w:t>custody, and</w:t>
      </w:r>
      <w:proofErr w:type="gramEnd"/>
      <w:r w:rsidR="00510130" w:rsidRPr="005A37B9">
        <w:t xml:space="preserve"> remains in custody at the time the dependency petition is filed (see § 305 et seq.), the court must promptly hold a </w:t>
      </w:r>
      <w:r w:rsidR="00510130" w:rsidRPr="005A37B9">
        <w:lastRenderedPageBreak/>
        <w:t>detention hearing to determine whether he or she should be returned to the parent or guardian pending the jurisdictional/dispositional hearing</w:t>
      </w:r>
      <w:r w:rsidR="00C936A7" w:rsidRPr="005A37B9">
        <w:t>”].)</w:t>
      </w:r>
    </w:p>
    <w:p w14:paraId="0F77E8F0" w14:textId="47B19C73" w:rsidR="00312409" w:rsidRDefault="00DB5798" w:rsidP="00A81533">
      <w:pPr>
        <w:ind w:firstLine="720"/>
      </w:pPr>
      <w:r w:rsidRPr="00B8220D">
        <w:t>In this connection, we think it significant that section 224.2(b) uses the phrase “placed into temporary custody” not “taken into temporary custody.” (§ 224.2(b).) In our view, th</w:t>
      </w:r>
      <w:r w:rsidRPr="00B8220D">
        <w:t xml:space="preserve">is word choice indicates the Legislature intended to cover children initially taken into custody by a police officer (under section 305, 305.6, or 340) then delivered or </w:t>
      </w:r>
      <w:r w:rsidRPr="00B8220D">
        <w:rPr>
          <w:i/>
          <w:iCs/>
        </w:rPr>
        <w:t>placed</w:t>
      </w:r>
      <w:r w:rsidRPr="00B8220D">
        <w:t xml:space="preserve"> into the department’s temporary custody under section 306, subdivision (a)(1). </w:t>
      </w:r>
      <w:r w:rsidRPr="00B8220D">
        <w:t xml:space="preserve">There is no practical difference between children taken by warrant and those taken without a warrant, and so there is no reason to distinguish between them for ICWA inquiry purposes. If the department decides to retain custody, both categories of children </w:t>
      </w:r>
      <w:r w:rsidRPr="00B8220D">
        <w:t>require a detention hearing and are therefore at risk of an “emergency removal.” (§ 319).</w:t>
      </w:r>
    </w:p>
    <w:p w14:paraId="0794E734" w14:textId="569BDE6F" w:rsidR="00A45525" w:rsidRPr="006A17EF" w:rsidRDefault="00DB5798" w:rsidP="00A81533">
      <w:pPr>
        <w:ind w:firstLine="720"/>
        <w:rPr>
          <w:highlight w:val="lightGray"/>
        </w:rPr>
      </w:pPr>
      <w:r>
        <w:t>And, b</w:t>
      </w:r>
      <w:r w:rsidR="00B12304">
        <w:t xml:space="preserve">ecause </w:t>
      </w:r>
      <w:r w:rsidR="00C3697B" w:rsidRPr="008B57EC">
        <w:t>the department</w:t>
      </w:r>
      <w:r w:rsidR="00B12304">
        <w:t xml:space="preserve">, </w:t>
      </w:r>
      <w:r w:rsidR="00EC3F3C">
        <w:t>n</w:t>
      </w:r>
      <w:r w:rsidR="00C3697B" w:rsidRPr="008B57EC">
        <w:t>ot law enforcement</w:t>
      </w:r>
      <w:r w:rsidR="00B12304">
        <w:t xml:space="preserve">, </w:t>
      </w:r>
      <w:r w:rsidR="00C3697B" w:rsidRPr="008B57EC">
        <w:t>is charged with conducting the ICWA investigation</w:t>
      </w:r>
      <w:r w:rsidR="00EC3F3C">
        <w:t xml:space="preserve"> in a dependency proceeding</w:t>
      </w:r>
      <w:r w:rsidR="00C3697B" w:rsidRPr="008B57EC">
        <w:t xml:space="preserve">, </w:t>
      </w:r>
      <w:r w:rsidR="00B54C18" w:rsidRPr="008B57EC">
        <w:t xml:space="preserve">it </w:t>
      </w:r>
      <w:r w:rsidR="009E0780">
        <w:t xml:space="preserve">simply </w:t>
      </w:r>
      <w:r w:rsidR="00B54C18" w:rsidRPr="008B57EC">
        <w:t xml:space="preserve">makes </w:t>
      </w:r>
      <w:r w:rsidR="00D5484F">
        <w:t xml:space="preserve">more </w:t>
      </w:r>
      <w:r w:rsidR="00B54C18" w:rsidRPr="008B57EC">
        <w:t xml:space="preserve">sense </w:t>
      </w:r>
      <w:r w:rsidR="00981EEE">
        <w:t xml:space="preserve">that </w:t>
      </w:r>
      <w:r w:rsidR="00D5484F">
        <w:t>section 224.2(b)</w:t>
      </w:r>
      <w:r w:rsidR="00B54C18" w:rsidRPr="008B57EC">
        <w:t xml:space="preserve"> </w:t>
      </w:r>
      <w:r w:rsidR="00B12304">
        <w:t xml:space="preserve">would </w:t>
      </w:r>
      <w:r w:rsidR="00D5484F">
        <w:t>tie the initial inquiry to</w:t>
      </w:r>
      <w:r w:rsidR="00B12304">
        <w:t xml:space="preserve"> </w:t>
      </w:r>
      <w:r w:rsidR="007410EC">
        <w:t xml:space="preserve">when </w:t>
      </w:r>
      <w:r w:rsidR="00B54C18" w:rsidRPr="008B57EC">
        <w:t xml:space="preserve">the child is </w:t>
      </w:r>
      <w:r w:rsidR="00B54C18" w:rsidRPr="00A81533">
        <w:rPr>
          <w:i/>
          <w:iCs/>
        </w:rPr>
        <w:t>delivered to</w:t>
      </w:r>
      <w:r w:rsidR="00B54C18" w:rsidRPr="008B57EC">
        <w:t xml:space="preserve"> the department under section 306, subdivision (a)(1)</w:t>
      </w:r>
      <w:r w:rsidR="00C3697B" w:rsidRPr="008B57EC">
        <w:t xml:space="preserve"> and not when they are </w:t>
      </w:r>
      <w:r w:rsidR="00C3697B" w:rsidRPr="00A81533">
        <w:rPr>
          <w:i/>
          <w:iCs/>
        </w:rPr>
        <w:t>initially taken</w:t>
      </w:r>
      <w:r w:rsidR="00C3697B" w:rsidRPr="008B57EC">
        <w:t xml:space="preserve"> from home </w:t>
      </w:r>
      <w:r w:rsidR="00C3697B" w:rsidRPr="00114C1E">
        <w:t>under section 340.</w:t>
      </w:r>
      <w:r w:rsidR="00B12304">
        <w:t xml:space="preserve"> We therefore conclude that section 224.2(b)’s reference to temporary custody “pursuant to [s]</w:t>
      </w:r>
      <w:proofErr w:type="spellStart"/>
      <w:r w:rsidR="00B12304">
        <w:t>ection</w:t>
      </w:r>
      <w:proofErr w:type="spellEnd"/>
      <w:r w:rsidR="00B12304">
        <w:t xml:space="preserve"> 306” is better read as including children</w:t>
      </w:r>
      <w:r w:rsidR="009E0780">
        <w:t xml:space="preserve"> who, though initially removed by protective custody warrant, are then </w:t>
      </w:r>
      <w:proofErr w:type="gramStart"/>
      <w:r w:rsidR="009E0780">
        <w:t>delivered</w:t>
      </w:r>
      <w:proofErr w:type="gramEnd"/>
      <w:r w:rsidR="009E0780">
        <w:t xml:space="preserve"> or placed</w:t>
      </w:r>
      <w:r w:rsidR="00B12304">
        <w:t xml:space="preserve"> into the department’s custody </w:t>
      </w:r>
      <w:r w:rsidR="009E0780">
        <w:t>pending a detention hearing.</w:t>
      </w:r>
      <w:r w:rsidR="00B12304">
        <w:t xml:space="preserve"> </w:t>
      </w:r>
    </w:p>
    <w:p w14:paraId="37CC1556" w14:textId="4F88E4A6" w:rsidR="00131634" w:rsidRPr="008B57EC" w:rsidRDefault="00DB5798" w:rsidP="00131634">
      <w:pPr>
        <w:ind w:firstLine="720"/>
      </w:pPr>
      <w:r>
        <w:t>Moreover, w</w:t>
      </w:r>
      <w:r w:rsidR="00A45525" w:rsidRPr="008B57EC">
        <w:t xml:space="preserve">e are not persuaded by </w:t>
      </w:r>
      <w:r w:rsidRPr="008B57EC">
        <w:rPr>
          <w:i/>
          <w:iCs/>
        </w:rPr>
        <w:t>Robert F.</w:t>
      </w:r>
      <w:r w:rsidR="00E915D8" w:rsidRPr="008B57EC">
        <w:t xml:space="preserve">’s justification for </w:t>
      </w:r>
      <w:r w:rsidR="00394FD5">
        <w:t xml:space="preserve">why the Legislature </w:t>
      </w:r>
      <w:r w:rsidR="005B0673">
        <w:t xml:space="preserve">would exclude from </w:t>
      </w:r>
      <w:r w:rsidR="00EA208E">
        <w:t xml:space="preserve">the </w:t>
      </w:r>
      <w:r w:rsidR="00175BD6">
        <w:t>inquiry</w:t>
      </w:r>
      <w:r w:rsidR="00EA208E">
        <w:t xml:space="preserve"> described in </w:t>
      </w:r>
      <w:r w:rsidR="0021590B">
        <w:t>section 224.2(b)</w:t>
      </w:r>
      <w:r w:rsidR="00175BD6">
        <w:t xml:space="preserve"> children </w:t>
      </w:r>
      <w:r w:rsidR="00175BD6">
        <w:lastRenderedPageBreak/>
        <w:t>removed by warrant</w:t>
      </w:r>
      <w:r w:rsidR="0021590B">
        <w:t>.</w:t>
      </w:r>
      <w:r w:rsidR="00E915D8" w:rsidRPr="008B57EC">
        <w:t xml:space="preserve"> </w:t>
      </w:r>
      <w:r w:rsidR="00E915D8" w:rsidRPr="000756AE">
        <w:rPr>
          <w:i/>
          <w:iCs/>
        </w:rPr>
        <w:t>Robert F.</w:t>
      </w:r>
      <w:r w:rsidR="00E915D8" w:rsidRPr="008B57EC">
        <w:t xml:space="preserve"> reasons</w:t>
      </w:r>
      <w:r w:rsidR="0010105A" w:rsidRPr="008B57EC">
        <w:t xml:space="preserve"> the Legislature</w:t>
      </w:r>
      <w:r w:rsidRPr="008B57EC">
        <w:t xml:space="preserve"> </w:t>
      </w:r>
      <w:r w:rsidR="00175BD6">
        <w:t xml:space="preserve">did so </w:t>
      </w:r>
      <w:r w:rsidR="0010105A" w:rsidRPr="008B57EC">
        <w:t>because it “</w:t>
      </w:r>
      <w:r w:rsidRPr="008B57EC">
        <w:t>intended to track federal guidelines for impleme</w:t>
      </w:r>
      <w:r w:rsidRPr="008B57EC">
        <w:t>nting ICWA,” which recommend initial inquiry of extended family members in “emergency removal situations” only. (</w:t>
      </w:r>
      <w:r w:rsidRPr="008B57EC">
        <w:rPr>
          <w:i/>
          <w:iCs/>
        </w:rPr>
        <w:t>Robert F.</w:t>
      </w:r>
      <w:r w:rsidRPr="008B57EC">
        <w:t xml:space="preserve">, </w:t>
      </w:r>
      <w:r w:rsidRPr="008B57EC">
        <w:rPr>
          <w:i/>
          <w:iCs/>
        </w:rPr>
        <w:t>supra</w:t>
      </w:r>
      <w:r w:rsidRPr="008B57EC">
        <w:t xml:space="preserve">, 90 Cal.App.5th at pp. 502-503.) The opinion concludes: “In short, in crafting the narrow inquiry duty in section 224.2, </w:t>
      </w:r>
      <w:r w:rsidRPr="008B57EC">
        <w:t>subdivision (b) that applies to children removed [under exigent circumstances] pursuant to section 306, the Legislature was simply creating a duty that tracked federal guidelines for emergency removals.” (</w:t>
      </w:r>
      <w:r w:rsidRPr="008B57EC">
        <w:rPr>
          <w:i/>
          <w:iCs/>
        </w:rPr>
        <w:t>Id.</w:t>
      </w:r>
      <w:r w:rsidRPr="008B57EC">
        <w:t xml:space="preserve"> at p. 503, quoting </w:t>
      </w:r>
      <w:r w:rsidRPr="008B57EC">
        <w:rPr>
          <w:i/>
          <w:iCs/>
        </w:rPr>
        <w:t>In re Adrian L.</w:t>
      </w:r>
      <w:r w:rsidRPr="008B57EC">
        <w:t xml:space="preserve"> (2022) 86 Ca</w:t>
      </w:r>
      <w:r w:rsidRPr="008B57EC">
        <w:t xml:space="preserve">l.App.5th 342, 364 (conc. </w:t>
      </w:r>
      <w:proofErr w:type="spellStart"/>
      <w:r w:rsidRPr="008B57EC">
        <w:t>opn</w:t>
      </w:r>
      <w:proofErr w:type="spellEnd"/>
      <w:r w:rsidRPr="008B57EC">
        <w:t>. of Kelley, J.).)</w:t>
      </w:r>
      <w:r w:rsidR="00D5484F">
        <w:t xml:space="preserve"> </w:t>
      </w:r>
      <w:r w:rsidR="00D5484F" w:rsidRPr="00B8220D">
        <w:t xml:space="preserve">This is also the reason our dissenting colleague gives for agreeing with </w:t>
      </w:r>
      <w:r w:rsidR="00D5484F" w:rsidRPr="00B8220D">
        <w:rPr>
          <w:i/>
          <w:iCs/>
        </w:rPr>
        <w:t>Robert F.</w:t>
      </w:r>
      <w:r w:rsidR="00D5484F" w:rsidRPr="00B8220D">
        <w:t xml:space="preserve">, reasoning that a removal under section 306 is considered an “emergency removal” under ICWA, whereas “a removal pursuant to an order issued under section 340 is not.” (Dis. </w:t>
      </w:r>
      <w:proofErr w:type="spellStart"/>
      <w:r w:rsidR="001F6327" w:rsidRPr="00B8220D">
        <w:t>o</w:t>
      </w:r>
      <w:r w:rsidR="00D5484F" w:rsidRPr="00B8220D">
        <w:t>pn</w:t>
      </w:r>
      <w:proofErr w:type="spellEnd"/>
      <w:r w:rsidR="00D5484F" w:rsidRPr="00B8220D">
        <w:t xml:space="preserve">. </w:t>
      </w:r>
      <w:r w:rsidR="001F6327" w:rsidRPr="00B8220D">
        <w:rPr>
          <w:i/>
          <w:iCs/>
        </w:rPr>
        <w:t>post</w:t>
      </w:r>
      <w:r w:rsidR="001F6327" w:rsidRPr="00B8220D">
        <w:t xml:space="preserve">, </w:t>
      </w:r>
      <w:r w:rsidR="00D5484F" w:rsidRPr="00B8220D">
        <w:t>at p. 4.)</w:t>
      </w:r>
    </w:p>
    <w:p w14:paraId="1476B96F" w14:textId="5AA2A845" w:rsidR="00377B53" w:rsidRPr="00510CFD" w:rsidRDefault="00DB5798" w:rsidP="00510CFD">
      <w:pPr>
        <w:ind w:firstLine="720"/>
      </w:pPr>
      <w:r>
        <w:t>However,</w:t>
      </w:r>
      <w:r w:rsidR="00717B28">
        <w:t xml:space="preserve"> t</w:t>
      </w:r>
      <w:r w:rsidR="00012BC2" w:rsidRPr="008B57EC">
        <w:t>his argument</w:t>
      </w:r>
      <w:r w:rsidR="00717B28">
        <w:t xml:space="preserve"> </w:t>
      </w:r>
      <w:r w:rsidR="00F3055E">
        <w:t>misconstrues</w:t>
      </w:r>
      <w:r w:rsidR="00975373">
        <w:t xml:space="preserve"> </w:t>
      </w:r>
      <w:r w:rsidR="00404115">
        <w:t>the definition of</w:t>
      </w:r>
      <w:r w:rsidR="00012BC2" w:rsidRPr="008B57EC">
        <w:t xml:space="preserve"> an emergency removal under both the federal regulations and California law. Under both, the </w:t>
      </w:r>
      <w:r w:rsidR="00D5484F">
        <w:t>“</w:t>
      </w:r>
      <w:r w:rsidR="00012BC2" w:rsidRPr="008B57EC">
        <w:t>emergency removal</w:t>
      </w:r>
      <w:r w:rsidR="00D5484F">
        <w:t>”</w:t>
      </w:r>
      <w:r w:rsidR="00012BC2" w:rsidRPr="008B57EC">
        <w:t xml:space="preserve"> is </w:t>
      </w:r>
      <w:r w:rsidR="00012BC2" w:rsidRPr="00A81533">
        <w:rPr>
          <w:i/>
          <w:iCs/>
        </w:rPr>
        <w:t>not</w:t>
      </w:r>
      <w:r w:rsidR="00012BC2" w:rsidRPr="008B57EC">
        <w:t xml:space="preserve"> the social worker’s act of taking the child from home under exigent circumstances. Rather, the emergency removal is the </w:t>
      </w:r>
      <w:r w:rsidR="00012BC2" w:rsidRPr="00A81533">
        <w:rPr>
          <w:i/>
          <w:iCs/>
        </w:rPr>
        <w:t>court’s order</w:t>
      </w:r>
      <w:r w:rsidR="00012BC2" w:rsidRPr="008B57EC">
        <w:t xml:space="preserve"> detaining the child at the detention hearing</w:t>
      </w:r>
      <w:r w:rsidR="009F7FA1">
        <w:t>, regardless of how the child came to be in the department’s custody leading up to that hearing</w:t>
      </w:r>
      <w:r w:rsidR="00012BC2" w:rsidRPr="008B57EC">
        <w:t>. (See 25 C.F.R. § 23.2 [an “emergency proceeding” is “any court action that involves an emergency removal or emergency placement of an Indian child”]; see also § 315 [“[</w:t>
      </w:r>
      <w:proofErr w:type="spellStart"/>
      <w:r w:rsidR="00012BC2" w:rsidRPr="008B57EC">
        <w:t>i</w:t>
      </w:r>
      <w:proofErr w:type="spellEnd"/>
      <w:r w:rsidR="00012BC2" w:rsidRPr="008B57EC">
        <w:t xml:space="preserve">]n the case of an Indian child, the hearing pursuant to Section 319 shall be considered an emergency removal under [ICWA]”].) </w:t>
      </w:r>
      <w:r w:rsidR="003234E7">
        <w:t xml:space="preserve">Thus, </w:t>
      </w:r>
      <w:r w:rsidR="006B308E">
        <w:t>b</w:t>
      </w:r>
      <w:r w:rsidR="006B308E" w:rsidRPr="008B57EC">
        <w:t xml:space="preserve">ecause </w:t>
      </w:r>
      <w:r w:rsidR="008F1EEB">
        <w:t xml:space="preserve">A.B. 3176 imposed </w:t>
      </w:r>
      <w:r w:rsidR="008F1EEB" w:rsidRPr="00510CFD">
        <w:t>new</w:t>
      </w:r>
      <w:r w:rsidR="006247BC" w:rsidRPr="00510CFD">
        <w:t xml:space="preserve"> requirements </w:t>
      </w:r>
      <w:r w:rsidR="00CC34D8" w:rsidRPr="00510CFD">
        <w:t>for</w:t>
      </w:r>
      <w:r w:rsidR="006247BC" w:rsidRPr="00510CFD">
        <w:t xml:space="preserve"> </w:t>
      </w:r>
      <w:r w:rsidR="008F1EEB" w:rsidRPr="00510CFD">
        <w:t xml:space="preserve">the detention </w:t>
      </w:r>
      <w:r w:rsidR="00CC34D8" w:rsidRPr="00510CFD">
        <w:t>of</w:t>
      </w:r>
      <w:r w:rsidR="006247BC" w:rsidRPr="00510CFD">
        <w:t xml:space="preserve"> Indian children</w:t>
      </w:r>
      <w:r w:rsidR="00510CFD" w:rsidRPr="00510CFD">
        <w:t xml:space="preserve"> and because</w:t>
      </w:r>
      <w:r w:rsidR="006247BC" w:rsidRPr="00510CFD">
        <w:t xml:space="preserve"> </w:t>
      </w:r>
      <w:r w:rsidR="006B308E" w:rsidRPr="00510CFD">
        <w:t xml:space="preserve">both </w:t>
      </w:r>
      <w:r w:rsidR="006B308E" w:rsidRPr="00510CFD">
        <w:lastRenderedPageBreak/>
        <w:t>categories of removals (by warrant and warrantless) require the court to hold a detention hearing</w:t>
      </w:r>
      <w:r w:rsidRPr="00510CFD">
        <w:t xml:space="preserve">, we see no rational justification for interpreting section 224.2(b)’s reference to section 306 as </w:t>
      </w:r>
      <w:r w:rsidR="00905C8E">
        <w:t>excluding children removed by warrant</w:t>
      </w:r>
      <w:r w:rsidR="00510CFD" w:rsidRPr="00510CFD">
        <w:t>.</w:t>
      </w:r>
    </w:p>
    <w:p w14:paraId="329EC601" w14:textId="722A37B1" w:rsidR="00A17B26" w:rsidRDefault="00DB5798" w:rsidP="00A06642">
      <w:pPr>
        <w:ind w:firstLine="720"/>
      </w:pPr>
      <w:r>
        <w:t>Moreover</w:t>
      </w:r>
      <w:r w:rsidR="006061C4">
        <w:t xml:space="preserve">, </w:t>
      </w:r>
      <w:r w:rsidR="00D850DE" w:rsidRPr="00351F5E">
        <w:t xml:space="preserve">the federal guidelines </w:t>
      </w:r>
      <w:r w:rsidR="00391EA6" w:rsidRPr="00351F5E">
        <w:t xml:space="preserve">simply </w:t>
      </w:r>
      <w:r w:rsidR="007579D1" w:rsidRPr="00351F5E">
        <w:t xml:space="preserve">recommend </w:t>
      </w:r>
      <w:r w:rsidR="00D850DE" w:rsidRPr="00351F5E">
        <w:t xml:space="preserve">that </w:t>
      </w:r>
      <w:r w:rsidR="00093DD3" w:rsidRPr="00351F5E">
        <w:t>social workers interview extended family members</w:t>
      </w:r>
      <w:r w:rsidR="00DC4D29" w:rsidRPr="00351F5E">
        <w:t xml:space="preserve"> in </w:t>
      </w:r>
      <w:r w:rsidR="007579D1" w:rsidRPr="00351F5E">
        <w:t xml:space="preserve">emergency </w:t>
      </w:r>
      <w:r w:rsidR="00DC4D29" w:rsidRPr="00351F5E">
        <w:t>removal situations</w:t>
      </w:r>
      <w:r w:rsidR="008B63B6" w:rsidRPr="00351F5E">
        <w:t xml:space="preserve">—they don’t </w:t>
      </w:r>
      <w:r w:rsidR="00391EA6" w:rsidRPr="00351F5E">
        <w:t xml:space="preserve">recommend that social workers do so </w:t>
      </w:r>
      <w:r w:rsidR="00391EA6" w:rsidRPr="00351F5E">
        <w:rPr>
          <w:i/>
          <w:iCs/>
        </w:rPr>
        <w:t xml:space="preserve">only in </w:t>
      </w:r>
      <w:r w:rsidR="006061C4">
        <w:rPr>
          <w:i/>
          <w:iCs/>
        </w:rPr>
        <w:t>such</w:t>
      </w:r>
      <w:r w:rsidR="00391EA6" w:rsidRPr="00351F5E">
        <w:rPr>
          <w:i/>
          <w:iCs/>
        </w:rPr>
        <w:t xml:space="preserve"> situations</w:t>
      </w:r>
      <w:r w:rsidR="00391EA6" w:rsidRPr="00351F5E">
        <w:t xml:space="preserve">. </w:t>
      </w:r>
      <w:r w:rsidR="00F273A8" w:rsidRPr="00351F5E">
        <w:t>(</w:t>
      </w:r>
      <w:r w:rsidR="00E410C9" w:rsidRPr="00351F5E">
        <w:t xml:space="preserve">See </w:t>
      </w:r>
      <w:r w:rsidR="007A4F23" w:rsidRPr="00351F5E">
        <w:t>U.S. Dept. of the Interior, Guidelines for Implementing the Indian Child Welfare Act (Dec. 2016) at p. 28, available at</w:t>
      </w:r>
      <w:r w:rsidR="0011607C" w:rsidRPr="00351F5E">
        <w:t xml:space="preserve"> </w:t>
      </w:r>
      <w:r w:rsidR="00351F5E" w:rsidRPr="004C4947">
        <w:t>https://www.bia.gov/sites/default/files/dup/assets/bia/ois/pdf/idc2-056831.pdf</w:t>
      </w:r>
      <w:r w:rsidR="00706288" w:rsidRPr="00351F5E">
        <w:t xml:space="preserve"> [recommending “[a]s a matter of general best practice in child welfare,” that social workers interview extended family members in emergency </w:t>
      </w:r>
      <w:r w:rsidR="00A41208" w:rsidRPr="00351F5E">
        <w:t>removal situations both as “possible emergency placements” and to determine whether the child may have Indian ancestry].</w:t>
      </w:r>
      <w:r w:rsidR="007A4F23" w:rsidRPr="00351F5E">
        <w:t xml:space="preserve">) </w:t>
      </w:r>
      <w:r w:rsidR="006061C4">
        <w:t xml:space="preserve">But even if the guidelines </w:t>
      </w:r>
      <w:r w:rsidR="006061C4" w:rsidRPr="006061C4">
        <w:rPr>
          <w:i/>
          <w:iCs/>
        </w:rPr>
        <w:t>did</w:t>
      </w:r>
      <w:r w:rsidR="006061C4">
        <w:t xml:space="preserve"> recommend that states apply a narrower initial inquiry to children initially removed by warrant, </w:t>
      </w:r>
      <w:r w:rsidR="00127C1F">
        <w:t>ICWA expressly allows states to enact higher standards</w:t>
      </w:r>
      <w:r w:rsidR="00722768">
        <w:t xml:space="preserve"> than those imposed or recommended under federal law</w:t>
      </w:r>
      <w:r w:rsidR="00A06642" w:rsidRPr="00351F5E">
        <w:t xml:space="preserve">. </w:t>
      </w:r>
      <w:r w:rsidRPr="00351F5E">
        <w:t>(</w:t>
      </w:r>
      <w:r w:rsidR="00F273A8" w:rsidRPr="00351F5E">
        <w:t>25 U.S.C. §</w:t>
      </w:r>
      <w:r w:rsidR="0047545C">
        <w:t> </w:t>
      </w:r>
      <w:r w:rsidR="00F273A8" w:rsidRPr="00351F5E">
        <w:t>1921.)</w:t>
      </w:r>
    </w:p>
    <w:p w14:paraId="794CC2E8" w14:textId="4639C03B" w:rsidR="00722768" w:rsidRDefault="00DB5798" w:rsidP="00993FDE">
      <w:pPr>
        <w:ind w:firstLine="720"/>
      </w:pPr>
      <w:r>
        <w:t xml:space="preserve">This brings us to our second reason for declining to follow </w:t>
      </w:r>
      <w:r w:rsidR="000F2726" w:rsidRPr="000756AE">
        <w:rPr>
          <w:i/>
          <w:iCs/>
        </w:rPr>
        <w:t>Robert F.</w:t>
      </w:r>
      <w:r w:rsidR="000F2726" w:rsidRPr="008B57EC">
        <w:t xml:space="preserve"> </w:t>
      </w:r>
      <w:r>
        <w:t xml:space="preserve">Even if its conclusion </w:t>
      </w:r>
      <w:r w:rsidR="000F2726" w:rsidRPr="008B57EC">
        <w:t xml:space="preserve">that section 306 excludes </w:t>
      </w:r>
      <w:r w:rsidR="0076254B" w:rsidRPr="008B57EC">
        <w:t>removals by protective custody warrant</w:t>
      </w:r>
      <w:r>
        <w:t xml:space="preserve"> were correct</w:t>
      </w:r>
      <w:r w:rsidR="0076254B" w:rsidRPr="008B57EC">
        <w:t xml:space="preserve">, we </w:t>
      </w:r>
      <w:r w:rsidR="00A41208">
        <w:t>would still disagree</w:t>
      </w:r>
      <w:r w:rsidR="0076254B" w:rsidRPr="008B57EC">
        <w:t xml:space="preserve"> with its conclusion that </w:t>
      </w:r>
      <w:r w:rsidR="00D672AC" w:rsidRPr="008B57EC">
        <w:t xml:space="preserve">the duty described in </w:t>
      </w:r>
      <w:r w:rsidR="00D672AC" w:rsidRPr="00364DA0">
        <w:t xml:space="preserve">section 224.2(b) does not apply once a child </w:t>
      </w:r>
      <w:r>
        <w:t xml:space="preserve">initially </w:t>
      </w:r>
      <w:r w:rsidR="00D672AC" w:rsidRPr="00364DA0">
        <w:t xml:space="preserve">removed by warrant is </w:t>
      </w:r>
      <w:r>
        <w:t>removed from parental custody at the disposition hearing</w:t>
      </w:r>
      <w:r w:rsidR="00B1612C" w:rsidRPr="00364DA0">
        <w:t>.</w:t>
      </w:r>
    </w:p>
    <w:p w14:paraId="309B05BD" w14:textId="63CAE1FE" w:rsidR="005F65F3" w:rsidRDefault="00DB5798" w:rsidP="0047545C">
      <w:pPr>
        <w:keepNext/>
        <w:keepLines/>
        <w:ind w:firstLine="720"/>
      </w:pPr>
      <w:r w:rsidRPr="00364DA0">
        <w:lastRenderedPageBreak/>
        <w:t>First</w:t>
      </w:r>
      <w:r w:rsidRPr="008B57EC">
        <w:t xml:space="preserve">, </w:t>
      </w:r>
      <w:r w:rsidR="005A7742" w:rsidRPr="008B57EC">
        <w:t>section 224.2(b) does not state that the inquiry i</w:t>
      </w:r>
      <w:r w:rsidR="00DC6085" w:rsidRPr="008B57EC">
        <w:t>t</w:t>
      </w:r>
      <w:r w:rsidR="005A7742" w:rsidRPr="008B57EC">
        <w:t xml:space="preserve"> describes applies “only if” a child is taken into temporary custody under section 306. </w:t>
      </w:r>
      <w:r w:rsidR="00107F4E" w:rsidRPr="008B57EC">
        <w:t xml:space="preserve">(See </w:t>
      </w:r>
      <w:r w:rsidR="005D3693" w:rsidRPr="008B57EC">
        <w:rPr>
          <w:i/>
          <w:iCs/>
        </w:rPr>
        <w:t>Adoption of Kelsey S.</w:t>
      </w:r>
      <w:r w:rsidR="005D3693" w:rsidRPr="008B57EC">
        <w:t xml:space="preserve"> (1992) 1 Cal.4th 816, 827 [</w:t>
      </w:r>
      <w:r w:rsidR="004D3F8C">
        <w:t>it is a</w:t>
      </w:r>
      <w:r w:rsidR="0085597A">
        <w:t xml:space="preserve"> </w:t>
      </w:r>
      <w:r w:rsidR="005D3693" w:rsidRPr="008B57EC">
        <w:t xml:space="preserve">“cardinal rule” of statutory interpretation that “courts may not add provisions to a statute”].) </w:t>
      </w:r>
      <w:r w:rsidR="00301B83" w:rsidRPr="008B57EC">
        <w:t>Section 224.2(b) does not contain the word only or any other language suggesting an intent to limit the inquiry i</w:t>
      </w:r>
      <w:r w:rsidR="00DC6085" w:rsidRPr="008B57EC">
        <w:t>t</w:t>
      </w:r>
      <w:r w:rsidR="00301B83" w:rsidRPr="008B57EC">
        <w:t xml:space="preserve"> describes. </w:t>
      </w:r>
      <w:r w:rsidR="006B5BA8" w:rsidRPr="008B57EC">
        <w:t xml:space="preserve">And where, as here, </w:t>
      </w:r>
      <w:r w:rsidR="00AB7F69" w:rsidRPr="008B57EC">
        <w:t>where remedial legislation is involved, we must interpret the statute broadly</w:t>
      </w:r>
      <w:r w:rsidR="00B253A8" w:rsidRPr="008B57EC">
        <w:t xml:space="preserve"> to </w:t>
      </w:r>
      <w:r w:rsidR="00B94D66" w:rsidRPr="008B57EC">
        <w:t>achieve its purpose</w:t>
      </w:r>
      <w:r w:rsidR="00AB7F69" w:rsidRPr="008B57EC">
        <w:t>. (</w:t>
      </w:r>
      <w:r w:rsidR="00B94D66" w:rsidRPr="008B57EC">
        <w:t xml:space="preserve">See </w:t>
      </w:r>
      <w:r w:rsidR="00AB7F69" w:rsidRPr="008B57EC">
        <w:rPr>
          <w:i/>
          <w:iCs/>
        </w:rPr>
        <w:t xml:space="preserve">In re </w:t>
      </w:r>
      <w:proofErr w:type="spellStart"/>
      <w:r w:rsidR="00AB7F69" w:rsidRPr="008B57EC">
        <w:rPr>
          <w:i/>
          <w:iCs/>
        </w:rPr>
        <w:t>I.F</w:t>
      </w:r>
      <w:proofErr w:type="spellEnd"/>
      <w:r w:rsidR="00AB7F69" w:rsidRPr="008B57EC">
        <w:rPr>
          <w:i/>
          <w:iCs/>
        </w:rPr>
        <w:t>.</w:t>
      </w:r>
      <w:r w:rsidR="00AB7F69" w:rsidRPr="008B57EC">
        <w:t xml:space="preserve"> (2022) 77 Cal.App.5th 152, 163 [the affirmative and ongoing duty to inquire under California law serves a “remedial purpose” requiring us to broadly construe state ICWA </w:t>
      </w:r>
      <w:r w:rsidR="00AB7F69" w:rsidRPr="00F86CB7">
        <w:t>statutes]</w:t>
      </w:r>
      <w:r w:rsidR="00E01828" w:rsidRPr="00F86CB7">
        <w:t>; see</w:t>
      </w:r>
      <w:r w:rsidR="00E01828" w:rsidRPr="008B57EC">
        <w:t xml:space="preserve"> also </w:t>
      </w:r>
      <w:r w:rsidR="00E01828" w:rsidRPr="008B57EC">
        <w:rPr>
          <w:i/>
          <w:iCs/>
        </w:rPr>
        <w:t>L</w:t>
      </w:r>
      <w:r w:rsidR="00DC6085" w:rsidRPr="008B57EC">
        <w:rPr>
          <w:i/>
          <w:iCs/>
        </w:rPr>
        <w:t xml:space="preserve">os </w:t>
      </w:r>
      <w:r w:rsidR="00E01828" w:rsidRPr="008B57EC">
        <w:rPr>
          <w:i/>
          <w:iCs/>
        </w:rPr>
        <w:t>A</w:t>
      </w:r>
      <w:r w:rsidR="00DC6085" w:rsidRPr="008B57EC">
        <w:rPr>
          <w:i/>
          <w:iCs/>
        </w:rPr>
        <w:t xml:space="preserve">ngeles </w:t>
      </w:r>
      <w:r w:rsidR="00E01828" w:rsidRPr="008B57EC">
        <w:rPr>
          <w:i/>
          <w:iCs/>
        </w:rPr>
        <w:t>C</w:t>
      </w:r>
      <w:r w:rsidR="00DC6085" w:rsidRPr="008B57EC">
        <w:rPr>
          <w:i/>
          <w:iCs/>
        </w:rPr>
        <w:t xml:space="preserve">ounty Metropolitan </w:t>
      </w:r>
      <w:r w:rsidR="00E01828" w:rsidRPr="008B57EC">
        <w:rPr>
          <w:i/>
          <w:iCs/>
        </w:rPr>
        <w:t>T</w:t>
      </w:r>
      <w:r w:rsidR="00DC6085" w:rsidRPr="008B57EC">
        <w:rPr>
          <w:i/>
          <w:iCs/>
        </w:rPr>
        <w:t>ransportation</w:t>
      </w:r>
      <w:r w:rsidR="005B1405" w:rsidRPr="008B57EC">
        <w:rPr>
          <w:i/>
          <w:iCs/>
        </w:rPr>
        <w:t xml:space="preserve"> Authority</w:t>
      </w:r>
      <w:r w:rsidR="00E01828" w:rsidRPr="008B57EC">
        <w:rPr>
          <w:i/>
          <w:iCs/>
        </w:rPr>
        <w:t xml:space="preserve"> v. Alameda Produce Market, LLC </w:t>
      </w:r>
      <w:r w:rsidR="00E01828" w:rsidRPr="008B57EC">
        <w:t xml:space="preserve">(2011) 52 Cal.4th 1100, 1106 [courts must </w:t>
      </w:r>
      <w:r w:rsidR="00BC65C4" w:rsidRPr="008B57EC">
        <w:t xml:space="preserve">construe </w:t>
      </w:r>
      <w:r w:rsidR="00E01828" w:rsidRPr="008B57EC">
        <w:t xml:space="preserve">statutory </w:t>
      </w:r>
      <w:r w:rsidR="00D30EE3" w:rsidRPr="008B57EC">
        <w:t>provisions</w:t>
      </w:r>
      <w:r w:rsidR="00BC65C4" w:rsidRPr="008B57EC">
        <w:t xml:space="preserve"> </w:t>
      </w:r>
      <w:r w:rsidR="00D30EE3" w:rsidRPr="008B57EC">
        <w:t>“</w:t>
      </w:r>
      <w:r w:rsidR="00BC65C4" w:rsidRPr="008B57EC">
        <w:t xml:space="preserve">in context, keeping in mind the statute’s nature and </w:t>
      </w:r>
      <w:r w:rsidR="00BC65C4" w:rsidRPr="008B57EC">
        <w:rPr>
          <w:i/>
          <w:iCs/>
        </w:rPr>
        <w:t>obvious purposes</w:t>
      </w:r>
      <w:r w:rsidR="00BC65C4" w:rsidRPr="008B57EC">
        <w:t>”</w:t>
      </w:r>
      <w:r w:rsidR="00D30EE3" w:rsidRPr="008B57EC">
        <w:t>]</w:t>
      </w:r>
      <w:r w:rsidR="00E50240">
        <w:t>,</w:t>
      </w:r>
      <w:r w:rsidR="005B1405" w:rsidRPr="008B57EC">
        <w:t xml:space="preserve"> italics added</w:t>
      </w:r>
      <w:r w:rsidR="00D30EE3" w:rsidRPr="008B57EC">
        <w:t>.)</w:t>
      </w:r>
    </w:p>
    <w:p w14:paraId="1013E4DD" w14:textId="6E6170CD" w:rsidR="00EA049F" w:rsidRPr="008B57EC" w:rsidRDefault="00DB5798" w:rsidP="005F65F3">
      <w:pPr>
        <w:ind w:firstLine="720"/>
      </w:pPr>
      <w:r w:rsidRPr="008B57EC">
        <w:t>Here, the obvious purpose of A.B. 3176 was to expand the scope of the in</w:t>
      </w:r>
      <w:r w:rsidRPr="008B57EC">
        <w:t>itial inquiry</w:t>
      </w:r>
      <w:r w:rsidR="00AD1D52" w:rsidRPr="008B57EC">
        <w:t xml:space="preserve"> beyond the parents</w:t>
      </w:r>
      <w:r w:rsidR="009B6286" w:rsidRPr="008B57EC">
        <w:t xml:space="preserve">. Nothing in the text of that </w:t>
      </w:r>
      <w:r w:rsidR="00722768">
        <w:t>amendment</w:t>
      </w:r>
      <w:r w:rsidR="00722768" w:rsidRPr="008B57EC">
        <w:t xml:space="preserve"> </w:t>
      </w:r>
      <w:r w:rsidR="009B6286" w:rsidRPr="008B57EC">
        <w:t xml:space="preserve">or its legislative history suggests an intent to </w:t>
      </w:r>
      <w:r w:rsidRPr="008B57EC">
        <w:t>apply</w:t>
      </w:r>
      <w:r w:rsidR="009B6286" w:rsidRPr="008B57EC">
        <w:t xml:space="preserve"> the expanded inquiry </w:t>
      </w:r>
      <w:r w:rsidRPr="008B57EC">
        <w:t xml:space="preserve">in some cases but </w:t>
      </w:r>
      <w:r w:rsidRPr="00F753E7">
        <w:t>not others.</w:t>
      </w:r>
      <w:r w:rsidR="00D35DC5" w:rsidRPr="00F753E7">
        <w:t xml:space="preserve"> </w:t>
      </w:r>
      <w:r w:rsidR="00D35DC5" w:rsidRPr="008D24D9">
        <w:t>Indeed</w:t>
      </w:r>
      <w:r w:rsidR="00791863" w:rsidRPr="008D24D9">
        <w:t xml:space="preserve">, A.B. 3176 itself states that it amends existing law </w:t>
      </w:r>
      <w:r w:rsidR="0072368F" w:rsidRPr="008D24D9">
        <w:t xml:space="preserve">to “revise the specific steps a social worker . . . is required to take in making an inquiry of a child’s possible status as an Indian child.” </w:t>
      </w:r>
      <w:r w:rsidR="00E36A0F" w:rsidRPr="008D24D9">
        <w:t>(Stats. 20</w:t>
      </w:r>
      <w:r w:rsidR="00E36A0F" w:rsidRPr="008F616B">
        <w:t xml:space="preserve">18, </w:t>
      </w:r>
      <w:proofErr w:type="spellStart"/>
      <w:r w:rsidR="00E36A0F" w:rsidRPr="008F616B">
        <w:t>ch.</w:t>
      </w:r>
      <w:proofErr w:type="spellEnd"/>
      <w:r w:rsidR="00E36A0F" w:rsidRPr="008F616B">
        <w:t xml:space="preserve"> 833 (A.B. 3176), § 1.) </w:t>
      </w:r>
      <w:r w:rsidR="00776DF8" w:rsidRPr="008F616B">
        <w:t>Notably, t</w:t>
      </w:r>
      <w:r w:rsidR="00F753E7" w:rsidRPr="008F616B">
        <w:t xml:space="preserve">he </w:t>
      </w:r>
      <w:r w:rsidR="008F616B" w:rsidRPr="008F616B">
        <w:t>Legislature did</w:t>
      </w:r>
      <w:r w:rsidR="00F753E7" w:rsidRPr="008F616B">
        <w:t xml:space="preserve"> not </w:t>
      </w:r>
      <w:r w:rsidR="008F616B" w:rsidRPr="008F616B">
        <w:t>say</w:t>
      </w:r>
      <w:r w:rsidR="00F753E7" w:rsidRPr="008F616B">
        <w:t xml:space="preserve"> </w:t>
      </w:r>
      <w:r w:rsidR="00783C16" w:rsidRPr="008F616B">
        <w:t>those steps apply</w:t>
      </w:r>
      <w:r w:rsidR="008F616B" w:rsidRPr="008F616B">
        <w:t xml:space="preserve"> only</w:t>
      </w:r>
      <w:r w:rsidR="00783C16" w:rsidRPr="008F616B">
        <w:t xml:space="preserve"> in </w:t>
      </w:r>
      <w:r w:rsidR="00F87B36" w:rsidRPr="008F616B">
        <w:t>the</w:t>
      </w:r>
      <w:r w:rsidR="00783C16" w:rsidRPr="008F616B">
        <w:t xml:space="preserve"> subset of dependency proceedings</w:t>
      </w:r>
      <w:r w:rsidR="00F87B36" w:rsidRPr="008F616B">
        <w:t xml:space="preserve"> that be</w:t>
      </w:r>
      <w:r w:rsidR="008F616B" w:rsidRPr="008F616B">
        <w:t>gin</w:t>
      </w:r>
      <w:r w:rsidR="00F87B36" w:rsidRPr="008F616B">
        <w:t xml:space="preserve"> with</w:t>
      </w:r>
      <w:r w:rsidR="008F616B" w:rsidRPr="008F616B">
        <w:t xml:space="preserve"> </w:t>
      </w:r>
      <w:r w:rsidR="00F87B36" w:rsidRPr="008F616B">
        <w:t>warrantless removal</w:t>
      </w:r>
      <w:r w:rsidR="008F616B" w:rsidRPr="008F616B">
        <w:t>s</w:t>
      </w:r>
      <w:r w:rsidR="00783C16" w:rsidRPr="008F616B">
        <w:t xml:space="preserve">. </w:t>
      </w:r>
      <w:r w:rsidR="00F87B36" w:rsidRPr="008F616B">
        <w:t>We think that i</w:t>
      </w:r>
      <w:r w:rsidR="00C91B3B" w:rsidRPr="008F616B">
        <w:t xml:space="preserve">f the </w:t>
      </w:r>
      <w:r w:rsidR="000E5889" w:rsidRPr="008F616B">
        <w:t xml:space="preserve">Legislature intended to </w:t>
      </w:r>
      <w:r w:rsidR="00C91B3B" w:rsidRPr="008F616B">
        <w:t xml:space="preserve">so limit the initial inquiry, </w:t>
      </w:r>
      <w:r w:rsidR="00F87B36" w:rsidRPr="008F616B">
        <w:t xml:space="preserve">it would </w:t>
      </w:r>
      <w:r w:rsidR="00722768">
        <w:t>have</w:t>
      </w:r>
      <w:r w:rsidR="007321D3">
        <w:t xml:space="preserve"> said so</w:t>
      </w:r>
      <w:r w:rsidR="00E36A0F" w:rsidRPr="008F616B">
        <w:t>.</w:t>
      </w:r>
    </w:p>
    <w:p w14:paraId="30B570B6" w14:textId="5796BF16" w:rsidR="002244C5" w:rsidRDefault="00DB5798" w:rsidP="007321D3">
      <w:pPr>
        <w:ind w:firstLine="720"/>
      </w:pPr>
      <w:r>
        <w:lastRenderedPageBreak/>
        <w:t>Second</w:t>
      </w:r>
      <w:r w:rsidR="00EA049F" w:rsidRPr="008B57EC">
        <w:t xml:space="preserve">, </w:t>
      </w:r>
      <w:r w:rsidR="007B2B40">
        <w:t>rule 5.481</w:t>
      </w:r>
      <w:r w:rsidR="005963E5" w:rsidRPr="008B57EC">
        <w:t xml:space="preserve"> </w:t>
      </w:r>
      <w:r w:rsidR="009A1BBC" w:rsidRPr="008B57EC">
        <w:t>require</w:t>
      </w:r>
      <w:r w:rsidR="007B2B40">
        <w:t>s social workers to make the inquiry described in section 224.2(b)</w:t>
      </w:r>
      <w:r w:rsidR="0025154F">
        <w:t xml:space="preserve"> any time the department is </w:t>
      </w:r>
      <w:r w:rsidR="0025154F" w:rsidRPr="008B57EC">
        <w:t xml:space="preserve">“seeking a foster-care placement, . . . termination of parental rights, </w:t>
      </w:r>
      <w:proofErr w:type="spellStart"/>
      <w:r w:rsidR="0025154F" w:rsidRPr="008B57EC">
        <w:t>preadoptive</w:t>
      </w:r>
      <w:proofErr w:type="spellEnd"/>
      <w:r w:rsidR="0025154F" w:rsidRPr="008B57EC">
        <w:t xml:space="preserve"> placement, or adoption</w:t>
      </w:r>
      <w:r w:rsidR="0025154F">
        <w:t>.</w:t>
      </w:r>
      <w:r w:rsidR="0025154F" w:rsidRPr="008B57EC">
        <w:t>”</w:t>
      </w:r>
      <w:r w:rsidR="0025154F">
        <w:t xml:space="preserve"> </w:t>
      </w:r>
      <w:r w:rsidR="00CF28C4" w:rsidRPr="008B57EC">
        <w:t xml:space="preserve">(See </w:t>
      </w:r>
      <w:r w:rsidR="00912010" w:rsidRPr="008B57EC">
        <w:t xml:space="preserve">rule 5.481(a)(1) </w:t>
      </w:r>
      <w:r w:rsidR="00CF28C4" w:rsidRPr="008B57EC">
        <w:t>[</w:t>
      </w:r>
      <w:r w:rsidR="001C09AF" w:rsidRPr="008B57EC">
        <w:t>directing the department</w:t>
      </w:r>
      <w:r w:rsidR="00807DC0">
        <w:t>, in such circumstances,</w:t>
      </w:r>
      <w:r w:rsidR="001C09AF" w:rsidRPr="008B57EC">
        <w:t xml:space="preserve"> to ask “extended family members [and] others who have an interest in the child” about possible Indian ancestry</w:t>
      </w:r>
      <w:r w:rsidR="00807DC0">
        <w:t>]</w:t>
      </w:r>
      <w:r w:rsidR="00912010" w:rsidRPr="008B57EC">
        <w:t xml:space="preserve">.) </w:t>
      </w:r>
      <w:r w:rsidRPr="008B57EC">
        <w:t xml:space="preserve">Where, as here, the rule is not inconsistent with the statute, we are required to follow it. (See </w:t>
      </w:r>
      <w:r w:rsidRPr="008B57EC">
        <w:rPr>
          <w:i/>
          <w:iCs/>
        </w:rPr>
        <w:t>R.R. v. S</w:t>
      </w:r>
      <w:r w:rsidRPr="008B57EC">
        <w:rPr>
          <w:i/>
          <w:iCs/>
        </w:rPr>
        <w:t xml:space="preserve">uperior Court </w:t>
      </w:r>
      <w:r w:rsidRPr="008B57EC">
        <w:t>(2009) 180 Cal.App.4th 185, 205 [“Rules of court have the force of law and are as binding as procedural statutes as long as they are not inconsistent with statutory or constitutional law</w:t>
      </w:r>
      <w:r w:rsidR="0085597A">
        <w:t>”]</w:t>
      </w:r>
      <w:r w:rsidR="00AA2D19">
        <w:t>;</w:t>
      </w:r>
      <w:r w:rsidR="007321D3">
        <w:t xml:space="preserve"> see also </w:t>
      </w:r>
      <w:r w:rsidR="007321D3" w:rsidRPr="00A81533">
        <w:rPr>
          <w:i/>
          <w:iCs/>
        </w:rPr>
        <w:t>T.G.</w:t>
      </w:r>
      <w:r w:rsidR="007321D3">
        <w:t xml:space="preserve">, </w:t>
      </w:r>
      <w:r w:rsidR="007321D3" w:rsidRPr="00A81533">
        <w:rPr>
          <w:i/>
          <w:iCs/>
        </w:rPr>
        <w:t>supra</w:t>
      </w:r>
      <w:r w:rsidR="007321D3">
        <w:t>, 58 Cal.App.5th at p. 291 [concluding rule 5.481 is “</w:t>
      </w:r>
      <w:r w:rsidR="007321D3" w:rsidRPr="007321D3">
        <w:t>entitled to judicial deference</w:t>
      </w:r>
      <w:r w:rsidR="007321D3">
        <w:t>”]</w:t>
      </w:r>
      <w:r w:rsidRPr="008B57EC">
        <w:t>.</w:t>
      </w:r>
      <w:r w:rsidR="0085597A">
        <w:t>)</w:t>
      </w:r>
    </w:p>
    <w:p w14:paraId="418B6890" w14:textId="2B3147B5" w:rsidR="00946F28" w:rsidRPr="008B57EC" w:rsidRDefault="00DB5798" w:rsidP="0025154F">
      <w:pPr>
        <w:ind w:firstLine="720"/>
      </w:pPr>
      <w:r w:rsidRPr="008D24D9">
        <w:t xml:space="preserve">Third and </w:t>
      </w:r>
      <w:r w:rsidR="007321D3">
        <w:t>perhaps most importantly</w:t>
      </w:r>
      <w:r w:rsidRPr="008D24D9">
        <w:t xml:space="preserve">, it simply doesn’t make sense to </w:t>
      </w:r>
      <w:r w:rsidR="00393DAF" w:rsidRPr="008D24D9">
        <w:t xml:space="preserve">apply different initial inquiries depending on </w:t>
      </w:r>
      <w:r w:rsidR="00FE1567" w:rsidRPr="008D24D9">
        <w:t xml:space="preserve">how the child was initially removed from home, as that </w:t>
      </w:r>
      <w:r w:rsidRPr="008D24D9">
        <w:t xml:space="preserve">procedural </w:t>
      </w:r>
      <w:r w:rsidR="00FE1567" w:rsidRPr="008D24D9">
        <w:t xml:space="preserve">happenstance has </w:t>
      </w:r>
      <w:r w:rsidRPr="008D24D9">
        <w:t>n</w:t>
      </w:r>
      <w:r w:rsidRPr="008D24D9">
        <w:t>othing to do with a child’s ancestry.</w:t>
      </w:r>
    </w:p>
    <w:p w14:paraId="38DB005A" w14:textId="77777777" w:rsidR="0047545C" w:rsidRDefault="00DB5798" w:rsidP="0047545C">
      <w:pPr>
        <w:ind w:firstLine="720"/>
      </w:pPr>
      <w:r w:rsidRPr="008B57EC">
        <w:t>F</w:t>
      </w:r>
      <w:r w:rsidR="00B96414" w:rsidRPr="008B57EC">
        <w:t>or all these reasons</w:t>
      </w:r>
      <w:r w:rsidR="00B149F7" w:rsidRPr="008B57EC">
        <w:t xml:space="preserve">, we </w:t>
      </w:r>
      <w:r w:rsidR="00B96414" w:rsidRPr="008B57EC">
        <w:t>conclude</w:t>
      </w:r>
      <w:r w:rsidR="00B149F7" w:rsidRPr="008B57EC">
        <w:t xml:space="preserve"> </w:t>
      </w:r>
      <w:r w:rsidR="00244676" w:rsidRPr="008B57EC">
        <w:rPr>
          <w:i/>
          <w:iCs/>
        </w:rPr>
        <w:t>Robert F.’s</w:t>
      </w:r>
      <w:r w:rsidR="00244676" w:rsidRPr="008B57EC">
        <w:t xml:space="preserve"> interpretation of section 224.2(b) as </w:t>
      </w:r>
      <w:r w:rsidR="007321D3">
        <w:t xml:space="preserve">“crafting [a] </w:t>
      </w:r>
      <w:r w:rsidR="00244676" w:rsidRPr="008B57EC">
        <w:t>narrow inquiry duty” that applies only to children</w:t>
      </w:r>
      <w:r w:rsidR="00A50CA6" w:rsidRPr="008B57EC">
        <w:t xml:space="preserve"> initially</w:t>
      </w:r>
      <w:r w:rsidR="00244676" w:rsidRPr="008B57EC">
        <w:t xml:space="preserve"> </w:t>
      </w:r>
      <w:r w:rsidR="00A50CA6" w:rsidRPr="008B57EC">
        <w:t>taken into temporary custody without a warrant</w:t>
      </w:r>
      <w:r w:rsidR="001C0ED2" w:rsidRPr="008B57EC">
        <w:t xml:space="preserve"> contravenes the plain language and obvious purpose of A.B. 3176</w:t>
      </w:r>
      <w:r w:rsidR="00E84552" w:rsidRPr="008B57EC">
        <w:t xml:space="preserve">. </w:t>
      </w:r>
      <w:r w:rsidRPr="008B57EC">
        <w:t>(</w:t>
      </w:r>
      <w:r w:rsidR="00A42410" w:rsidRPr="008B57EC">
        <w:rPr>
          <w:i/>
          <w:iCs/>
        </w:rPr>
        <w:t>Robert F.</w:t>
      </w:r>
      <w:r w:rsidR="00A42410" w:rsidRPr="008B57EC">
        <w:t xml:space="preserve">, </w:t>
      </w:r>
      <w:r w:rsidR="00A42410" w:rsidRPr="008B57EC">
        <w:rPr>
          <w:i/>
          <w:iCs/>
        </w:rPr>
        <w:t>supra</w:t>
      </w:r>
      <w:r w:rsidR="00A42410" w:rsidRPr="008B57EC">
        <w:t xml:space="preserve">, 90 Cal.App.5th at p. 503.) </w:t>
      </w:r>
      <w:r w:rsidR="00B96414" w:rsidRPr="008B57EC">
        <w:t>We hold instead that t</w:t>
      </w:r>
      <w:r w:rsidR="00E84552" w:rsidRPr="008B57EC">
        <w:t xml:space="preserve">he Legislature enacted </w:t>
      </w:r>
      <w:r w:rsidR="000B0A9D">
        <w:t>section 224.2(b)</w:t>
      </w:r>
      <w:r w:rsidR="00E84552" w:rsidRPr="008B57EC">
        <w:t xml:space="preserve"> </w:t>
      </w:r>
      <w:r w:rsidR="001C0ED2" w:rsidRPr="008B57EC">
        <w:t xml:space="preserve">to </w:t>
      </w:r>
      <w:r w:rsidR="008A12CD">
        <w:t>impose on departments</w:t>
      </w:r>
      <w:r w:rsidR="008A12CD" w:rsidRPr="008B57EC">
        <w:t xml:space="preserve"> </w:t>
      </w:r>
      <w:r w:rsidR="001C0ED2" w:rsidRPr="008B57EC">
        <w:t xml:space="preserve">a </w:t>
      </w:r>
      <w:r w:rsidR="001C0ED2" w:rsidRPr="008B57EC">
        <w:rPr>
          <w:i/>
          <w:iCs/>
        </w:rPr>
        <w:t>broad</w:t>
      </w:r>
      <w:r w:rsidR="001C0ED2" w:rsidRPr="008B57EC">
        <w:t xml:space="preserve"> duty </w:t>
      </w:r>
      <w:r w:rsidR="00323042" w:rsidRPr="008B57EC">
        <w:t xml:space="preserve">to inquire </w:t>
      </w:r>
      <w:r w:rsidR="009E4703">
        <w:t>that</w:t>
      </w:r>
      <w:r w:rsidR="009E4703" w:rsidRPr="008B57EC">
        <w:t xml:space="preserve"> </w:t>
      </w:r>
      <w:r w:rsidR="001C0ED2" w:rsidRPr="008B57EC">
        <w:t>applies</w:t>
      </w:r>
      <w:r w:rsidR="00D7440B">
        <w:t xml:space="preserve"> </w:t>
      </w:r>
      <w:r w:rsidR="009E4703">
        <w:t>regardless of how a child is initially removed from home</w:t>
      </w:r>
      <w:r w:rsidR="00211688" w:rsidRPr="008B57EC">
        <w:t>.</w:t>
      </w:r>
    </w:p>
    <w:p w14:paraId="7B2EF73F" w14:textId="77777777" w:rsidR="0047545C" w:rsidRDefault="00DB5798" w:rsidP="0047545C">
      <w:pPr>
        <w:keepNext/>
        <w:keepLines/>
        <w:ind w:firstLine="720"/>
      </w:pPr>
      <w:r>
        <w:lastRenderedPageBreak/>
        <w:t xml:space="preserve">The costs of </w:t>
      </w:r>
      <w:r w:rsidR="00DF4B37">
        <w:t xml:space="preserve">broadening the </w:t>
      </w:r>
      <w:r>
        <w:t xml:space="preserve">inquiry are slight, as departments are already required to identify and to contact extended family members for various reasons unrelated to ICWA during dependency proceedings. (See </w:t>
      </w:r>
      <w:r w:rsidRPr="00650B36">
        <w:rPr>
          <w:i/>
          <w:iCs/>
        </w:rPr>
        <w:t>S.S.</w:t>
      </w:r>
      <w:r>
        <w:t xml:space="preserve">, </w:t>
      </w:r>
      <w:r w:rsidRPr="00650B36">
        <w:rPr>
          <w:i/>
          <w:iCs/>
        </w:rPr>
        <w:t>sup</w:t>
      </w:r>
      <w:r w:rsidRPr="00650B36">
        <w:rPr>
          <w:i/>
          <w:iCs/>
        </w:rPr>
        <w:t>ra</w:t>
      </w:r>
      <w:r>
        <w:t xml:space="preserve">, 90 Cal.App.5th at p. 702 [providing a list of examples of such provisions].) But the </w:t>
      </w:r>
      <w:r w:rsidR="00DC71A3">
        <w:t>“</w:t>
      </w:r>
      <w:r w:rsidR="00DC71A3" w:rsidRPr="00DC71A3">
        <w:t>payoff can be large for tribes,</w:t>
      </w:r>
      <w:r w:rsidR="00DC71A3">
        <w:t xml:space="preserve"> </w:t>
      </w:r>
      <w:r>
        <w:t>whose children carry their cultures into the future.” (</w:t>
      </w:r>
      <w:r w:rsidR="008834DD">
        <w:rPr>
          <w:i/>
          <w:iCs/>
        </w:rPr>
        <w:t>Id.</w:t>
      </w:r>
      <w:r>
        <w:t xml:space="preserve"> at p. 705.) “The inquiry required by the 2018 amendment is vital—literally:</w:t>
      </w:r>
      <w:r>
        <w:t xml:space="preserve"> it can help keep cultures alive.” </w:t>
      </w:r>
      <w:r w:rsidR="008D71DB">
        <w:t>(</w:t>
      </w:r>
      <w:r w:rsidR="00863033" w:rsidRPr="0085597A">
        <w:rPr>
          <w:i/>
          <w:iCs/>
        </w:rPr>
        <w:t>Ibid.</w:t>
      </w:r>
      <w:r w:rsidR="00863033">
        <w:t xml:space="preserve">) </w:t>
      </w:r>
      <w:r>
        <w:t>And, because tribal knowledge and experience tell us “there is a chance extended family members may have otherwise-unavailable information the child has Indian ancestry</w:t>
      </w:r>
      <w:r w:rsidR="00863033">
        <w:t>,</w:t>
      </w:r>
      <w:r>
        <w:t>” the importance o</w:t>
      </w:r>
      <w:r w:rsidRPr="006A17EF">
        <w:t xml:space="preserve">f interviewing such </w:t>
      </w:r>
      <w:r w:rsidRPr="006A17EF">
        <w:t>individuals when they are readily available cannot be overstated.</w:t>
      </w:r>
      <w:r w:rsidR="00863033">
        <w:t xml:space="preserve"> (</w:t>
      </w:r>
      <w:r w:rsidR="00863033">
        <w:rPr>
          <w:i/>
          <w:iCs/>
        </w:rPr>
        <w:t>I</w:t>
      </w:r>
      <w:r w:rsidR="00863033" w:rsidRPr="00566348">
        <w:rPr>
          <w:i/>
          <w:iCs/>
        </w:rPr>
        <w:t>bid.</w:t>
      </w:r>
      <w:r w:rsidR="00BA32CC">
        <w:t>)</w:t>
      </w:r>
    </w:p>
    <w:p w14:paraId="59CD5E9C" w14:textId="2E332569" w:rsidR="002E7F89" w:rsidRDefault="00DB5798" w:rsidP="0047545C">
      <w:pPr>
        <w:ind w:firstLine="720"/>
      </w:pPr>
      <w:r>
        <w:t>W</w:t>
      </w:r>
      <w:r w:rsidRPr="008B57EC">
        <w:t>e generally follow decisions of our own court, absent a compelling reason to depart. (</w:t>
      </w:r>
      <w:proofErr w:type="spellStart"/>
      <w:r w:rsidRPr="008B57EC">
        <w:rPr>
          <w:i/>
          <w:iCs/>
        </w:rPr>
        <w:t>Opsal</w:t>
      </w:r>
      <w:proofErr w:type="spellEnd"/>
      <w:r w:rsidRPr="008B57EC">
        <w:rPr>
          <w:i/>
          <w:iCs/>
        </w:rPr>
        <w:t xml:space="preserve"> v. United Services Auto. Assn.</w:t>
      </w:r>
      <w:r w:rsidRPr="008B57EC">
        <w:t xml:space="preserve"> (1991) 2 Cal.App.4th 1197, 1204; see also </w:t>
      </w:r>
      <w:r w:rsidRPr="008B57EC">
        <w:rPr>
          <w:i/>
          <w:iCs/>
        </w:rPr>
        <w:t xml:space="preserve">Estate of Sapp </w:t>
      </w:r>
      <w:r w:rsidRPr="008B57EC">
        <w:t>(</w:t>
      </w:r>
      <w:r w:rsidRPr="008B57EC">
        <w:t xml:space="preserve">2019) 36 Cal.App.5th 86, 109.) However, there are several considerations that compel us to depart from </w:t>
      </w:r>
      <w:r w:rsidRPr="008B57EC">
        <w:rPr>
          <w:i/>
          <w:iCs/>
        </w:rPr>
        <w:t>Robert F.</w:t>
      </w:r>
      <w:r w:rsidRPr="008B57EC">
        <w:t xml:space="preserve"> First, that decision</w:t>
      </w:r>
      <w:r w:rsidRPr="008B57EC">
        <w:rPr>
          <w:i/>
          <w:iCs/>
        </w:rPr>
        <w:t xml:space="preserve"> </w:t>
      </w:r>
      <w:r w:rsidRPr="008B57EC">
        <w:t>itself departed from earlier decisions of our court holding the duty of initial inquiry in section 224.2(b) “applies in ev</w:t>
      </w:r>
      <w:r w:rsidRPr="008B57EC">
        <w:t>ery dependency proceeding.” (</w:t>
      </w:r>
      <w:r w:rsidRPr="008B57EC">
        <w:rPr>
          <w:i/>
          <w:iCs/>
        </w:rPr>
        <w:t>In re Ricky R.</w:t>
      </w:r>
      <w:r w:rsidRPr="008B57EC">
        <w:t xml:space="preserve"> (2022) 82 Cal.App.5th 671, 678; see also </w:t>
      </w:r>
      <w:r w:rsidR="006454B9" w:rsidRPr="008D24D9">
        <w:rPr>
          <w:i/>
          <w:iCs/>
        </w:rPr>
        <w:t>In re</w:t>
      </w:r>
      <w:r w:rsidR="006454B9" w:rsidRPr="008D24D9">
        <w:t xml:space="preserve"> </w:t>
      </w:r>
      <w:r w:rsidR="006454B9" w:rsidRPr="008D24D9">
        <w:rPr>
          <w:i/>
          <w:iCs/>
        </w:rPr>
        <w:t>Benjamin M.</w:t>
      </w:r>
      <w:r w:rsidR="006454B9" w:rsidRPr="008D24D9">
        <w:t xml:space="preserve"> (2021) 70 Cal.App.5th 735</w:t>
      </w:r>
      <w:r w:rsidR="00935B36" w:rsidRPr="008D24D9">
        <w:t xml:space="preserve"> </w:t>
      </w:r>
      <w:r w:rsidR="006454B9" w:rsidRPr="008D24D9">
        <w:t>(</w:t>
      </w:r>
      <w:r w:rsidR="006454B9" w:rsidRPr="008D24D9">
        <w:rPr>
          <w:i/>
          <w:iCs/>
        </w:rPr>
        <w:t>Benjamin M.</w:t>
      </w:r>
      <w:r w:rsidR="006454B9" w:rsidRPr="008D24D9">
        <w:t xml:space="preserve">) </w:t>
      </w:r>
      <w:r w:rsidRPr="008D24D9">
        <w:t>[same].)</w:t>
      </w:r>
      <w:r w:rsidRPr="008B57EC">
        <w:t xml:space="preserve"> Second, </w:t>
      </w:r>
      <w:r w:rsidRPr="008B57EC">
        <w:rPr>
          <w:i/>
          <w:iCs/>
        </w:rPr>
        <w:t>Robert F.’s</w:t>
      </w:r>
      <w:r w:rsidRPr="008B57EC">
        <w:t xml:space="preserve"> interpretation is</w:t>
      </w:r>
      <w:r w:rsidR="007321D3">
        <w:t>, in our view,</w:t>
      </w:r>
      <w:r w:rsidRPr="008B57EC">
        <w:t xml:space="preserve"> based on a plain error of statutory construction tha</w:t>
      </w:r>
      <w:r w:rsidRPr="008B57EC">
        <w:t>t is easily corrected, and the error if put into force would significantly undermine the purpose of ICWA and the California statutes implementing ICWA</w:t>
      </w:r>
      <w:r w:rsidR="00542F54" w:rsidRPr="008B57EC">
        <w:t xml:space="preserve">. </w:t>
      </w:r>
      <w:r w:rsidRPr="008B57EC">
        <w:t xml:space="preserve">Third, the </w:t>
      </w:r>
      <w:r w:rsidRPr="008B57EC">
        <w:rPr>
          <w:i/>
          <w:iCs/>
        </w:rPr>
        <w:t>Robert F.</w:t>
      </w:r>
      <w:r w:rsidRPr="008B57EC">
        <w:t xml:space="preserve"> interpretation is of recent origin, meaning neither courts nor the public have yet </w:t>
      </w:r>
      <w:r w:rsidRPr="008B57EC">
        <w:t xml:space="preserve">placed </w:t>
      </w:r>
      <w:r w:rsidRPr="008B57EC">
        <w:lastRenderedPageBreak/>
        <w:t xml:space="preserve">significant reliance on it. </w:t>
      </w:r>
      <w:r w:rsidRPr="005A37B9">
        <w:t xml:space="preserve">(See </w:t>
      </w:r>
      <w:r w:rsidRPr="005A37B9">
        <w:rPr>
          <w:i/>
          <w:iCs/>
        </w:rPr>
        <w:t>Sierra Club v. San Joaquin Loc</w:t>
      </w:r>
      <w:r w:rsidR="00464BB6" w:rsidRPr="005A37B9">
        <w:rPr>
          <w:i/>
          <w:iCs/>
        </w:rPr>
        <w:t>al</w:t>
      </w:r>
      <w:r w:rsidRPr="005A37B9">
        <w:rPr>
          <w:i/>
          <w:iCs/>
        </w:rPr>
        <w:t xml:space="preserve"> Agency Formation Com</w:t>
      </w:r>
      <w:r w:rsidRPr="005A37B9">
        <w:t>. (1999)</w:t>
      </w:r>
      <w:r w:rsidR="003246D5" w:rsidRPr="005A37B9">
        <w:t xml:space="preserve"> </w:t>
      </w:r>
      <w:r w:rsidRPr="005A37B9">
        <w:t>21 Cal.4th 489, 504, 552 [“[s]</w:t>
      </w:r>
      <w:proofErr w:type="spellStart"/>
      <w:r w:rsidRPr="005A37B9">
        <w:t>tare</w:t>
      </w:r>
      <w:proofErr w:type="spellEnd"/>
      <w:r w:rsidRPr="005A37B9">
        <w:t xml:space="preserve"> decisis has added force when the legislature, in the public sphere, and citizens, in the private realm, have acted in r</w:t>
      </w:r>
      <w:r w:rsidRPr="005A37B9">
        <w:t xml:space="preserve">eliance on a previous decision, for in this instance overruling the decision would dislodge settled rights and expectations or require an extensive legislative response”], quoting </w:t>
      </w:r>
      <w:r w:rsidRPr="005A37B9">
        <w:rPr>
          <w:i/>
          <w:iCs/>
        </w:rPr>
        <w:t>Hilton v. South Carolina Public Railways Comm</w:t>
      </w:r>
      <w:r w:rsidR="005A37B9" w:rsidRPr="005A37B9">
        <w:rPr>
          <w:i/>
          <w:iCs/>
        </w:rPr>
        <w:t>’</w:t>
      </w:r>
      <w:r w:rsidRPr="005A37B9">
        <w:rPr>
          <w:i/>
          <w:iCs/>
        </w:rPr>
        <w:t xml:space="preserve">n </w:t>
      </w:r>
      <w:r w:rsidRPr="005A37B9">
        <w:t xml:space="preserve">(1991) 502 U.S. 197, </w:t>
      </w:r>
      <w:r w:rsidRPr="005A37B9">
        <w:t>202.)</w:t>
      </w:r>
    </w:p>
    <w:p w14:paraId="287A167F" w14:textId="06C795C4" w:rsidR="001E0245" w:rsidRPr="00CC361F" w:rsidRDefault="00DB5798" w:rsidP="00CC361F">
      <w:pPr>
        <w:pStyle w:val="ListParagraph"/>
        <w:keepNext/>
        <w:keepLines/>
        <w:numPr>
          <w:ilvl w:val="0"/>
          <w:numId w:val="7"/>
        </w:numPr>
        <w:rPr>
          <w:i/>
          <w:iCs/>
        </w:rPr>
      </w:pPr>
      <w:r w:rsidRPr="00CC361F">
        <w:rPr>
          <w:i/>
          <w:iCs/>
        </w:rPr>
        <w:t xml:space="preserve">The </w:t>
      </w:r>
      <w:r w:rsidR="00075E1C" w:rsidRPr="00CC361F">
        <w:rPr>
          <w:i/>
          <w:iCs/>
        </w:rPr>
        <w:t>d</w:t>
      </w:r>
      <w:r w:rsidRPr="00CC361F">
        <w:rPr>
          <w:i/>
          <w:iCs/>
        </w:rPr>
        <w:t xml:space="preserve">epartment’s </w:t>
      </w:r>
      <w:r w:rsidR="00075E1C" w:rsidRPr="00CC361F">
        <w:rPr>
          <w:i/>
          <w:iCs/>
        </w:rPr>
        <w:t>e</w:t>
      </w:r>
      <w:r w:rsidRPr="00CC361F">
        <w:rPr>
          <w:i/>
          <w:iCs/>
        </w:rPr>
        <w:t xml:space="preserve">rror </w:t>
      </w:r>
      <w:r w:rsidR="00CF4D2A" w:rsidRPr="00CC361F">
        <w:rPr>
          <w:i/>
          <w:iCs/>
        </w:rPr>
        <w:t xml:space="preserve">was </w:t>
      </w:r>
      <w:proofErr w:type="gramStart"/>
      <w:r w:rsidR="00CF4D2A" w:rsidRPr="00CC361F">
        <w:rPr>
          <w:i/>
          <w:iCs/>
        </w:rPr>
        <w:t>prejudicial</w:t>
      </w:r>
      <w:proofErr w:type="gramEnd"/>
    </w:p>
    <w:p w14:paraId="6329BC8D" w14:textId="16BB6D35" w:rsidR="000C0D61" w:rsidRDefault="00DB5798" w:rsidP="008D24D9">
      <w:pPr>
        <w:keepNext/>
        <w:keepLines/>
        <w:ind w:firstLine="720"/>
      </w:pPr>
      <w:r w:rsidRPr="004B2620">
        <w:t>W</w:t>
      </w:r>
      <w:r w:rsidR="00425AA5" w:rsidRPr="004B2620">
        <w:t>e conclude the department violated 224.2</w:t>
      </w:r>
      <w:r w:rsidR="003C3739">
        <w:t>(</w:t>
      </w:r>
      <w:r w:rsidR="00425AA5" w:rsidRPr="004B2620">
        <w:t>b</w:t>
      </w:r>
      <w:r w:rsidR="003C3739">
        <w:t>)</w:t>
      </w:r>
      <w:r w:rsidR="00425AA5" w:rsidRPr="004B2620">
        <w:t xml:space="preserve">’s clear mandate </w:t>
      </w:r>
      <w:r w:rsidR="001E06FC" w:rsidRPr="004B2620">
        <w:t xml:space="preserve">by failing to ask the maternal uncle </w:t>
      </w:r>
      <w:r w:rsidR="00425AA5" w:rsidRPr="004B2620">
        <w:t>whether D</w:t>
      </w:r>
      <w:r w:rsidR="003C3739">
        <w:t>elila</w:t>
      </w:r>
      <w:r w:rsidR="00425AA5" w:rsidRPr="004B2620">
        <w:t xml:space="preserve"> may</w:t>
      </w:r>
      <w:r w:rsidR="00425AA5">
        <w:t xml:space="preserve"> have any Indian ancestry. </w:t>
      </w:r>
      <w:r w:rsidR="001A3C4E">
        <w:t>And, b</w:t>
      </w:r>
      <w:r w:rsidR="008B15AA">
        <w:t>ecause he was readily available throughout the proceeding and could have meaningful information about D</w:t>
      </w:r>
      <w:r w:rsidR="003C3739">
        <w:t>elila</w:t>
      </w:r>
      <w:r w:rsidR="008B15AA">
        <w:t xml:space="preserve">’s heritage, we conclude the </w:t>
      </w:r>
      <w:r w:rsidR="00705A7A">
        <w:t xml:space="preserve">violation prejudiced tribes and </w:t>
      </w:r>
      <w:r w:rsidR="008B15AA">
        <w:t>remand is necessary. (</w:t>
      </w:r>
      <w:r w:rsidR="008B15AA" w:rsidRPr="00074A9E">
        <w:rPr>
          <w:i/>
          <w:iCs/>
        </w:rPr>
        <w:t>Benjamin M.</w:t>
      </w:r>
      <w:r w:rsidR="00780564">
        <w:t xml:space="preserve">, </w:t>
      </w:r>
      <w:r w:rsidR="00780564" w:rsidRPr="00780564">
        <w:rPr>
          <w:i/>
          <w:iCs/>
        </w:rPr>
        <w:t>supra</w:t>
      </w:r>
      <w:r w:rsidR="00780564">
        <w:t xml:space="preserve">, </w:t>
      </w:r>
      <w:r w:rsidR="008B15AA" w:rsidRPr="00074A9E">
        <w:t xml:space="preserve">70 Cal.App.5th </w:t>
      </w:r>
      <w:r w:rsidR="00780564">
        <w:t xml:space="preserve">at p. </w:t>
      </w:r>
      <w:r w:rsidR="008B15AA" w:rsidRPr="00074A9E">
        <w:t>744</w:t>
      </w:r>
      <w:r w:rsidR="00705A7A">
        <w:t xml:space="preserve">; </w:t>
      </w:r>
      <w:r w:rsidR="00802629" w:rsidRPr="00650B36">
        <w:rPr>
          <w:i/>
          <w:iCs/>
        </w:rPr>
        <w:t>S.S.</w:t>
      </w:r>
      <w:r w:rsidR="00802629">
        <w:t xml:space="preserve">, </w:t>
      </w:r>
      <w:r w:rsidR="00802629" w:rsidRPr="00650B36">
        <w:rPr>
          <w:i/>
          <w:iCs/>
        </w:rPr>
        <w:t>supra</w:t>
      </w:r>
      <w:r w:rsidR="00802629">
        <w:t xml:space="preserve">, 90 Cal.App.5th at p. </w:t>
      </w:r>
      <w:r>
        <w:t>710</w:t>
      </w:r>
      <w:r w:rsidR="008B15AA">
        <w:t>.)</w:t>
      </w:r>
    </w:p>
    <w:p w14:paraId="1924E4F6" w14:textId="30205A5D" w:rsidR="008D24D9" w:rsidRDefault="00DB5798" w:rsidP="008D24D9">
      <w:pPr>
        <w:ind w:firstLine="720"/>
      </w:pPr>
      <w:r>
        <w:t>The analysis regarding the</w:t>
      </w:r>
      <w:r w:rsidR="006061C4">
        <w:t xml:space="preserve"> other relatives listed</w:t>
      </w:r>
      <w:r>
        <w:t xml:space="preserve"> in the jurisdiction and disposition report </w:t>
      </w:r>
      <w:r w:rsidR="006061C4">
        <w:t xml:space="preserve">that the social worker tried to interview about placement </w:t>
      </w:r>
      <w:r>
        <w:t>is less straightforward. While it</w:t>
      </w:r>
      <w:r w:rsidR="000C0D61">
        <w:t>’</w:t>
      </w:r>
      <w:r>
        <w:t xml:space="preserve">s clear the phone numbers </w:t>
      </w:r>
      <w:r w:rsidR="00AA75C1">
        <w:t xml:space="preserve">the social worker had on file for them </w:t>
      </w:r>
      <w:r>
        <w:t xml:space="preserve">were not correct, we cannot say </w:t>
      </w:r>
      <w:r>
        <w:t xml:space="preserve">the same about the addresses. </w:t>
      </w:r>
      <w:r w:rsidR="000C0D61">
        <w:t>Also, it</w:t>
      </w:r>
      <w:r w:rsidR="007321D3">
        <w:t xml:space="preserve"> i</w:t>
      </w:r>
      <w:r>
        <w:t>s possible the individuals would choose not to respond about placement but would respond to a question about D</w:t>
      </w:r>
      <w:r w:rsidR="003C3739">
        <w:t>elila</w:t>
      </w:r>
      <w:r>
        <w:t xml:space="preserve">’s ancestry. On remand, the juvenile court shall decide </w:t>
      </w:r>
      <w:r w:rsidR="009301BF">
        <w:t xml:space="preserve">in the first instance </w:t>
      </w:r>
      <w:r>
        <w:t>whether to order the de</w:t>
      </w:r>
      <w:r>
        <w:t>partment to send inquiries to those addresses</w:t>
      </w:r>
      <w:r w:rsidR="009301BF">
        <w:t xml:space="preserve"> or try to </w:t>
      </w:r>
      <w:r w:rsidR="00DC67D4">
        <w:t>obtain additional contact information about them from mother</w:t>
      </w:r>
      <w:r w:rsidR="00EC3CD6">
        <w:t xml:space="preserve"> and the maternal uncle</w:t>
      </w:r>
      <w:r>
        <w:t>.</w:t>
      </w:r>
    </w:p>
    <w:p w14:paraId="2B42076C" w14:textId="77777777" w:rsidR="008D24D9" w:rsidRDefault="00DB5798" w:rsidP="0047545C">
      <w:pPr>
        <w:keepNext/>
        <w:keepLines/>
        <w:jc w:val="center"/>
        <w:rPr>
          <w:b/>
          <w:bCs/>
        </w:rPr>
      </w:pPr>
      <w:r w:rsidRPr="00303A15">
        <w:rPr>
          <w:b/>
          <w:bCs/>
        </w:rPr>
        <w:lastRenderedPageBreak/>
        <w:t>III</w:t>
      </w:r>
    </w:p>
    <w:p w14:paraId="570BB648" w14:textId="77777777" w:rsidR="008D24D9" w:rsidRDefault="00DB5798" w:rsidP="0047545C">
      <w:pPr>
        <w:keepNext/>
        <w:keepLines/>
        <w:jc w:val="center"/>
        <w:rPr>
          <w:b/>
          <w:bCs/>
        </w:rPr>
      </w:pPr>
      <w:r w:rsidRPr="00AB41FB">
        <w:rPr>
          <w:b/>
          <w:bCs/>
        </w:rPr>
        <w:t>DISPOSITION</w:t>
      </w:r>
    </w:p>
    <w:p w14:paraId="504209A9" w14:textId="2FB893D2" w:rsidR="00790C81" w:rsidRPr="008D24D9" w:rsidRDefault="00DB5798" w:rsidP="008D24D9">
      <w:pPr>
        <w:ind w:firstLine="720"/>
        <w:rPr>
          <w:b/>
          <w:bCs/>
        </w:rPr>
      </w:pPr>
      <w:r>
        <w:t xml:space="preserve">We conditionally </w:t>
      </w:r>
      <w:r w:rsidRPr="000C2DC5">
        <w:t xml:space="preserve">reverse the </w:t>
      </w:r>
      <w:r>
        <w:t>order terminating parental rights</w:t>
      </w:r>
      <w:r w:rsidRPr="000C2DC5">
        <w:t xml:space="preserve"> and remand the matter to the juvenil</w:t>
      </w:r>
      <w:r w:rsidRPr="000C2DC5">
        <w:t xml:space="preserve">e court with directions </w:t>
      </w:r>
      <w:r>
        <w:t>to comply with the inquiry provisions of section 224.2. The juvenile court shall order that within 30 days of the remittitur, the department perform its initial inquiry of D</w:t>
      </w:r>
      <w:r w:rsidR="003C3739">
        <w:t>elila</w:t>
      </w:r>
      <w:r>
        <w:t>’s potential Indian ancestry consistent with this opin</w:t>
      </w:r>
      <w:r>
        <w:t>ion. If, after completing the initial inquiry, there is no reason to believe D</w:t>
      </w:r>
      <w:r w:rsidR="003C3739">
        <w:t>elila</w:t>
      </w:r>
      <w:r>
        <w:t xml:space="preserve"> is an Indian child, the court shall reinstate its order terminating parental rights. If the inquiry produces information substantiating Indian ancestry, </w:t>
      </w:r>
      <w:r w:rsidRPr="000C2DC5">
        <w:t>the court shall vac</w:t>
      </w:r>
      <w:r w:rsidRPr="000C2DC5">
        <w:t xml:space="preserve">ate </w:t>
      </w:r>
      <w:r>
        <w:t>the</w:t>
      </w:r>
      <w:r w:rsidRPr="000C2DC5">
        <w:t xml:space="preserve"> order and proceed in compliance with ICWA and related California law.</w:t>
      </w:r>
    </w:p>
    <w:p w14:paraId="10796978" w14:textId="5DAB6EF5" w:rsidR="00790C81" w:rsidRDefault="00DB5798" w:rsidP="00790C81">
      <w:r>
        <w:tab/>
        <w:t>CERTIFIED FOR PUBLICATION</w:t>
      </w:r>
    </w:p>
    <w:p w14:paraId="14CCA844" w14:textId="77777777" w:rsidR="00464BB6" w:rsidRDefault="00464BB6" w:rsidP="00790C81"/>
    <w:p w14:paraId="6A6ECDFB" w14:textId="77777777" w:rsidR="0069163A" w:rsidRDefault="00DB5798" w:rsidP="0069163A">
      <w:pPr>
        <w:pStyle w:val="SigPage1"/>
        <w:jc w:val="right"/>
        <w:rPr>
          <w:rFonts w:ascii="Times New Roman" w:hAnsi="Times New Roman"/>
          <w:sz w:val="26"/>
        </w:rPr>
      </w:pPr>
      <w:r>
        <w:rPr>
          <w:rFonts w:ascii="Times New Roman" w:hAnsi="Times New Roman"/>
          <w:sz w:val="26"/>
          <w:u w:val="single"/>
        </w:rPr>
        <w:t>SLOUGH</w:t>
      </w:r>
      <w:r>
        <w:rPr>
          <w:rFonts w:ascii="Times New Roman" w:hAnsi="Times New Roman"/>
          <w:sz w:val="26"/>
          <w:u w:val="single"/>
        </w:rPr>
        <w:tab/>
      </w:r>
    </w:p>
    <w:p w14:paraId="37E11111" w14:textId="77777777" w:rsidR="0069163A" w:rsidRDefault="00DB5798" w:rsidP="0069163A">
      <w:pPr>
        <w:pStyle w:val="SigPage1"/>
        <w:jc w:val="right"/>
        <w:rPr>
          <w:rFonts w:ascii="Times New Roman" w:hAnsi="Times New Roman"/>
          <w:sz w:val="26"/>
        </w:rPr>
      </w:pPr>
      <w:r>
        <w:rPr>
          <w:rFonts w:ascii="Times New Roman" w:hAnsi="Times New Roman"/>
          <w:sz w:val="26"/>
        </w:rPr>
        <w:tab/>
        <w:t>J.</w:t>
      </w:r>
    </w:p>
    <w:p w14:paraId="50588ED1" w14:textId="77777777" w:rsidR="0069163A" w:rsidRDefault="0069163A" w:rsidP="0069163A">
      <w:pPr>
        <w:pStyle w:val="SigPage2"/>
        <w:rPr>
          <w:rFonts w:ascii="Times New Roman" w:hAnsi="Times New Roman"/>
          <w:sz w:val="26"/>
        </w:rPr>
      </w:pPr>
    </w:p>
    <w:p w14:paraId="706BD95D" w14:textId="65B9C679" w:rsidR="0069163A" w:rsidRDefault="00DB5798" w:rsidP="0069163A">
      <w:pPr>
        <w:pStyle w:val="SigPage2"/>
        <w:rPr>
          <w:rFonts w:ascii="Times New Roman" w:hAnsi="Times New Roman"/>
          <w:sz w:val="26"/>
        </w:rPr>
      </w:pPr>
      <w:r>
        <w:rPr>
          <w:rFonts w:ascii="Times New Roman" w:hAnsi="Times New Roman"/>
          <w:sz w:val="26"/>
        </w:rPr>
        <w:t>I concur:</w:t>
      </w:r>
    </w:p>
    <w:p w14:paraId="747EC522" w14:textId="77777777" w:rsidR="0069163A" w:rsidRDefault="0069163A" w:rsidP="0069163A">
      <w:pPr>
        <w:pStyle w:val="SigPage2"/>
        <w:rPr>
          <w:rFonts w:ascii="Times New Roman" w:hAnsi="Times New Roman"/>
          <w:sz w:val="26"/>
        </w:rPr>
      </w:pPr>
    </w:p>
    <w:p w14:paraId="105101B3" w14:textId="77777777" w:rsidR="00435894" w:rsidRDefault="00435894" w:rsidP="0069163A">
      <w:pPr>
        <w:pStyle w:val="SigPage2"/>
        <w:rPr>
          <w:rFonts w:ascii="Times New Roman" w:hAnsi="Times New Roman"/>
          <w:sz w:val="26"/>
          <w:u w:val="single"/>
        </w:rPr>
      </w:pPr>
    </w:p>
    <w:p w14:paraId="0B11CC9E" w14:textId="58B98562" w:rsidR="0069163A" w:rsidRDefault="00DB5798" w:rsidP="0069163A">
      <w:pPr>
        <w:pStyle w:val="SigPage2"/>
        <w:rPr>
          <w:rFonts w:ascii="Times New Roman" w:hAnsi="Times New Roman"/>
          <w:sz w:val="26"/>
        </w:rPr>
      </w:pPr>
      <w:r>
        <w:rPr>
          <w:rFonts w:ascii="Times New Roman" w:hAnsi="Times New Roman"/>
          <w:sz w:val="26"/>
          <w:u w:val="single"/>
        </w:rPr>
        <w:t>RAPHAEL</w:t>
      </w:r>
      <w:r>
        <w:rPr>
          <w:rFonts w:ascii="Times New Roman" w:hAnsi="Times New Roman"/>
          <w:sz w:val="26"/>
          <w:u w:val="single"/>
        </w:rPr>
        <w:tab/>
      </w:r>
    </w:p>
    <w:p w14:paraId="44E36F89" w14:textId="5B5DC6D1" w:rsidR="0069163A" w:rsidRDefault="00DB5798" w:rsidP="0069163A">
      <w:pPr>
        <w:pStyle w:val="SigPage2"/>
        <w:rPr>
          <w:rFonts w:ascii="Times New Roman" w:hAnsi="Times New Roman"/>
          <w:sz w:val="26"/>
        </w:rPr>
      </w:pPr>
      <w:r>
        <w:rPr>
          <w:rFonts w:ascii="Times New Roman" w:hAnsi="Times New Roman"/>
          <w:sz w:val="26"/>
        </w:rPr>
        <w:tab/>
        <w:t>J.</w:t>
      </w:r>
    </w:p>
    <w:p w14:paraId="70DDC6B8" w14:textId="77777777" w:rsidR="004C4947" w:rsidRDefault="00DB5798">
      <w:pPr>
        <w:overflowPunct/>
        <w:autoSpaceDE/>
        <w:autoSpaceDN/>
        <w:adjustRightInd/>
        <w:spacing w:after="160" w:line="259" w:lineRule="auto"/>
        <w:textAlignment w:val="auto"/>
        <w:sectPr w:rsidR="004C494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cols w:space="720"/>
          <w:docGrid w:linePitch="360"/>
        </w:sectPr>
      </w:pPr>
      <w:r>
        <w:br w:type="page"/>
      </w:r>
    </w:p>
    <w:p w14:paraId="49BB33F8" w14:textId="77777777" w:rsidR="00932759" w:rsidRDefault="00DB5798" w:rsidP="007C2F9D">
      <w:pPr>
        <w:spacing w:line="480" w:lineRule="auto"/>
      </w:pPr>
      <w:r>
        <w:lastRenderedPageBreak/>
        <w:t>[</w:t>
      </w:r>
      <w:r>
        <w:rPr>
          <w:i/>
        </w:rPr>
        <w:t xml:space="preserve">In re Delila D., </w:t>
      </w:r>
      <w:r>
        <w:t>E080389]</w:t>
      </w:r>
    </w:p>
    <w:p w14:paraId="2DC58E4E" w14:textId="77777777" w:rsidR="00932759" w:rsidRDefault="00DB5798" w:rsidP="007C2F9D">
      <w:pPr>
        <w:spacing w:line="480" w:lineRule="auto"/>
      </w:pPr>
      <w:r>
        <w:tab/>
      </w:r>
      <w:r>
        <w:t xml:space="preserve">MILLER, J., Dissenting </w:t>
      </w:r>
    </w:p>
    <w:p w14:paraId="0EF11EAE" w14:textId="77777777" w:rsidR="00932759" w:rsidRDefault="00DB5798" w:rsidP="007C2F9D">
      <w:pPr>
        <w:spacing w:line="480" w:lineRule="auto"/>
      </w:pPr>
      <w:r>
        <w:tab/>
      </w:r>
      <w:r w:rsidRPr="004E559C">
        <w:t xml:space="preserve">I respectfully dissent to the majority opinion finding that </w:t>
      </w:r>
      <w:r>
        <w:t xml:space="preserve">remand is necessary </w:t>
      </w:r>
      <w:proofErr w:type="gramStart"/>
      <w:r>
        <w:t>in order for</w:t>
      </w:r>
      <w:proofErr w:type="gramEnd"/>
      <w:r>
        <w:t xml:space="preserve"> the Riverside County Department of Social Services (Department) to conduct further inquiry of the relatives of minor, Delila D. as to whet</w:t>
      </w:r>
      <w:r>
        <w:t>her she is an Indian child pursuant to the guidelines of Welfare and Institutions Code</w:t>
      </w:r>
      <w:r>
        <w:rPr>
          <w:rStyle w:val="FootnoteReference"/>
          <w:b w:val="0"/>
          <w:bCs/>
        </w:rPr>
        <w:footnoteReference w:id="3"/>
      </w:r>
      <w:r>
        <w:t xml:space="preserve"> section 224.2, subdivision (b).  I follow this court’s previous opinions of </w:t>
      </w:r>
      <w:r>
        <w:rPr>
          <w:i/>
          <w:iCs/>
        </w:rPr>
        <w:t xml:space="preserve">In re Robert F. </w:t>
      </w:r>
      <w:r>
        <w:t>(2023)</w:t>
      </w:r>
      <w:r>
        <w:rPr>
          <w:i/>
          <w:iCs/>
        </w:rPr>
        <w:t xml:space="preserve"> </w:t>
      </w:r>
      <w:r>
        <w:t>90 Cal.App.5th 492 (</w:t>
      </w:r>
      <w:r>
        <w:rPr>
          <w:i/>
          <w:iCs/>
        </w:rPr>
        <w:t>Robert F.</w:t>
      </w:r>
      <w:r>
        <w:t xml:space="preserve">) and </w:t>
      </w:r>
      <w:r>
        <w:rPr>
          <w:i/>
          <w:iCs/>
        </w:rPr>
        <w:t xml:space="preserve">In re </w:t>
      </w:r>
      <w:proofErr w:type="spellStart"/>
      <w:r>
        <w:rPr>
          <w:i/>
          <w:iCs/>
        </w:rPr>
        <w:t>Ja.O</w:t>
      </w:r>
      <w:proofErr w:type="spellEnd"/>
      <w:r>
        <w:rPr>
          <w:i/>
          <w:iCs/>
        </w:rPr>
        <w:t xml:space="preserve">. </w:t>
      </w:r>
      <w:r>
        <w:t>(2023)</w:t>
      </w:r>
      <w:r>
        <w:rPr>
          <w:i/>
          <w:iCs/>
        </w:rPr>
        <w:t xml:space="preserve"> </w:t>
      </w:r>
      <w:r>
        <w:t>91 Cal.App.5th</w:t>
      </w:r>
      <w:r>
        <w:t xml:space="preserve"> 672 (</w:t>
      </w:r>
      <w:proofErr w:type="spellStart"/>
      <w:r>
        <w:rPr>
          <w:i/>
          <w:iCs/>
        </w:rPr>
        <w:t>Ja.O</w:t>
      </w:r>
      <w:proofErr w:type="spellEnd"/>
      <w:r>
        <w:rPr>
          <w:i/>
          <w:iCs/>
        </w:rPr>
        <w:t>.</w:t>
      </w:r>
      <w:r>
        <w:t xml:space="preserve">).  Since </w:t>
      </w:r>
      <w:r w:rsidRPr="003B3DD4">
        <w:t>Delila</w:t>
      </w:r>
      <w:r>
        <w:t xml:space="preserve"> was taken into custody pursuant to a protective warrant under section 340, the additional inquiry requirements of section 224, subdivision (b), do not apply.  I would affirm. </w:t>
      </w:r>
    </w:p>
    <w:p w14:paraId="5332B29B" w14:textId="77777777" w:rsidR="00932759" w:rsidRDefault="00DB5798" w:rsidP="007C2F9D">
      <w:pPr>
        <w:spacing w:line="480" w:lineRule="auto"/>
      </w:pPr>
      <w:r>
        <w:tab/>
      </w:r>
      <w:r w:rsidRPr="00D91B20">
        <w:t xml:space="preserve">A protective custody removal warrant under section </w:t>
      </w:r>
      <w:r w:rsidRPr="00D91B20">
        <w:t xml:space="preserve">340 was obtained by the </w:t>
      </w:r>
      <w:r>
        <w:t>D</w:t>
      </w:r>
      <w:r w:rsidRPr="00D91B20">
        <w:t xml:space="preserve">epartment for </w:t>
      </w:r>
      <w:r w:rsidRPr="003B3DD4">
        <w:t>Delila</w:t>
      </w:r>
      <w:r w:rsidRPr="00D91B20">
        <w:t xml:space="preserve"> on January 24, 2021.  </w:t>
      </w:r>
      <w:r w:rsidRPr="003B3DD4">
        <w:t>Delila</w:t>
      </w:r>
      <w:r w:rsidRPr="00D91B20">
        <w:t xml:space="preserve"> was detained and was placed in protective custody in a foster home on January 25, 2021.  </w:t>
      </w:r>
    </w:p>
    <w:p w14:paraId="5AFAC364" w14:textId="77777777" w:rsidR="00932759" w:rsidRPr="00D91B20" w:rsidRDefault="00DB5798" w:rsidP="00341364">
      <w:pPr>
        <w:spacing w:line="480" w:lineRule="auto"/>
      </w:pPr>
      <w:r w:rsidRPr="00D91B20">
        <w:tab/>
        <w:t>“There is no federal duty to inquire of extended family members.”  (</w:t>
      </w:r>
      <w:r w:rsidRPr="00D91B20">
        <w:rPr>
          <w:i/>
          <w:iCs/>
        </w:rPr>
        <w:t xml:space="preserve">In re A.C. </w:t>
      </w:r>
      <w:r w:rsidRPr="00D91B20">
        <w:t>(2021) 65 C</w:t>
      </w:r>
      <w:r w:rsidRPr="00D91B20">
        <w:t>al.App.5th 1060, 1069.)  The duty of inquiry under state law comes from section 224.2, subdivision (b).  Subdivision (b) of section 224.2 provides, “If a child is placed into the temporary custody of a county welfare department pursuant to Section 306 or c</w:t>
      </w:r>
      <w:r w:rsidRPr="00D91B20">
        <w:t xml:space="preserve">ounty probation department pursuant to Section 307, the county welfare department or county probation department has a duty to inquire whether that child is an Indian child.  Inquiry includes, but is not limited to, asking the child, parents, legal </w:t>
      </w:r>
      <w:r w:rsidRPr="00D91B20">
        <w:lastRenderedPageBreak/>
        <w:t>guardia</w:t>
      </w:r>
      <w:r w:rsidRPr="00D91B20">
        <w:t xml:space="preserve">n, Indian custodian, extended family members, others who have an interest in the child, and the party reporting child abuse or neglect, whether the child is, or may be, an Indian child and where the child, the parents, or Indian custodian is domiciled.”  </w:t>
      </w:r>
      <w:r>
        <w:t>T</w:t>
      </w:r>
      <w:r w:rsidRPr="00D91B20">
        <w:t xml:space="preserve">he plain language of section 224.2, subdivision (b), provides that if a child is placed into the temporary custody of a county welfare department pursuant to section 306, there is a duty to inquire of extended relatives about Indian ancestry.  </w:t>
      </w:r>
    </w:p>
    <w:p w14:paraId="6126C06C" w14:textId="77777777" w:rsidR="00932759" w:rsidRPr="00D91B20" w:rsidRDefault="00DB5798" w:rsidP="00341364">
      <w:pPr>
        <w:spacing w:line="480" w:lineRule="auto"/>
      </w:pPr>
      <w:r w:rsidRPr="00D91B20">
        <w:tab/>
      </w:r>
      <w:r w:rsidRPr="00D91B20">
        <w:t>Section 306 provides, “(a) Any social worker in a county welfare department, or in an Indian tribe that has entered into an agreement pursuant to Section 10553.1 while acting within the scope of his or her regular duties under the direction of the juvenile</w:t>
      </w:r>
      <w:r w:rsidRPr="00D91B20">
        <w:t xml:space="preserve"> court and pursuant to subdivision (b) of Section 272, may do all of the following:  [¶]  (1) Receive and maintain, pending investigation, temporary custody of a child who is described in Section 300, and who has been delivered by a peace officer.  [¶]  (2</w:t>
      </w:r>
      <w:r w:rsidRPr="00D91B20">
        <w:t>) Take into and maintain temporary custody of, without a warrant, a child who has been declared a dependent child of the juvenile court under Section 300 or who the social worker has reasonable cause to believe is a person described in subdivision (b) or (</w:t>
      </w:r>
      <w:r w:rsidRPr="00D91B20">
        <w:t>g) of Section 300, and the social worker has reasonable cause to believe that the child has an immediate need for medical care or is in immediate danger of physical or sexual abuse or the physical environment poses an immediate threat to the child</w:t>
      </w:r>
      <w:r>
        <w:t>’</w:t>
      </w:r>
      <w:r w:rsidRPr="00D91B20">
        <w:t>s health</w:t>
      </w:r>
      <w:r w:rsidRPr="00D91B20">
        <w:t xml:space="preserve"> or safety.  [¶] (b) Upon receiving temporary custody of a child, the county welfare department shall inquire pursuant to Section 224.2, whether the child is an Indian child.”</w:t>
      </w:r>
    </w:p>
    <w:p w14:paraId="26B0DB0F" w14:textId="77777777" w:rsidR="00932759" w:rsidRPr="00D91B20" w:rsidRDefault="00DB5798" w:rsidP="00341364">
      <w:pPr>
        <w:spacing w:line="480" w:lineRule="auto"/>
      </w:pPr>
      <w:r w:rsidRPr="00D91B20">
        <w:tab/>
        <w:t xml:space="preserve">Section 340, subdivision (a), provides, “Whenever a petition has been filed in </w:t>
      </w:r>
      <w:r w:rsidRPr="00D91B20">
        <w:t xml:space="preserve">the juvenile court alleging that a minor comes within Section 300 and praying for a hearing </w:t>
      </w:r>
      <w:r w:rsidRPr="00D91B20">
        <w:lastRenderedPageBreak/>
        <w:t>on that petition, or whenever any subsequent petition has been filed praying for a hearing in the matter of the minor and it appears to the court that the circumsta</w:t>
      </w:r>
      <w:r w:rsidRPr="00D91B20">
        <w:t xml:space="preserve">nces of his or her home environment may endanger the health, person, or welfare of the minor, or whenever a dependent minor has run away from his or her court-ordered placement, a protective custody warrant may be issued immediately for the minor.”  </w:t>
      </w:r>
    </w:p>
    <w:p w14:paraId="69D09089" w14:textId="77777777" w:rsidR="00932759" w:rsidRDefault="00DB5798" w:rsidP="00341364">
      <w:pPr>
        <w:spacing w:line="480" w:lineRule="auto"/>
      </w:pPr>
      <w:r w:rsidRPr="00D91B20">
        <w:tab/>
      </w:r>
      <w:proofErr w:type="gramStart"/>
      <w:r w:rsidRPr="00D91B20">
        <w:t>“ ‘</w:t>
      </w:r>
      <w:proofErr w:type="gramEnd"/>
      <w:r w:rsidRPr="00D91B20">
        <w:t>U</w:t>
      </w:r>
      <w:r w:rsidRPr="00D91B20">
        <w:t>nder settled canons of statutory construction, in construing a statute we ascertain the Legislature’s intent in order to effectuate the law’s purpose.  [Citation.]  We must look to the statute’s words and give them their usual and ordinary meaning.  [Citat</w:t>
      </w:r>
      <w:r w:rsidRPr="00D91B20">
        <w:t>ion.]  The statute’s plain meaning controls the court’s interpretation unless its words are ambiguous.</w:t>
      </w:r>
      <w:proofErr w:type="gramStart"/>
      <w:r w:rsidRPr="00D91B20">
        <w:t>’ ”</w:t>
      </w:r>
      <w:proofErr w:type="gramEnd"/>
      <w:r w:rsidRPr="00D91B20">
        <w:t xml:space="preserve">  (</w:t>
      </w:r>
      <w:r w:rsidRPr="00D91B20">
        <w:rPr>
          <w:i/>
          <w:iCs/>
        </w:rPr>
        <w:t xml:space="preserve">People v. Arias </w:t>
      </w:r>
      <w:r w:rsidRPr="00D91B20">
        <w:t>(2008) 45 Cal.4th 169, 177.)</w:t>
      </w:r>
      <w:r>
        <w:t xml:space="preserve">  </w:t>
      </w:r>
      <w:r w:rsidRPr="00D91B20">
        <w:t xml:space="preserve"> </w:t>
      </w:r>
      <w:proofErr w:type="gramStart"/>
      <w:r w:rsidRPr="00D91B20">
        <w:t>“ ‘</w:t>
      </w:r>
      <w:proofErr w:type="gramEnd"/>
      <w:r w:rsidRPr="00D91B20">
        <w:t xml:space="preserve"> “[I]f the statutory language is not ambiguous, then we presume the Legislature meant what it said</w:t>
      </w:r>
      <w:r w:rsidRPr="00D91B20">
        <w:t>, and the plain meaning of the language governs.” ’ ”  (</w:t>
      </w:r>
      <w:r w:rsidRPr="00D91B20">
        <w:rPr>
          <w:i/>
          <w:iCs/>
        </w:rPr>
        <w:t>Melissa R. v. Superior Court</w:t>
      </w:r>
      <w:r w:rsidRPr="00D91B20">
        <w:t xml:space="preserve"> (2012) 207 Cal.App.4th 816, 822.)  </w:t>
      </w:r>
    </w:p>
    <w:p w14:paraId="0145B98E" w14:textId="77777777" w:rsidR="00932759" w:rsidRPr="004171C4" w:rsidRDefault="00DB5798" w:rsidP="009B2446">
      <w:pPr>
        <w:keepNext/>
        <w:keepLines/>
        <w:spacing w:line="480" w:lineRule="auto"/>
      </w:pPr>
      <w:r>
        <w:tab/>
        <w:t xml:space="preserve">In </w:t>
      </w:r>
      <w:r>
        <w:rPr>
          <w:i/>
          <w:iCs/>
        </w:rPr>
        <w:t>Robert F.</w:t>
      </w:r>
      <w:r>
        <w:t>, this court found that the plain language of section 224.2, subdivision (b), controls and it only requires that the Depar</w:t>
      </w:r>
      <w:r>
        <w:t>tment make an inquiry of extended relatives if the child “is placed into the temporary custody of a county welfare department pursuant to Section 306.”  (</w:t>
      </w:r>
      <w:r>
        <w:rPr>
          <w:i/>
          <w:iCs/>
        </w:rPr>
        <w:t>Robert F.</w:t>
      </w:r>
      <w:r w:rsidRPr="0067641B">
        <w:t>,</w:t>
      </w:r>
      <w:r>
        <w:rPr>
          <w:i/>
          <w:iCs/>
        </w:rPr>
        <w:t xml:space="preserve"> supra</w:t>
      </w:r>
      <w:r w:rsidRPr="0067641B">
        <w:t>,</w:t>
      </w:r>
      <w:r>
        <w:rPr>
          <w:i/>
          <w:iCs/>
        </w:rPr>
        <w:t xml:space="preserve"> </w:t>
      </w:r>
      <w:r>
        <w:t>90 Cal.App.5th at p. 500.)</w:t>
      </w:r>
    </w:p>
    <w:p w14:paraId="6AEC31A2" w14:textId="77777777" w:rsidR="00932759" w:rsidRPr="001F0ED8" w:rsidRDefault="00DB5798" w:rsidP="00341364">
      <w:pPr>
        <w:spacing w:line="480" w:lineRule="auto"/>
      </w:pPr>
      <w:r w:rsidRPr="00D91B20">
        <w:tab/>
      </w:r>
      <w:r>
        <w:t xml:space="preserve">This court, in </w:t>
      </w:r>
      <w:r>
        <w:rPr>
          <w:i/>
          <w:iCs/>
        </w:rPr>
        <w:t>Robert F.</w:t>
      </w:r>
      <w:r>
        <w:t xml:space="preserve">, followed the </w:t>
      </w:r>
      <w:r w:rsidRPr="00D91B20">
        <w:t>concurring opinio</w:t>
      </w:r>
      <w:r w:rsidRPr="00D91B20">
        <w:t xml:space="preserve">n in </w:t>
      </w:r>
      <w:r w:rsidRPr="00D91B20">
        <w:rPr>
          <w:i/>
          <w:iCs/>
        </w:rPr>
        <w:t>In re Adrian L.</w:t>
      </w:r>
      <w:r w:rsidRPr="00D91B20">
        <w:t xml:space="preserve"> (2022) 86 Cal.App.5th 342 (</w:t>
      </w:r>
      <w:r w:rsidRPr="00D91B20">
        <w:rPr>
          <w:i/>
          <w:iCs/>
        </w:rPr>
        <w:t>Adrian L.</w:t>
      </w:r>
      <w:r w:rsidRPr="00D91B20">
        <w:t>), a case involving a child being placed into protective custody pursuant to section 340, subdivision (b)</w:t>
      </w:r>
      <w:r>
        <w:t>.  I</w:t>
      </w:r>
      <w:r w:rsidRPr="00D91B20">
        <w:t xml:space="preserve">n his concurring opinion, Justice </w:t>
      </w:r>
      <w:r w:rsidRPr="00D91B20">
        <w:lastRenderedPageBreak/>
        <w:t>Kelley</w:t>
      </w:r>
      <w:r>
        <w:rPr>
          <w:rStyle w:val="FootnoteReference"/>
          <w:b w:val="0"/>
          <w:bCs/>
        </w:rPr>
        <w:footnoteReference w:id="4"/>
      </w:r>
      <w:r>
        <w:t>, a</w:t>
      </w:r>
      <w:r w:rsidRPr="00D91B20">
        <w:t xml:space="preserve">fter extensive examination of the </w:t>
      </w:r>
      <w:r>
        <w:t>l</w:t>
      </w:r>
      <w:r w:rsidRPr="00D91B20">
        <w:t>egislative</w:t>
      </w:r>
      <w:r w:rsidRPr="00D91B20">
        <w:t xml:space="preserve"> history of section 224.2, subdivision (b)</w:t>
      </w:r>
      <w:r>
        <w:t>,</w:t>
      </w:r>
      <w:r w:rsidRPr="00D91B20">
        <w:t xml:space="preserve"> and the plain language of the statute (</w:t>
      </w:r>
      <w:r>
        <w:rPr>
          <w:i/>
          <w:iCs/>
        </w:rPr>
        <w:t>Adrian L.</w:t>
      </w:r>
      <w:r>
        <w:t>,</w:t>
      </w:r>
      <w:r w:rsidRPr="00D91B20">
        <w:t xml:space="preserve"> at pp. 358-366), concluded</w:t>
      </w:r>
      <w:r>
        <w:t xml:space="preserve"> that “[p]lacing a child into ‘temporary custody of a county welfare department pursuant to [section] 306’ is fundamentally different fr</w:t>
      </w:r>
      <w:r>
        <w:t>om taking a child into ‘protective custody’ under section 340.”  (</w:t>
      </w:r>
      <w:r>
        <w:rPr>
          <w:i/>
          <w:iCs/>
        </w:rPr>
        <w:t xml:space="preserve">Id. </w:t>
      </w:r>
      <w:r>
        <w:t xml:space="preserve">at p. 357.) </w:t>
      </w:r>
      <w:r w:rsidRPr="00D91B20">
        <w:t xml:space="preserve"> “[A] removal under section 306 is considered an ‘emergency removal’ under ICWA, but a removal pursuant to an order issued under section 340 is not.  This distinction illumin</w:t>
      </w:r>
      <w:r w:rsidRPr="00D91B20">
        <w:t>ates why the legislative choice to limit the scope of section 224.2, subdivision (b)</w:t>
      </w:r>
      <w:r>
        <w:t>,</w:t>
      </w:r>
      <w:r w:rsidRPr="00D91B20">
        <w:t xml:space="preserve"> to situations where a child is placed in temporary custody of a county welfare agency pursuant to section 306 aligns it with federal ICWA guidance.”  As such, the require</w:t>
      </w:r>
      <w:r w:rsidRPr="00D91B20">
        <w:t>ment of section 224.2, subdivision (b) did not apply to the case in which the child was removed under section 340</w:t>
      </w:r>
      <w:r>
        <w:t xml:space="preserve"> based on the plain language of the statute</w:t>
      </w:r>
      <w:r w:rsidRPr="00D91B20">
        <w:t>.  (</w:t>
      </w:r>
      <w:r w:rsidRPr="00D91B20">
        <w:rPr>
          <w:i/>
          <w:iCs/>
        </w:rPr>
        <w:t>Adrian L.</w:t>
      </w:r>
      <w:r w:rsidRPr="00D91B20">
        <w:t>,</w:t>
      </w:r>
      <w:r w:rsidRPr="00D91B20">
        <w:rPr>
          <w:i/>
          <w:iCs/>
        </w:rPr>
        <w:t xml:space="preserve"> </w:t>
      </w:r>
      <w:r w:rsidRPr="00D91B20">
        <w:t>at p. 357.)</w:t>
      </w:r>
      <w:r>
        <w:t xml:space="preserve">  The </w:t>
      </w:r>
      <w:r>
        <w:rPr>
          <w:i/>
          <w:iCs/>
        </w:rPr>
        <w:t xml:space="preserve">Robert F. </w:t>
      </w:r>
      <w:r>
        <w:t xml:space="preserve">court adopted this reasoning finding that the language of </w:t>
      </w:r>
      <w:r>
        <w:t>the statue was plain and controlled the interpretation of section 224.2, subdivision (b).  (</w:t>
      </w:r>
      <w:r>
        <w:rPr>
          <w:i/>
          <w:iCs/>
        </w:rPr>
        <w:t>Robert F.</w:t>
      </w:r>
      <w:r w:rsidRPr="00821266">
        <w:t>,</w:t>
      </w:r>
      <w:r>
        <w:rPr>
          <w:i/>
          <w:iCs/>
        </w:rPr>
        <w:t xml:space="preserve"> supra</w:t>
      </w:r>
      <w:r w:rsidRPr="00821266">
        <w:t>,</w:t>
      </w:r>
      <w:r>
        <w:rPr>
          <w:i/>
          <w:iCs/>
        </w:rPr>
        <w:t xml:space="preserve"> </w:t>
      </w:r>
      <w:r>
        <w:t>90 Cal.App.5th at p. 500.)</w:t>
      </w:r>
    </w:p>
    <w:p w14:paraId="023904C6" w14:textId="77777777" w:rsidR="00932759" w:rsidRPr="00D91B20" w:rsidRDefault="00DB5798" w:rsidP="00994773">
      <w:pPr>
        <w:spacing w:line="480" w:lineRule="auto"/>
        <w:ind w:firstLine="720"/>
      </w:pPr>
      <w:r w:rsidRPr="00D91B20">
        <w:t>Based on the plain language in section 224.2, subdivision (b), it is applicable only to situations where “a child is pl</w:t>
      </w:r>
      <w:r w:rsidRPr="00D91B20">
        <w:t>aced into the temporary custody of a county welfare department pursuant to [s]</w:t>
      </w:r>
      <w:proofErr w:type="spellStart"/>
      <w:r w:rsidRPr="00D91B20">
        <w:t>ection</w:t>
      </w:r>
      <w:proofErr w:type="spellEnd"/>
      <w:r w:rsidRPr="00D91B20">
        <w:t xml:space="preserve"> 306.”  Here, </w:t>
      </w:r>
      <w:r w:rsidRPr="003B3DD4">
        <w:t>Delila</w:t>
      </w:r>
      <w:r w:rsidRPr="00D91B20">
        <w:t xml:space="preserve"> was placed into the Department’s custody pursuant to court order under section 340, subdivision (a), not through the </w:t>
      </w:r>
      <w:r w:rsidRPr="00D91B20">
        <w:lastRenderedPageBreak/>
        <w:t>warrantless removal procedure prov</w:t>
      </w:r>
      <w:r w:rsidRPr="00D91B20">
        <w:t xml:space="preserve">ided by section 306.  Accordingly, the Department was not required to conduct inquiries with “extended family members” at this initial inquiry stage pursuant to section 224.2, subdivision (b).  </w:t>
      </w:r>
    </w:p>
    <w:p w14:paraId="6078D4C1" w14:textId="77777777" w:rsidR="00932759" w:rsidRDefault="00DB5798" w:rsidP="00292B50">
      <w:pPr>
        <w:spacing w:line="480" w:lineRule="auto"/>
        <w:ind w:firstLine="720"/>
      </w:pPr>
      <w:r>
        <w:t xml:space="preserve">The majority states that it cannot follow </w:t>
      </w:r>
      <w:r w:rsidRPr="0011607C">
        <w:rPr>
          <w:i/>
          <w:iCs/>
        </w:rPr>
        <w:t>Robert F.</w:t>
      </w:r>
      <w:r w:rsidRPr="00976825">
        <w:t>’s</w:t>
      </w:r>
      <w:r w:rsidRPr="008B57EC">
        <w:t xml:space="preserve"> reasoning</w:t>
      </w:r>
      <w:r>
        <w:t xml:space="preserve"> because it </w:t>
      </w:r>
      <w:r w:rsidRPr="008B57EC">
        <w:t>disagree</w:t>
      </w:r>
      <w:r>
        <w:t>s</w:t>
      </w:r>
      <w:r w:rsidRPr="008B57EC">
        <w:t xml:space="preserve"> that section 306 is limited to </w:t>
      </w:r>
      <w:r>
        <w:t>circumstances where the child is removed without a warrant.  The majority argues that</w:t>
      </w:r>
      <w:r w:rsidRPr="008B57EC">
        <w:t xml:space="preserve"> </w:t>
      </w:r>
      <w:r>
        <w:t>s</w:t>
      </w:r>
      <w:r w:rsidRPr="008B57EC">
        <w:t xml:space="preserve">ection 306 authorizes </w:t>
      </w:r>
      <w:r>
        <w:t>the D</w:t>
      </w:r>
      <w:r w:rsidRPr="008B57EC">
        <w:t>epartment to maintain a child in temporary custody both when the child has been</w:t>
      </w:r>
      <w:r w:rsidRPr="008B57EC">
        <w:t xml:space="preserve"> taken from home by a social worker or police officer under exigent circumstances without a warrant </w:t>
      </w:r>
      <w:r>
        <w:t xml:space="preserve">under section </w:t>
      </w:r>
      <w:r w:rsidRPr="008B57EC">
        <w:t>306, subd</w:t>
      </w:r>
      <w:r>
        <w:t xml:space="preserve">ivisions </w:t>
      </w:r>
      <w:r w:rsidRPr="008B57EC">
        <w:t>(a)(1)</w:t>
      </w:r>
      <w:r>
        <w:t>, and (a)</w:t>
      </w:r>
      <w:r w:rsidRPr="008B57EC">
        <w:t>(2)</w:t>
      </w:r>
      <w:r>
        <w:t>,</w:t>
      </w:r>
      <w:r w:rsidRPr="008B57EC">
        <w:t xml:space="preserve"> </w:t>
      </w:r>
      <w:r>
        <w:t xml:space="preserve">and </w:t>
      </w:r>
      <w:r w:rsidRPr="008B57EC">
        <w:t>when the child has been taken from home by means of a protective custody warrant issued under sectio</w:t>
      </w:r>
      <w:r w:rsidRPr="008B57EC">
        <w:t>n 340</w:t>
      </w:r>
      <w:r>
        <w:t xml:space="preserve">, citing to section </w:t>
      </w:r>
      <w:r w:rsidRPr="008B57EC">
        <w:t>306, subd</w:t>
      </w:r>
      <w:r>
        <w:t>ivision</w:t>
      </w:r>
      <w:r w:rsidRPr="008B57EC">
        <w:t xml:space="preserve"> (a)(1))</w:t>
      </w:r>
      <w:r>
        <w:t>.</w:t>
      </w:r>
    </w:p>
    <w:p w14:paraId="1686CC21" w14:textId="77777777" w:rsidR="00932759" w:rsidRDefault="00DB5798" w:rsidP="0050647B">
      <w:pPr>
        <w:spacing w:line="480" w:lineRule="auto"/>
        <w:ind w:firstLine="720"/>
      </w:pPr>
      <w:r>
        <w:t xml:space="preserve">A similar argument was rejected in </w:t>
      </w:r>
      <w:proofErr w:type="spellStart"/>
      <w:r>
        <w:rPr>
          <w:i/>
          <w:iCs/>
        </w:rPr>
        <w:t>Ja.O</w:t>
      </w:r>
      <w:proofErr w:type="spellEnd"/>
      <w:r>
        <w:t>., another opinion authored by this court</w:t>
      </w:r>
      <w:r>
        <w:rPr>
          <w:i/>
          <w:iCs/>
        </w:rPr>
        <w:t xml:space="preserve">.  </w:t>
      </w:r>
      <w:r>
        <w:t xml:space="preserve">In </w:t>
      </w:r>
      <w:proofErr w:type="spellStart"/>
      <w:r>
        <w:rPr>
          <w:i/>
          <w:iCs/>
        </w:rPr>
        <w:t>Ja.O</w:t>
      </w:r>
      <w:proofErr w:type="spellEnd"/>
      <w:r>
        <w:rPr>
          <w:i/>
          <w:iCs/>
        </w:rPr>
        <w:t>.</w:t>
      </w:r>
      <w:r>
        <w:t>, the mother argued that since section 306, subdivision (a)(1), authorizes a social worker to take a child who has</w:t>
      </w:r>
      <w:r>
        <w:t xml:space="preserve"> been delivered by a peace officer into temporary custody, “it follows that whenever a peace officer takes a child into protective custody pursuant to a warrant and then delivers the child to a social worker, the child is thereby taken into temporary custo</w:t>
      </w:r>
      <w:r>
        <w:t>dy pursuant to section 306.”  (</w:t>
      </w:r>
      <w:proofErr w:type="spellStart"/>
      <w:r w:rsidRPr="00074D93">
        <w:rPr>
          <w:i/>
          <w:iCs/>
        </w:rPr>
        <w:t>Ja.O</w:t>
      </w:r>
      <w:proofErr w:type="spellEnd"/>
      <w:r w:rsidRPr="00074D93">
        <w:rPr>
          <w:i/>
          <w:iCs/>
        </w:rPr>
        <w:t>.</w:t>
      </w:r>
      <w:r w:rsidRPr="00821266">
        <w:t>,</w:t>
      </w:r>
      <w:r w:rsidRPr="00074D93">
        <w:rPr>
          <w:i/>
          <w:iCs/>
        </w:rPr>
        <w:t xml:space="preserve"> supra</w:t>
      </w:r>
      <w:r>
        <w:t>, 91 Cal.App.5th at p. 680.)  This court rejected that argument finding that, “[s]</w:t>
      </w:r>
      <w:proofErr w:type="spellStart"/>
      <w:r>
        <w:t>ubdivisions</w:t>
      </w:r>
      <w:proofErr w:type="spellEnd"/>
      <w:r>
        <w:t xml:space="preserve"> (a) and (b) of section 340 provide for the issuance of protective custody warrants.  Subdivision (c) of section 340 req</w:t>
      </w:r>
      <w:r>
        <w:t>uires that ‘[a]</w:t>
      </w:r>
      <w:proofErr w:type="spellStart"/>
      <w:r>
        <w:t>ny</w:t>
      </w:r>
      <w:proofErr w:type="spellEnd"/>
      <w:r>
        <w:t xml:space="preserve"> child taken into protective custody pursuant to this section shall immediately be delivered to the social worker,’ who must then </w:t>
      </w:r>
      <w:proofErr w:type="gramStart"/>
      <w:r>
        <w:t>conduct an investigation</w:t>
      </w:r>
      <w:proofErr w:type="gramEnd"/>
      <w:r>
        <w:t xml:space="preserve"> ‘pursuant to [s]</w:t>
      </w:r>
      <w:proofErr w:type="spellStart"/>
      <w:r>
        <w:t>ection</w:t>
      </w:r>
      <w:proofErr w:type="spellEnd"/>
      <w:r>
        <w:t xml:space="preserve"> 309.’  Thus, when a peace officer takes a child into protecti</w:t>
      </w:r>
      <w:r>
        <w:t xml:space="preserve">ve </w:t>
      </w:r>
      <w:r>
        <w:lastRenderedPageBreak/>
        <w:t>custody pursuant to a warrant and then complies with the statutory obligation to deliver the child to the social worker, the social worker is taking custody of the child pursuant to section 340, subdivision (c).  [</w:t>
      </w:r>
      <w:proofErr w:type="gramStart"/>
      <w:r>
        <w:t>¶]  But</w:t>
      </w:r>
      <w:proofErr w:type="gramEnd"/>
      <w:r>
        <w:t xml:space="preserve"> subdivision (a)(1) of section 3</w:t>
      </w:r>
      <w:r>
        <w:t>06 has no application when children are detained pursuant to a warrant under section 340, subdivision (b).  Section 306 expressly involves ‘temporary custody,’ which Article 7 defines, not ‘protective custody’ under section 340.  Subdivision (a)(1) of sect</w:t>
      </w:r>
      <w:r>
        <w:t>ion 306 thus applies to situations in which an officer detains a child pursuant to one of the sections in Article 7 and the officer then delivers the child to the social worker.  [</w:t>
      </w:r>
      <w:proofErr w:type="gramStart"/>
      <w:r>
        <w:t>¶]  Moreover</w:t>
      </w:r>
      <w:proofErr w:type="gramEnd"/>
      <w:r>
        <w:t xml:space="preserve">, if [the] Mother’s interpretation of sections 306 and 340 were </w:t>
      </w:r>
      <w:r>
        <w:t>correct, then most of subdivision (c) of section 340 would be surplusage.”  (</w:t>
      </w:r>
      <w:proofErr w:type="spellStart"/>
      <w:r w:rsidRPr="00D27901">
        <w:rPr>
          <w:i/>
          <w:iCs/>
        </w:rPr>
        <w:t>Ja.O</w:t>
      </w:r>
      <w:proofErr w:type="spellEnd"/>
      <w:r w:rsidRPr="00D27901">
        <w:rPr>
          <w:i/>
          <w:iCs/>
        </w:rPr>
        <w:t>.</w:t>
      </w:r>
      <w:r w:rsidRPr="00821266">
        <w:t>,</w:t>
      </w:r>
      <w:r w:rsidRPr="00D27901">
        <w:rPr>
          <w:i/>
          <w:iCs/>
        </w:rPr>
        <w:t xml:space="preserve"> supra</w:t>
      </w:r>
      <w:r>
        <w:t>, 91 Cal.App.5th at p. 680</w:t>
      </w:r>
      <w:r w:rsidRPr="009B2446">
        <w:t>.)  The majority is incorrect that all children are taken into temporary custody under section 306.</w:t>
      </w:r>
    </w:p>
    <w:p w14:paraId="4C51DA91" w14:textId="77777777" w:rsidR="00932759" w:rsidRDefault="00DB5798" w:rsidP="009E2E8D">
      <w:pPr>
        <w:spacing w:line="480" w:lineRule="auto"/>
      </w:pPr>
      <w:r>
        <w:tab/>
        <w:t xml:space="preserve">The majority also relies on the </w:t>
      </w:r>
      <w:r>
        <w:t>legislative history to insist that section 224.2, subdivision (b), is to be interpreted broadly and that n</w:t>
      </w:r>
      <w:r w:rsidRPr="008B57EC">
        <w:t xml:space="preserve">othing in the text of that </w:t>
      </w:r>
      <w:r>
        <w:t>law</w:t>
      </w:r>
      <w:r w:rsidRPr="008B57EC">
        <w:t xml:space="preserve"> or its legislative history suggests an intent to apply the expanded inquiry in some cases but </w:t>
      </w:r>
      <w:r w:rsidRPr="00F753E7">
        <w:t>not others.</w:t>
      </w:r>
      <w:r>
        <w:t xml:space="preserve">  However, the</w:t>
      </w:r>
      <w:r>
        <w:t xml:space="preserve">se arguments ignore that the Legislature specifically amended section 224.2, subdivision (b), before its adoption, to add the language limiting it to temporary custody pursuant to section 306.  </w:t>
      </w:r>
      <w:proofErr w:type="gramStart"/>
      <w:r>
        <w:t>“ ‘</w:t>
      </w:r>
      <w:proofErr w:type="gramEnd"/>
      <w:r>
        <w:t>In other words, the Legislature expressly rejected having t</w:t>
      </w:r>
      <w:r>
        <w:t xml:space="preserve">he inquiry prescribed in section 224.2, subdivision (b) apply in </w:t>
      </w:r>
      <w:r w:rsidRPr="009E2E8D">
        <w:rPr>
          <w:i/>
          <w:iCs/>
        </w:rPr>
        <w:t>all</w:t>
      </w:r>
      <w:r>
        <w:t xml:space="preserve"> cases when a child is placed into temporary custody and limited such inquiry to cases where a child is placed in temporary custody ‘pursuant to section 306.” ’ ”  (</w:t>
      </w:r>
      <w:r w:rsidRPr="005837F6">
        <w:rPr>
          <w:i/>
          <w:iCs/>
        </w:rPr>
        <w:t>Robert F.</w:t>
      </w:r>
      <w:r>
        <w:t xml:space="preserve">, </w:t>
      </w:r>
      <w:r w:rsidRPr="00821266">
        <w:rPr>
          <w:i/>
          <w:iCs/>
        </w:rPr>
        <w:t>supra</w:t>
      </w:r>
      <w:r>
        <w:t>, 90 Ca</w:t>
      </w:r>
      <w:r>
        <w:t xml:space="preserve">l.App.5th at p. 502.)  </w:t>
      </w:r>
    </w:p>
    <w:p w14:paraId="7B3AB893" w14:textId="77777777" w:rsidR="00932759" w:rsidRDefault="00DB5798" w:rsidP="00957B11">
      <w:pPr>
        <w:spacing w:line="480" w:lineRule="auto"/>
        <w:ind w:firstLine="720"/>
      </w:pPr>
      <w:r>
        <w:lastRenderedPageBreak/>
        <w:t>Further, this argument also ignores the language of section 224.2 that shows the Legislature has restricted the requirement of inquiry to extended family members.  This is evidenced by the inclusion of section 224.2, subdivision (e)</w:t>
      </w:r>
      <w:r>
        <w:t xml:space="preserve">, which provides for interviewing extended family members but only when there is “reason to believe” a child may be an Indian child.  Here, the majority interprets the statutory language counter to the plain language.  I find the plain language of section </w:t>
      </w:r>
      <w:r>
        <w:t xml:space="preserve">224.2, subdivision (b), and the legislative history renders it inapplicable to the detention of </w:t>
      </w:r>
      <w:r w:rsidRPr="003B3DD4">
        <w:t>Delila</w:t>
      </w:r>
      <w:r>
        <w:t xml:space="preserve"> under section 340.</w:t>
      </w:r>
    </w:p>
    <w:p w14:paraId="16C7DFAF" w14:textId="77777777" w:rsidR="00932759" w:rsidRDefault="00DB5798" w:rsidP="00074D93">
      <w:pPr>
        <w:spacing w:line="480" w:lineRule="auto"/>
      </w:pPr>
      <w:r>
        <w:tab/>
        <w:t xml:space="preserve">I see no reason to depart from the reasoning of our previous cases of </w:t>
      </w:r>
      <w:r>
        <w:rPr>
          <w:i/>
          <w:iCs/>
        </w:rPr>
        <w:t xml:space="preserve">Robert F. </w:t>
      </w:r>
      <w:r>
        <w:t xml:space="preserve">and </w:t>
      </w:r>
      <w:proofErr w:type="spellStart"/>
      <w:r>
        <w:rPr>
          <w:i/>
          <w:iCs/>
        </w:rPr>
        <w:t>Ja.O</w:t>
      </w:r>
      <w:proofErr w:type="spellEnd"/>
      <w:r>
        <w:rPr>
          <w:i/>
          <w:iCs/>
        </w:rPr>
        <w:t>.</w:t>
      </w:r>
      <w:r>
        <w:t xml:space="preserve">  I would uphold the judgment. </w:t>
      </w:r>
    </w:p>
    <w:p w14:paraId="0CDCEEDB" w14:textId="77777777" w:rsidR="00932759" w:rsidRPr="00C90AF1" w:rsidRDefault="00932759" w:rsidP="000556ED">
      <w:pPr>
        <w:spacing w:line="240" w:lineRule="auto"/>
      </w:pPr>
    </w:p>
    <w:p w14:paraId="12C3F677" w14:textId="77777777" w:rsidR="00932759" w:rsidRPr="00C90AF1" w:rsidRDefault="00DB5798" w:rsidP="000556ED">
      <w:pPr>
        <w:spacing w:line="240" w:lineRule="auto"/>
        <w:jc w:val="right"/>
      </w:pPr>
      <w:r w:rsidRPr="00C90AF1">
        <w:rPr>
          <w:u w:val="single"/>
        </w:rPr>
        <w:t>MILLER</w:t>
      </w:r>
      <w:r w:rsidRPr="00C90AF1">
        <w:rPr>
          <w:u w:val="single"/>
        </w:rPr>
        <w:tab/>
      </w:r>
      <w:r w:rsidRPr="00C90AF1">
        <w:rPr>
          <w:u w:val="single"/>
        </w:rPr>
        <w:tab/>
      </w:r>
      <w:r w:rsidRPr="00C90AF1">
        <w:rPr>
          <w:u w:val="single"/>
        </w:rPr>
        <w:tab/>
      </w:r>
      <w:r w:rsidRPr="00C90AF1">
        <w:rPr>
          <w:u w:val="single"/>
        </w:rPr>
        <w:tab/>
      </w:r>
    </w:p>
    <w:p w14:paraId="02D301D6" w14:textId="77777777" w:rsidR="00932759" w:rsidRPr="00444C2A" w:rsidRDefault="00DB5798" w:rsidP="000556ED">
      <w:pPr>
        <w:spacing w:line="240" w:lineRule="auto"/>
        <w:jc w:val="right"/>
      </w:pPr>
      <w:r>
        <w:t xml:space="preserve">Acting P. </w:t>
      </w:r>
      <w:r w:rsidRPr="00C90AF1">
        <w:t>J.</w:t>
      </w:r>
    </w:p>
    <w:p w14:paraId="73FA109B" w14:textId="77777777" w:rsidR="00932759" w:rsidRPr="009E2E8D" w:rsidRDefault="00932759" w:rsidP="000556ED">
      <w:pPr>
        <w:spacing w:line="240" w:lineRule="auto"/>
      </w:pPr>
    </w:p>
    <w:bookmarkEnd w:id="0"/>
    <w:sectPr w:rsidR="00932759" w:rsidRPr="009E2E8D" w:rsidSect="004C4947">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8F0D" w14:textId="77777777" w:rsidR="00000000" w:rsidRDefault="00DB5798">
      <w:pPr>
        <w:spacing w:line="240" w:lineRule="auto"/>
      </w:pPr>
      <w:r>
        <w:separator/>
      </w:r>
    </w:p>
  </w:endnote>
  <w:endnote w:type="continuationSeparator" w:id="0">
    <w:p w14:paraId="6D4D62A0" w14:textId="77777777" w:rsidR="00000000" w:rsidRDefault="00DB5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4B08" w14:textId="77777777" w:rsidR="004C4947" w:rsidRDefault="00DB5798" w:rsidP="003A2E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37A8B427" w14:textId="77777777" w:rsidR="004C4947" w:rsidRDefault="004C4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3398" w14:textId="483BC59C" w:rsidR="004C4947" w:rsidRDefault="00DB5798" w:rsidP="003A2E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14:paraId="68B2B0AA" w14:textId="2334451F" w:rsidR="000C43F9" w:rsidRDefault="000C43F9">
    <w:pPr>
      <w:pStyle w:val="Footer"/>
      <w:jc w:val="center"/>
    </w:pPr>
  </w:p>
  <w:p w14:paraId="73439D2F" w14:textId="77777777" w:rsidR="000C43F9" w:rsidRDefault="000C4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F4EE" w14:textId="77777777" w:rsidR="00E92D39" w:rsidRDefault="00E9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30B1" w14:textId="77777777" w:rsidR="00BE1E7A" w:rsidRDefault="00DB5798" w:rsidP="000C43F9">
      <w:pPr>
        <w:spacing w:line="240" w:lineRule="auto"/>
      </w:pPr>
      <w:r>
        <w:separator/>
      </w:r>
    </w:p>
  </w:footnote>
  <w:footnote w:type="continuationSeparator" w:id="0">
    <w:p w14:paraId="1392EC1D" w14:textId="77777777" w:rsidR="00BE1E7A" w:rsidRDefault="00DB5798" w:rsidP="000C43F9">
      <w:pPr>
        <w:spacing w:line="240" w:lineRule="auto"/>
      </w:pPr>
      <w:r>
        <w:continuationSeparator/>
      </w:r>
    </w:p>
  </w:footnote>
  <w:footnote w:id="1">
    <w:p w14:paraId="4E4CC3C8" w14:textId="77777777" w:rsidR="000C43F9" w:rsidRDefault="00DB5798" w:rsidP="000C43F9">
      <w:pPr>
        <w:pStyle w:val="FootnoteText"/>
        <w:ind w:firstLine="720"/>
      </w:pPr>
      <w:r>
        <w:rPr>
          <w:rStyle w:val="FootnoteReference"/>
        </w:rPr>
        <w:footnoteRef/>
      </w:r>
      <w:r>
        <w:t xml:space="preserve"> Unlabeled statutory citations refer to the Welfare and Institutions Code.</w:t>
      </w:r>
    </w:p>
  </w:footnote>
  <w:footnote w:id="2">
    <w:p w14:paraId="454DDFF1" w14:textId="77777777" w:rsidR="005253E0" w:rsidRDefault="00DB5798" w:rsidP="005253E0">
      <w:pPr>
        <w:pStyle w:val="FootnoteText"/>
        <w:ind w:firstLine="720"/>
      </w:pPr>
      <w:r>
        <w:rPr>
          <w:rStyle w:val="FootnoteReference"/>
        </w:rPr>
        <w:footnoteRef/>
      </w:r>
      <w:r>
        <w:t xml:space="preserve"> Unlabeled citations to rules refer to the California Rules of Court.</w:t>
      </w:r>
    </w:p>
  </w:footnote>
  <w:footnote w:id="3">
    <w:p w14:paraId="5B5C0E68" w14:textId="77777777" w:rsidR="00932759" w:rsidRPr="0067641B" w:rsidRDefault="00DB5798">
      <w:pPr>
        <w:pStyle w:val="FootnoteText"/>
        <w:rPr>
          <w:szCs w:val="26"/>
        </w:rPr>
      </w:pPr>
      <w:r w:rsidRPr="0067641B">
        <w:rPr>
          <w:szCs w:val="26"/>
        </w:rPr>
        <w:tab/>
      </w:r>
      <w:r w:rsidRPr="0067641B">
        <w:rPr>
          <w:rStyle w:val="FootnoteReference"/>
          <w:b w:val="0"/>
          <w:bCs/>
        </w:rPr>
        <w:footnoteRef/>
      </w:r>
      <w:r w:rsidRPr="0067641B">
        <w:rPr>
          <w:szCs w:val="26"/>
        </w:rPr>
        <w:t xml:space="preserve"> All further statutory references are to </w:t>
      </w:r>
      <w:r>
        <w:rPr>
          <w:szCs w:val="26"/>
        </w:rPr>
        <w:t xml:space="preserve">the </w:t>
      </w:r>
      <w:r w:rsidRPr="003A22C3">
        <w:rPr>
          <w:szCs w:val="26"/>
        </w:rPr>
        <w:t>Welfare and Institutions Code</w:t>
      </w:r>
      <w:r w:rsidRPr="0067641B">
        <w:rPr>
          <w:szCs w:val="26"/>
        </w:rPr>
        <w:t xml:space="preserve"> unless otherwi</w:t>
      </w:r>
      <w:r w:rsidRPr="0067641B">
        <w:rPr>
          <w:szCs w:val="26"/>
        </w:rPr>
        <w:t>se indicated.</w:t>
      </w:r>
    </w:p>
  </w:footnote>
  <w:footnote w:id="4">
    <w:p w14:paraId="75A1A589" w14:textId="77777777" w:rsidR="00932759" w:rsidRDefault="00DB5798">
      <w:pPr>
        <w:pStyle w:val="FootnoteText"/>
      </w:pPr>
      <w:r>
        <w:tab/>
      </w:r>
      <w:r w:rsidRPr="00470AB8">
        <w:rPr>
          <w:rStyle w:val="FootnoteReference"/>
          <w:b w:val="0"/>
          <w:bCs/>
        </w:rPr>
        <w:footnoteRef/>
      </w:r>
      <w:r>
        <w:t xml:space="preserve">  </w:t>
      </w:r>
      <w:r w:rsidRPr="00470AB8">
        <w:rPr>
          <w:szCs w:val="26"/>
        </w:rPr>
        <w:t xml:space="preserve">Judge Michael Kelley was sitting on assignment at the Second District Court of Appeal when wrote his concurring opinion in </w:t>
      </w:r>
      <w:r w:rsidRPr="00821266">
        <w:rPr>
          <w:i/>
          <w:iCs/>
          <w:szCs w:val="26"/>
        </w:rPr>
        <w:t>In re Adrian L</w:t>
      </w:r>
      <w:r w:rsidRPr="00470AB8">
        <w:rPr>
          <w:szCs w:val="26"/>
        </w:rPr>
        <w:t xml:space="preserve">.  Therefore, respectfully, </w:t>
      </w:r>
      <w:r>
        <w:rPr>
          <w:szCs w:val="26"/>
        </w:rPr>
        <w:t>I</w:t>
      </w:r>
      <w:r w:rsidRPr="00470AB8">
        <w:rPr>
          <w:szCs w:val="26"/>
        </w:rPr>
        <w:t xml:space="preserve"> use the title that is correct for his position at the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3DF1" w14:textId="77777777" w:rsidR="00E92D39" w:rsidRDefault="00E92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941" w14:textId="77777777" w:rsidR="00E92D39" w:rsidRDefault="00E92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9BC8" w14:textId="77777777" w:rsidR="00E92D39" w:rsidRDefault="00E9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A5ED6"/>
    <w:multiLevelType w:val="hybridMultilevel"/>
    <w:tmpl w:val="E63AEB32"/>
    <w:lvl w:ilvl="0" w:tplc="F3500598">
      <w:start w:val="1"/>
      <w:numFmt w:val="decimal"/>
      <w:lvlText w:val="%1."/>
      <w:lvlJc w:val="left"/>
      <w:pPr>
        <w:ind w:left="2160" w:hanging="720"/>
      </w:pPr>
      <w:rPr>
        <w:rFonts w:hint="default"/>
        <w:i w:val="0"/>
        <w:iCs w:val="0"/>
      </w:rPr>
    </w:lvl>
    <w:lvl w:ilvl="1" w:tplc="DAFC7794" w:tentative="1">
      <w:start w:val="1"/>
      <w:numFmt w:val="lowerLetter"/>
      <w:lvlText w:val="%2."/>
      <w:lvlJc w:val="left"/>
      <w:pPr>
        <w:ind w:left="2520" w:hanging="360"/>
      </w:pPr>
    </w:lvl>
    <w:lvl w:ilvl="2" w:tplc="F0AA55F4" w:tentative="1">
      <w:start w:val="1"/>
      <w:numFmt w:val="lowerRoman"/>
      <w:lvlText w:val="%3."/>
      <w:lvlJc w:val="right"/>
      <w:pPr>
        <w:ind w:left="3240" w:hanging="180"/>
      </w:pPr>
    </w:lvl>
    <w:lvl w:ilvl="3" w:tplc="F7286702" w:tentative="1">
      <w:start w:val="1"/>
      <w:numFmt w:val="decimal"/>
      <w:lvlText w:val="%4."/>
      <w:lvlJc w:val="left"/>
      <w:pPr>
        <w:ind w:left="3960" w:hanging="360"/>
      </w:pPr>
    </w:lvl>
    <w:lvl w:ilvl="4" w:tplc="48BCD5F4" w:tentative="1">
      <w:start w:val="1"/>
      <w:numFmt w:val="lowerLetter"/>
      <w:lvlText w:val="%5."/>
      <w:lvlJc w:val="left"/>
      <w:pPr>
        <w:ind w:left="4680" w:hanging="360"/>
      </w:pPr>
    </w:lvl>
    <w:lvl w:ilvl="5" w:tplc="AC945E5C" w:tentative="1">
      <w:start w:val="1"/>
      <w:numFmt w:val="lowerRoman"/>
      <w:lvlText w:val="%6."/>
      <w:lvlJc w:val="right"/>
      <w:pPr>
        <w:ind w:left="5400" w:hanging="180"/>
      </w:pPr>
    </w:lvl>
    <w:lvl w:ilvl="6" w:tplc="6C0A4CBE" w:tentative="1">
      <w:start w:val="1"/>
      <w:numFmt w:val="decimal"/>
      <w:lvlText w:val="%7."/>
      <w:lvlJc w:val="left"/>
      <w:pPr>
        <w:ind w:left="6120" w:hanging="360"/>
      </w:pPr>
    </w:lvl>
    <w:lvl w:ilvl="7" w:tplc="A008DC1C" w:tentative="1">
      <w:start w:val="1"/>
      <w:numFmt w:val="lowerLetter"/>
      <w:lvlText w:val="%8."/>
      <w:lvlJc w:val="left"/>
      <w:pPr>
        <w:ind w:left="6840" w:hanging="360"/>
      </w:pPr>
    </w:lvl>
    <w:lvl w:ilvl="8" w:tplc="DA9E8316" w:tentative="1">
      <w:start w:val="1"/>
      <w:numFmt w:val="lowerRoman"/>
      <w:lvlText w:val="%9."/>
      <w:lvlJc w:val="right"/>
      <w:pPr>
        <w:ind w:left="7560" w:hanging="180"/>
      </w:pPr>
    </w:lvl>
  </w:abstractNum>
  <w:abstractNum w:abstractNumId="1" w15:restartNumberingAfterBreak="0">
    <w:nsid w:val="3ED1162E"/>
    <w:multiLevelType w:val="hybridMultilevel"/>
    <w:tmpl w:val="B726B184"/>
    <w:lvl w:ilvl="0" w:tplc="BAF62460">
      <w:start w:val="1"/>
      <w:numFmt w:val="decimal"/>
      <w:lvlText w:val="%1."/>
      <w:lvlJc w:val="left"/>
      <w:pPr>
        <w:ind w:left="2160" w:hanging="720"/>
      </w:pPr>
      <w:rPr>
        <w:rFonts w:hint="default"/>
        <w:i w:val="0"/>
        <w:iCs w:val="0"/>
      </w:rPr>
    </w:lvl>
    <w:lvl w:ilvl="1" w:tplc="D1067188" w:tentative="1">
      <w:start w:val="1"/>
      <w:numFmt w:val="lowerLetter"/>
      <w:lvlText w:val="%2."/>
      <w:lvlJc w:val="left"/>
      <w:pPr>
        <w:ind w:left="2520" w:hanging="360"/>
      </w:pPr>
    </w:lvl>
    <w:lvl w:ilvl="2" w:tplc="06589C28" w:tentative="1">
      <w:start w:val="1"/>
      <w:numFmt w:val="lowerRoman"/>
      <w:lvlText w:val="%3."/>
      <w:lvlJc w:val="right"/>
      <w:pPr>
        <w:ind w:left="3240" w:hanging="180"/>
      </w:pPr>
    </w:lvl>
    <w:lvl w:ilvl="3" w:tplc="43B627E6" w:tentative="1">
      <w:start w:val="1"/>
      <w:numFmt w:val="decimal"/>
      <w:lvlText w:val="%4."/>
      <w:lvlJc w:val="left"/>
      <w:pPr>
        <w:ind w:left="3960" w:hanging="360"/>
      </w:pPr>
    </w:lvl>
    <w:lvl w:ilvl="4" w:tplc="237804D2" w:tentative="1">
      <w:start w:val="1"/>
      <w:numFmt w:val="lowerLetter"/>
      <w:lvlText w:val="%5."/>
      <w:lvlJc w:val="left"/>
      <w:pPr>
        <w:ind w:left="4680" w:hanging="360"/>
      </w:pPr>
    </w:lvl>
    <w:lvl w:ilvl="5" w:tplc="6D1C2F36" w:tentative="1">
      <w:start w:val="1"/>
      <w:numFmt w:val="lowerRoman"/>
      <w:lvlText w:val="%6."/>
      <w:lvlJc w:val="right"/>
      <w:pPr>
        <w:ind w:left="5400" w:hanging="180"/>
      </w:pPr>
    </w:lvl>
    <w:lvl w:ilvl="6" w:tplc="B022900E" w:tentative="1">
      <w:start w:val="1"/>
      <w:numFmt w:val="decimal"/>
      <w:lvlText w:val="%7."/>
      <w:lvlJc w:val="left"/>
      <w:pPr>
        <w:ind w:left="6120" w:hanging="360"/>
      </w:pPr>
    </w:lvl>
    <w:lvl w:ilvl="7" w:tplc="01C06BFE" w:tentative="1">
      <w:start w:val="1"/>
      <w:numFmt w:val="lowerLetter"/>
      <w:lvlText w:val="%8."/>
      <w:lvlJc w:val="left"/>
      <w:pPr>
        <w:ind w:left="6840" w:hanging="360"/>
      </w:pPr>
    </w:lvl>
    <w:lvl w:ilvl="8" w:tplc="7408C8D4" w:tentative="1">
      <w:start w:val="1"/>
      <w:numFmt w:val="lowerRoman"/>
      <w:lvlText w:val="%9."/>
      <w:lvlJc w:val="right"/>
      <w:pPr>
        <w:ind w:left="7560" w:hanging="180"/>
      </w:pPr>
    </w:lvl>
  </w:abstractNum>
  <w:abstractNum w:abstractNumId="2" w15:restartNumberingAfterBreak="0">
    <w:nsid w:val="4EFE3D35"/>
    <w:multiLevelType w:val="hybridMultilevel"/>
    <w:tmpl w:val="C4187CB4"/>
    <w:lvl w:ilvl="0" w:tplc="806876E4">
      <w:start w:val="1"/>
      <w:numFmt w:val="decimal"/>
      <w:lvlText w:val="%1."/>
      <w:lvlJc w:val="left"/>
      <w:pPr>
        <w:ind w:left="1080" w:hanging="360"/>
      </w:pPr>
      <w:rPr>
        <w:rFonts w:hint="default"/>
      </w:rPr>
    </w:lvl>
    <w:lvl w:ilvl="1" w:tplc="66F069FA" w:tentative="1">
      <w:start w:val="1"/>
      <w:numFmt w:val="lowerLetter"/>
      <w:lvlText w:val="%2."/>
      <w:lvlJc w:val="left"/>
      <w:pPr>
        <w:ind w:left="1800" w:hanging="360"/>
      </w:pPr>
    </w:lvl>
    <w:lvl w:ilvl="2" w:tplc="145202E2" w:tentative="1">
      <w:start w:val="1"/>
      <w:numFmt w:val="lowerRoman"/>
      <w:lvlText w:val="%3."/>
      <w:lvlJc w:val="right"/>
      <w:pPr>
        <w:ind w:left="2520" w:hanging="180"/>
      </w:pPr>
    </w:lvl>
    <w:lvl w:ilvl="3" w:tplc="0E621FAC" w:tentative="1">
      <w:start w:val="1"/>
      <w:numFmt w:val="decimal"/>
      <w:lvlText w:val="%4."/>
      <w:lvlJc w:val="left"/>
      <w:pPr>
        <w:ind w:left="3240" w:hanging="360"/>
      </w:pPr>
    </w:lvl>
    <w:lvl w:ilvl="4" w:tplc="5C84CBD2" w:tentative="1">
      <w:start w:val="1"/>
      <w:numFmt w:val="lowerLetter"/>
      <w:lvlText w:val="%5."/>
      <w:lvlJc w:val="left"/>
      <w:pPr>
        <w:ind w:left="3960" w:hanging="360"/>
      </w:pPr>
    </w:lvl>
    <w:lvl w:ilvl="5" w:tplc="F2E6E97A" w:tentative="1">
      <w:start w:val="1"/>
      <w:numFmt w:val="lowerRoman"/>
      <w:lvlText w:val="%6."/>
      <w:lvlJc w:val="right"/>
      <w:pPr>
        <w:ind w:left="4680" w:hanging="180"/>
      </w:pPr>
    </w:lvl>
    <w:lvl w:ilvl="6" w:tplc="7D9C2E92" w:tentative="1">
      <w:start w:val="1"/>
      <w:numFmt w:val="decimal"/>
      <w:lvlText w:val="%7."/>
      <w:lvlJc w:val="left"/>
      <w:pPr>
        <w:ind w:left="5400" w:hanging="360"/>
      </w:pPr>
    </w:lvl>
    <w:lvl w:ilvl="7" w:tplc="26EEF224" w:tentative="1">
      <w:start w:val="1"/>
      <w:numFmt w:val="lowerLetter"/>
      <w:lvlText w:val="%8."/>
      <w:lvlJc w:val="left"/>
      <w:pPr>
        <w:ind w:left="6120" w:hanging="360"/>
      </w:pPr>
    </w:lvl>
    <w:lvl w:ilvl="8" w:tplc="135E4AA2" w:tentative="1">
      <w:start w:val="1"/>
      <w:numFmt w:val="lowerRoman"/>
      <w:lvlText w:val="%9."/>
      <w:lvlJc w:val="right"/>
      <w:pPr>
        <w:ind w:left="6840" w:hanging="180"/>
      </w:pPr>
    </w:lvl>
  </w:abstractNum>
  <w:abstractNum w:abstractNumId="3" w15:restartNumberingAfterBreak="0">
    <w:nsid w:val="51737DAC"/>
    <w:multiLevelType w:val="hybridMultilevel"/>
    <w:tmpl w:val="F6D27EA8"/>
    <w:lvl w:ilvl="0" w:tplc="EC9EF70E">
      <w:start w:val="1"/>
      <w:numFmt w:val="decimal"/>
      <w:lvlText w:val="%1."/>
      <w:lvlJc w:val="left"/>
      <w:pPr>
        <w:ind w:left="1800" w:hanging="360"/>
      </w:pPr>
      <w:rPr>
        <w:rFonts w:hint="default"/>
        <w:i w:val="0"/>
        <w:iCs w:val="0"/>
      </w:rPr>
    </w:lvl>
    <w:lvl w:ilvl="1" w:tplc="9300EE1A" w:tentative="1">
      <w:start w:val="1"/>
      <w:numFmt w:val="lowerLetter"/>
      <w:lvlText w:val="%2."/>
      <w:lvlJc w:val="left"/>
      <w:pPr>
        <w:ind w:left="2520" w:hanging="360"/>
      </w:pPr>
    </w:lvl>
    <w:lvl w:ilvl="2" w:tplc="FDC8A280" w:tentative="1">
      <w:start w:val="1"/>
      <w:numFmt w:val="lowerRoman"/>
      <w:lvlText w:val="%3."/>
      <w:lvlJc w:val="right"/>
      <w:pPr>
        <w:ind w:left="3240" w:hanging="180"/>
      </w:pPr>
    </w:lvl>
    <w:lvl w:ilvl="3" w:tplc="85C41160" w:tentative="1">
      <w:start w:val="1"/>
      <w:numFmt w:val="decimal"/>
      <w:lvlText w:val="%4."/>
      <w:lvlJc w:val="left"/>
      <w:pPr>
        <w:ind w:left="3960" w:hanging="360"/>
      </w:pPr>
    </w:lvl>
    <w:lvl w:ilvl="4" w:tplc="F05CBF24" w:tentative="1">
      <w:start w:val="1"/>
      <w:numFmt w:val="lowerLetter"/>
      <w:lvlText w:val="%5."/>
      <w:lvlJc w:val="left"/>
      <w:pPr>
        <w:ind w:left="4680" w:hanging="360"/>
      </w:pPr>
    </w:lvl>
    <w:lvl w:ilvl="5" w:tplc="797E6C26" w:tentative="1">
      <w:start w:val="1"/>
      <w:numFmt w:val="lowerRoman"/>
      <w:lvlText w:val="%6."/>
      <w:lvlJc w:val="right"/>
      <w:pPr>
        <w:ind w:left="5400" w:hanging="180"/>
      </w:pPr>
    </w:lvl>
    <w:lvl w:ilvl="6" w:tplc="65D87E76" w:tentative="1">
      <w:start w:val="1"/>
      <w:numFmt w:val="decimal"/>
      <w:lvlText w:val="%7."/>
      <w:lvlJc w:val="left"/>
      <w:pPr>
        <w:ind w:left="6120" w:hanging="360"/>
      </w:pPr>
    </w:lvl>
    <w:lvl w:ilvl="7" w:tplc="05B0A082" w:tentative="1">
      <w:start w:val="1"/>
      <w:numFmt w:val="lowerLetter"/>
      <w:lvlText w:val="%8."/>
      <w:lvlJc w:val="left"/>
      <w:pPr>
        <w:ind w:left="6840" w:hanging="360"/>
      </w:pPr>
    </w:lvl>
    <w:lvl w:ilvl="8" w:tplc="22D4A084" w:tentative="1">
      <w:start w:val="1"/>
      <w:numFmt w:val="lowerRoman"/>
      <w:lvlText w:val="%9."/>
      <w:lvlJc w:val="right"/>
      <w:pPr>
        <w:ind w:left="7560" w:hanging="180"/>
      </w:pPr>
    </w:lvl>
  </w:abstractNum>
  <w:abstractNum w:abstractNumId="4" w15:restartNumberingAfterBreak="0">
    <w:nsid w:val="6E0C1858"/>
    <w:multiLevelType w:val="hybridMultilevel"/>
    <w:tmpl w:val="12ACBA10"/>
    <w:lvl w:ilvl="0" w:tplc="C2A85618">
      <w:start w:val="1"/>
      <w:numFmt w:val="upperLetter"/>
      <w:lvlText w:val="%1."/>
      <w:lvlJc w:val="left"/>
      <w:pPr>
        <w:ind w:left="1440" w:hanging="720"/>
      </w:pPr>
      <w:rPr>
        <w:rFonts w:hint="default"/>
        <w:i w:val="0"/>
        <w:iCs w:val="0"/>
      </w:rPr>
    </w:lvl>
    <w:lvl w:ilvl="1" w:tplc="6F1E59C8" w:tentative="1">
      <w:start w:val="1"/>
      <w:numFmt w:val="lowerLetter"/>
      <w:lvlText w:val="%2."/>
      <w:lvlJc w:val="left"/>
      <w:pPr>
        <w:ind w:left="1800" w:hanging="360"/>
      </w:pPr>
    </w:lvl>
    <w:lvl w:ilvl="2" w:tplc="DDE43918" w:tentative="1">
      <w:start w:val="1"/>
      <w:numFmt w:val="lowerRoman"/>
      <w:lvlText w:val="%3."/>
      <w:lvlJc w:val="right"/>
      <w:pPr>
        <w:ind w:left="2520" w:hanging="180"/>
      </w:pPr>
    </w:lvl>
    <w:lvl w:ilvl="3" w:tplc="E0967CEC" w:tentative="1">
      <w:start w:val="1"/>
      <w:numFmt w:val="decimal"/>
      <w:lvlText w:val="%4."/>
      <w:lvlJc w:val="left"/>
      <w:pPr>
        <w:ind w:left="3240" w:hanging="360"/>
      </w:pPr>
    </w:lvl>
    <w:lvl w:ilvl="4" w:tplc="E94A4CD8" w:tentative="1">
      <w:start w:val="1"/>
      <w:numFmt w:val="lowerLetter"/>
      <w:lvlText w:val="%5."/>
      <w:lvlJc w:val="left"/>
      <w:pPr>
        <w:ind w:left="3960" w:hanging="360"/>
      </w:pPr>
    </w:lvl>
    <w:lvl w:ilvl="5" w:tplc="6AF22A06" w:tentative="1">
      <w:start w:val="1"/>
      <w:numFmt w:val="lowerRoman"/>
      <w:lvlText w:val="%6."/>
      <w:lvlJc w:val="right"/>
      <w:pPr>
        <w:ind w:left="4680" w:hanging="180"/>
      </w:pPr>
    </w:lvl>
    <w:lvl w:ilvl="6" w:tplc="801AC8DA" w:tentative="1">
      <w:start w:val="1"/>
      <w:numFmt w:val="decimal"/>
      <w:lvlText w:val="%7."/>
      <w:lvlJc w:val="left"/>
      <w:pPr>
        <w:ind w:left="5400" w:hanging="360"/>
      </w:pPr>
    </w:lvl>
    <w:lvl w:ilvl="7" w:tplc="D6C4D594" w:tentative="1">
      <w:start w:val="1"/>
      <w:numFmt w:val="lowerLetter"/>
      <w:lvlText w:val="%8."/>
      <w:lvlJc w:val="left"/>
      <w:pPr>
        <w:ind w:left="6120" w:hanging="360"/>
      </w:pPr>
    </w:lvl>
    <w:lvl w:ilvl="8" w:tplc="484259EC" w:tentative="1">
      <w:start w:val="1"/>
      <w:numFmt w:val="lowerRoman"/>
      <w:lvlText w:val="%9."/>
      <w:lvlJc w:val="right"/>
      <w:pPr>
        <w:ind w:left="6840" w:hanging="180"/>
      </w:pPr>
    </w:lvl>
  </w:abstractNum>
  <w:abstractNum w:abstractNumId="5" w15:restartNumberingAfterBreak="0">
    <w:nsid w:val="7227032B"/>
    <w:multiLevelType w:val="hybridMultilevel"/>
    <w:tmpl w:val="2EF27446"/>
    <w:lvl w:ilvl="0" w:tplc="DE1A4C8C">
      <w:start w:val="5"/>
      <w:numFmt w:val="upperLetter"/>
      <w:lvlText w:val="%1."/>
      <w:lvlJc w:val="left"/>
      <w:pPr>
        <w:ind w:left="1080" w:hanging="360"/>
      </w:pPr>
      <w:rPr>
        <w:rFonts w:hint="default"/>
        <w:i w:val="0"/>
        <w:iCs w:val="0"/>
      </w:rPr>
    </w:lvl>
    <w:lvl w:ilvl="1" w:tplc="E50ED95C" w:tentative="1">
      <w:start w:val="1"/>
      <w:numFmt w:val="lowerLetter"/>
      <w:lvlText w:val="%2."/>
      <w:lvlJc w:val="left"/>
      <w:pPr>
        <w:ind w:left="1800" w:hanging="360"/>
      </w:pPr>
    </w:lvl>
    <w:lvl w:ilvl="2" w:tplc="2BC6955E" w:tentative="1">
      <w:start w:val="1"/>
      <w:numFmt w:val="lowerRoman"/>
      <w:lvlText w:val="%3."/>
      <w:lvlJc w:val="right"/>
      <w:pPr>
        <w:ind w:left="2520" w:hanging="180"/>
      </w:pPr>
    </w:lvl>
    <w:lvl w:ilvl="3" w:tplc="CC5EC4DC" w:tentative="1">
      <w:start w:val="1"/>
      <w:numFmt w:val="decimal"/>
      <w:lvlText w:val="%4."/>
      <w:lvlJc w:val="left"/>
      <w:pPr>
        <w:ind w:left="3240" w:hanging="360"/>
      </w:pPr>
    </w:lvl>
    <w:lvl w:ilvl="4" w:tplc="E17CD878" w:tentative="1">
      <w:start w:val="1"/>
      <w:numFmt w:val="lowerLetter"/>
      <w:lvlText w:val="%5."/>
      <w:lvlJc w:val="left"/>
      <w:pPr>
        <w:ind w:left="3960" w:hanging="360"/>
      </w:pPr>
    </w:lvl>
    <w:lvl w:ilvl="5" w:tplc="FB92D140" w:tentative="1">
      <w:start w:val="1"/>
      <w:numFmt w:val="lowerRoman"/>
      <w:lvlText w:val="%6."/>
      <w:lvlJc w:val="right"/>
      <w:pPr>
        <w:ind w:left="4680" w:hanging="180"/>
      </w:pPr>
    </w:lvl>
    <w:lvl w:ilvl="6" w:tplc="317A8D74" w:tentative="1">
      <w:start w:val="1"/>
      <w:numFmt w:val="decimal"/>
      <w:lvlText w:val="%7."/>
      <w:lvlJc w:val="left"/>
      <w:pPr>
        <w:ind w:left="5400" w:hanging="360"/>
      </w:pPr>
    </w:lvl>
    <w:lvl w:ilvl="7" w:tplc="032C0B9E" w:tentative="1">
      <w:start w:val="1"/>
      <w:numFmt w:val="lowerLetter"/>
      <w:lvlText w:val="%8."/>
      <w:lvlJc w:val="left"/>
      <w:pPr>
        <w:ind w:left="6120" w:hanging="360"/>
      </w:pPr>
    </w:lvl>
    <w:lvl w:ilvl="8" w:tplc="EEC48646" w:tentative="1">
      <w:start w:val="1"/>
      <w:numFmt w:val="lowerRoman"/>
      <w:lvlText w:val="%9."/>
      <w:lvlJc w:val="right"/>
      <w:pPr>
        <w:ind w:left="6840" w:hanging="180"/>
      </w:pPr>
    </w:lvl>
  </w:abstractNum>
  <w:abstractNum w:abstractNumId="6" w15:restartNumberingAfterBreak="0">
    <w:nsid w:val="77DC0D8B"/>
    <w:multiLevelType w:val="hybridMultilevel"/>
    <w:tmpl w:val="39CEE942"/>
    <w:lvl w:ilvl="0" w:tplc="67AA66D4">
      <w:start w:val="1"/>
      <w:numFmt w:val="decimal"/>
      <w:lvlText w:val="%1."/>
      <w:lvlJc w:val="left"/>
      <w:pPr>
        <w:ind w:left="1800" w:hanging="360"/>
      </w:pPr>
      <w:rPr>
        <w:rFonts w:hint="default"/>
      </w:rPr>
    </w:lvl>
    <w:lvl w:ilvl="1" w:tplc="544C41A0" w:tentative="1">
      <w:start w:val="1"/>
      <w:numFmt w:val="lowerLetter"/>
      <w:lvlText w:val="%2."/>
      <w:lvlJc w:val="left"/>
      <w:pPr>
        <w:ind w:left="2520" w:hanging="360"/>
      </w:pPr>
    </w:lvl>
    <w:lvl w:ilvl="2" w:tplc="0AC0D3CE" w:tentative="1">
      <w:start w:val="1"/>
      <w:numFmt w:val="lowerRoman"/>
      <w:lvlText w:val="%3."/>
      <w:lvlJc w:val="right"/>
      <w:pPr>
        <w:ind w:left="3240" w:hanging="180"/>
      </w:pPr>
    </w:lvl>
    <w:lvl w:ilvl="3" w:tplc="16ECB5B0" w:tentative="1">
      <w:start w:val="1"/>
      <w:numFmt w:val="decimal"/>
      <w:lvlText w:val="%4."/>
      <w:lvlJc w:val="left"/>
      <w:pPr>
        <w:ind w:left="3960" w:hanging="360"/>
      </w:pPr>
    </w:lvl>
    <w:lvl w:ilvl="4" w:tplc="D2EA0C84" w:tentative="1">
      <w:start w:val="1"/>
      <w:numFmt w:val="lowerLetter"/>
      <w:lvlText w:val="%5."/>
      <w:lvlJc w:val="left"/>
      <w:pPr>
        <w:ind w:left="4680" w:hanging="360"/>
      </w:pPr>
    </w:lvl>
    <w:lvl w:ilvl="5" w:tplc="A350CB6C" w:tentative="1">
      <w:start w:val="1"/>
      <w:numFmt w:val="lowerRoman"/>
      <w:lvlText w:val="%6."/>
      <w:lvlJc w:val="right"/>
      <w:pPr>
        <w:ind w:left="5400" w:hanging="180"/>
      </w:pPr>
    </w:lvl>
    <w:lvl w:ilvl="6" w:tplc="72580EC6" w:tentative="1">
      <w:start w:val="1"/>
      <w:numFmt w:val="decimal"/>
      <w:lvlText w:val="%7."/>
      <w:lvlJc w:val="left"/>
      <w:pPr>
        <w:ind w:left="6120" w:hanging="360"/>
      </w:pPr>
    </w:lvl>
    <w:lvl w:ilvl="7" w:tplc="02B4F5B6" w:tentative="1">
      <w:start w:val="1"/>
      <w:numFmt w:val="lowerLetter"/>
      <w:lvlText w:val="%8."/>
      <w:lvlJc w:val="left"/>
      <w:pPr>
        <w:ind w:left="6840" w:hanging="360"/>
      </w:pPr>
    </w:lvl>
    <w:lvl w:ilvl="8" w:tplc="E6F4AD28" w:tentative="1">
      <w:start w:val="1"/>
      <w:numFmt w:val="lowerRoman"/>
      <w:lvlText w:val="%9."/>
      <w:lvlJc w:val="right"/>
      <w:pPr>
        <w:ind w:left="7560" w:hanging="180"/>
      </w:pPr>
    </w:lvl>
  </w:abstractNum>
  <w:num w:numId="1" w16cid:durableId="2117099062">
    <w:abstractNumId w:val="4"/>
  </w:num>
  <w:num w:numId="2" w16cid:durableId="565454601">
    <w:abstractNumId w:val="6"/>
  </w:num>
  <w:num w:numId="3" w16cid:durableId="652292221">
    <w:abstractNumId w:val="0"/>
  </w:num>
  <w:num w:numId="4" w16cid:durableId="545332714">
    <w:abstractNumId w:val="2"/>
  </w:num>
  <w:num w:numId="5" w16cid:durableId="506597200">
    <w:abstractNumId w:val="1"/>
  </w:num>
  <w:num w:numId="6" w16cid:durableId="958336302">
    <w:abstractNumId w:val="5"/>
  </w:num>
  <w:num w:numId="7" w16cid:durableId="251624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F9"/>
    <w:rsid w:val="00002E20"/>
    <w:rsid w:val="00003C61"/>
    <w:rsid w:val="00003D2B"/>
    <w:rsid w:val="00003EA2"/>
    <w:rsid w:val="000043D2"/>
    <w:rsid w:val="00006328"/>
    <w:rsid w:val="000113FC"/>
    <w:rsid w:val="00012BC2"/>
    <w:rsid w:val="0001388C"/>
    <w:rsid w:val="00021D91"/>
    <w:rsid w:val="00022ADF"/>
    <w:rsid w:val="00023148"/>
    <w:rsid w:val="00025052"/>
    <w:rsid w:val="00030899"/>
    <w:rsid w:val="00034088"/>
    <w:rsid w:val="000346D8"/>
    <w:rsid w:val="00036849"/>
    <w:rsid w:val="00040DCC"/>
    <w:rsid w:val="00041D40"/>
    <w:rsid w:val="000421B8"/>
    <w:rsid w:val="00044439"/>
    <w:rsid w:val="00052976"/>
    <w:rsid w:val="00053426"/>
    <w:rsid w:val="000535C2"/>
    <w:rsid w:val="000540FD"/>
    <w:rsid w:val="00054FE8"/>
    <w:rsid w:val="000556ED"/>
    <w:rsid w:val="000563AC"/>
    <w:rsid w:val="000607D1"/>
    <w:rsid w:val="0006224B"/>
    <w:rsid w:val="00064776"/>
    <w:rsid w:val="00064A33"/>
    <w:rsid w:val="00065576"/>
    <w:rsid w:val="00073DDF"/>
    <w:rsid w:val="00074834"/>
    <w:rsid w:val="00074A9E"/>
    <w:rsid w:val="00074D93"/>
    <w:rsid w:val="000756AE"/>
    <w:rsid w:val="00075E1C"/>
    <w:rsid w:val="0008012A"/>
    <w:rsid w:val="0008084E"/>
    <w:rsid w:val="00081149"/>
    <w:rsid w:val="00082CBD"/>
    <w:rsid w:val="0008301D"/>
    <w:rsid w:val="000853AA"/>
    <w:rsid w:val="00085613"/>
    <w:rsid w:val="000909F4"/>
    <w:rsid w:val="00090E98"/>
    <w:rsid w:val="00093B89"/>
    <w:rsid w:val="00093DD3"/>
    <w:rsid w:val="000955E1"/>
    <w:rsid w:val="00097D6F"/>
    <w:rsid w:val="000A0CE4"/>
    <w:rsid w:val="000A2221"/>
    <w:rsid w:val="000A3CDD"/>
    <w:rsid w:val="000A4115"/>
    <w:rsid w:val="000A468E"/>
    <w:rsid w:val="000A547E"/>
    <w:rsid w:val="000A673E"/>
    <w:rsid w:val="000B0A9D"/>
    <w:rsid w:val="000B0FF3"/>
    <w:rsid w:val="000B139F"/>
    <w:rsid w:val="000B34E3"/>
    <w:rsid w:val="000B4BE4"/>
    <w:rsid w:val="000B4CD6"/>
    <w:rsid w:val="000C028F"/>
    <w:rsid w:val="000C0529"/>
    <w:rsid w:val="000C0D61"/>
    <w:rsid w:val="000C140D"/>
    <w:rsid w:val="000C1447"/>
    <w:rsid w:val="000C2DC5"/>
    <w:rsid w:val="000C43F9"/>
    <w:rsid w:val="000C789F"/>
    <w:rsid w:val="000D1086"/>
    <w:rsid w:val="000D14B2"/>
    <w:rsid w:val="000D46E4"/>
    <w:rsid w:val="000D7684"/>
    <w:rsid w:val="000E1514"/>
    <w:rsid w:val="000E2608"/>
    <w:rsid w:val="000E2DF4"/>
    <w:rsid w:val="000E50F9"/>
    <w:rsid w:val="000E5889"/>
    <w:rsid w:val="000E61A5"/>
    <w:rsid w:val="000F2726"/>
    <w:rsid w:val="000F4127"/>
    <w:rsid w:val="0010105A"/>
    <w:rsid w:val="001038A8"/>
    <w:rsid w:val="0010458D"/>
    <w:rsid w:val="0010471A"/>
    <w:rsid w:val="00106E8E"/>
    <w:rsid w:val="00107F4E"/>
    <w:rsid w:val="001107E0"/>
    <w:rsid w:val="001126E4"/>
    <w:rsid w:val="00113A92"/>
    <w:rsid w:val="00113D14"/>
    <w:rsid w:val="00114C1E"/>
    <w:rsid w:val="0011607C"/>
    <w:rsid w:val="00116769"/>
    <w:rsid w:val="00121018"/>
    <w:rsid w:val="0012773D"/>
    <w:rsid w:val="00127955"/>
    <w:rsid w:val="00127C1F"/>
    <w:rsid w:val="00131634"/>
    <w:rsid w:val="00131B27"/>
    <w:rsid w:val="00131F75"/>
    <w:rsid w:val="00133437"/>
    <w:rsid w:val="00135811"/>
    <w:rsid w:val="00135D5C"/>
    <w:rsid w:val="00141E1D"/>
    <w:rsid w:val="00143637"/>
    <w:rsid w:val="00144ADD"/>
    <w:rsid w:val="001451C3"/>
    <w:rsid w:val="0014563F"/>
    <w:rsid w:val="00146152"/>
    <w:rsid w:val="00151A8E"/>
    <w:rsid w:val="00152FAF"/>
    <w:rsid w:val="0015660E"/>
    <w:rsid w:val="00163C99"/>
    <w:rsid w:val="0016667B"/>
    <w:rsid w:val="0017054B"/>
    <w:rsid w:val="001719EE"/>
    <w:rsid w:val="00172612"/>
    <w:rsid w:val="0017341D"/>
    <w:rsid w:val="00175A5C"/>
    <w:rsid w:val="00175BD6"/>
    <w:rsid w:val="00176E3F"/>
    <w:rsid w:val="00177467"/>
    <w:rsid w:val="001825D2"/>
    <w:rsid w:val="001907E8"/>
    <w:rsid w:val="0019204C"/>
    <w:rsid w:val="00192089"/>
    <w:rsid w:val="00193C9F"/>
    <w:rsid w:val="00197554"/>
    <w:rsid w:val="001A11C1"/>
    <w:rsid w:val="001A1432"/>
    <w:rsid w:val="001A1581"/>
    <w:rsid w:val="001A22E4"/>
    <w:rsid w:val="001A330F"/>
    <w:rsid w:val="001A3C4E"/>
    <w:rsid w:val="001A4C33"/>
    <w:rsid w:val="001A56DC"/>
    <w:rsid w:val="001B00AE"/>
    <w:rsid w:val="001B0B50"/>
    <w:rsid w:val="001B5767"/>
    <w:rsid w:val="001C09AF"/>
    <w:rsid w:val="001C0ED2"/>
    <w:rsid w:val="001C26F2"/>
    <w:rsid w:val="001C3192"/>
    <w:rsid w:val="001C7B6D"/>
    <w:rsid w:val="001D1385"/>
    <w:rsid w:val="001D40B0"/>
    <w:rsid w:val="001D60FD"/>
    <w:rsid w:val="001D669C"/>
    <w:rsid w:val="001E0245"/>
    <w:rsid w:val="001E06FC"/>
    <w:rsid w:val="001E0A69"/>
    <w:rsid w:val="001E20D5"/>
    <w:rsid w:val="001E244D"/>
    <w:rsid w:val="001E30F4"/>
    <w:rsid w:val="001E3290"/>
    <w:rsid w:val="001E37D6"/>
    <w:rsid w:val="001E43CD"/>
    <w:rsid w:val="001E4A60"/>
    <w:rsid w:val="001E61FF"/>
    <w:rsid w:val="001E7496"/>
    <w:rsid w:val="001F0D2D"/>
    <w:rsid w:val="001F0ED8"/>
    <w:rsid w:val="001F2F1A"/>
    <w:rsid w:val="001F3F99"/>
    <w:rsid w:val="001F6327"/>
    <w:rsid w:val="001F734C"/>
    <w:rsid w:val="001F7DBC"/>
    <w:rsid w:val="001F7F1C"/>
    <w:rsid w:val="00205343"/>
    <w:rsid w:val="00211688"/>
    <w:rsid w:val="00211A88"/>
    <w:rsid w:val="00212E4A"/>
    <w:rsid w:val="002131A3"/>
    <w:rsid w:val="00214FCC"/>
    <w:rsid w:val="0021590B"/>
    <w:rsid w:val="00215D0C"/>
    <w:rsid w:val="00216133"/>
    <w:rsid w:val="00222384"/>
    <w:rsid w:val="00222CB6"/>
    <w:rsid w:val="00223A1E"/>
    <w:rsid w:val="0022418F"/>
    <w:rsid w:val="002244C5"/>
    <w:rsid w:val="00226718"/>
    <w:rsid w:val="002273D2"/>
    <w:rsid w:val="0023419B"/>
    <w:rsid w:val="00241D7C"/>
    <w:rsid w:val="00244676"/>
    <w:rsid w:val="00247C69"/>
    <w:rsid w:val="0025154F"/>
    <w:rsid w:val="0025162F"/>
    <w:rsid w:val="00251945"/>
    <w:rsid w:val="00251FF7"/>
    <w:rsid w:val="00252F19"/>
    <w:rsid w:val="002547AE"/>
    <w:rsid w:val="00255DAA"/>
    <w:rsid w:val="00256EA1"/>
    <w:rsid w:val="00262E35"/>
    <w:rsid w:val="00262E70"/>
    <w:rsid w:val="00264262"/>
    <w:rsid w:val="00265638"/>
    <w:rsid w:val="0026642F"/>
    <w:rsid w:val="0026648C"/>
    <w:rsid w:val="002707D4"/>
    <w:rsid w:val="00272748"/>
    <w:rsid w:val="00272D93"/>
    <w:rsid w:val="00277FA7"/>
    <w:rsid w:val="002817B7"/>
    <w:rsid w:val="0028341F"/>
    <w:rsid w:val="00291F33"/>
    <w:rsid w:val="00292B50"/>
    <w:rsid w:val="002A04BB"/>
    <w:rsid w:val="002A0DAA"/>
    <w:rsid w:val="002A249E"/>
    <w:rsid w:val="002A761D"/>
    <w:rsid w:val="002B156C"/>
    <w:rsid w:val="002B20E1"/>
    <w:rsid w:val="002B4BCB"/>
    <w:rsid w:val="002B6329"/>
    <w:rsid w:val="002B7F6E"/>
    <w:rsid w:val="002C0785"/>
    <w:rsid w:val="002C45B0"/>
    <w:rsid w:val="002C75E3"/>
    <w:rsid w:val="002D08C5"/>
    <w:rsid w:val="002E0539"/>
    <w:rsid w:val="002E2198"/>
    <w:rsid w:val="002E4037"/>
    <w:rsid w:val="002E44BA"/>
    <w:rsid w:val="002E54E2"/>
    <w:rsid w:val="002E7F89"/>
    <w:rsid w:val="002F0017"/>
    <w:rsid w:val="002F0F6B"/>
    <w:rsid w:val="00301313"/>
    <w:rsid w:val="00301B83"/>
    <w:rsid w:val="0030353B"/>
    <w:rsid w:val="00303A15"/>
    <w:rsid w:val="0030449D"/>
    <w:rsid w:val="00305CD1"/>
    <w:rsid w:val="003120F0"/>
    <w:rsid w:val="00312409"/>
    <w:rsid w:val="00323042"/>
    <w:rsid w:val="003234E7"/>
    <w:rsid w:val="0032444C"/>
    <w:rsid w:val="003246D5"/>
    <w:rsid w:val="00325BBD"/>
    <w:rsid w:val="00327B9E"/>
    <w:rsid w:val="00327F63"/>
    <w:rsid w:val="00331DB7"/>
    <w:rsid w:val="00332B0A"/>
    <w:rsid w:val="003332B8"/>
    <w:rsid w:val="0033587F"/>
    <w:rsid w:val="00336719"/>
    <w:rsid w:val="00340F2F"/>
    <w:rsid w:val="00341364"/>
    <w:rsid w:val="00342390"/>
    <w:rsid w:val="003424D0"/>
    <w:rsid w:val="003447F9"/>
    <w:rsid w:val="00345E29"/>
    <w:rsid w:val="00351F5E"/>
    <w:rsid w:val="00356505"/>
    <w:rsid w:val="00357B15"/>
    <w:rsid w:val="00360CF0"/>
    <w:rsid w:val="0036158E"/>
    <w:rsid w:val="00362506"/>
    <w:rsid w:val="00362B56"/>
    <w:rsid w:val="00363AC5"/>
    <w:rsid w:val="00363E72"/>
    <w:rsid w:val="00364DA0"/>
    <w:rsid w:val="00365208"/>
    <w:rsid w:val="00371F5B"/>
    <w:rsid w:val="00374C3D"/>
    <w:rsid w:val="003769C7"/>
    <w:rsid w:val="00376EC6"/>
    <w:rsid w:val="0037706A"/>
    <w:rsid w:val="00377B53"/>
    <w:rsid w:val="003831AE"/>
    <w:rsid w:val="00391EA6"/>
    <w:rsid w:val="00392652"/>
    <w:rsid w:val="00393DAF"/>
    <w:rsid w:val="00394FD5"/>
    <w:rsid w:val="0039677E"/>
    <w:rsid w:val="00397C46"/>
    <w:rsid w:val="003A1FED"/>
    <w:rsid w:val="003A22C3"/>
    <w:rsid w:val="003A2ED5"/>
    <w:rsid w:val="003A3F56"/>
    <w:rsid w:val="003A6378"/>
    <w:rsid w:val="003A79F5"/>
    <w:rsid w:val="003A7EA7"/>
    <w:rsid w:val="003B3289"/>
    <w:rsid w:val="003B3DD4"/>
    <w:rsid w:val="003C04F5"/>
    <w:rsid w:val="003C0521"/>
    <w:rsid w:val="003C1785"/>
    <w:rsid w:val="003C1B47"/>
    <w:rsid w:val="003C31D5"/>
    <w:rsid w:val="003C3739"/>
    <w:rsid w:val="003C67D4"/>
    <w:rsid w:val="003C6A73"/>
    <w:rsid w:val="003D044A"/>
    <w:rsid w:val="003E118A"/>
    <w:rsid w:val="003E264C"/>
    <w:rsid w:val="003F1028"/>
    <w:rsid w:val="003F20F9"/>
    <w:rsid w:val="003F3309"/>
    <w:rsid w:val="003F36DB"/>
    <w:rsid w:val="003F5A03"/>
    <w:rsid w:val="00400B91"/>
    <w:rsid w:val="00401114"/>
    <w:rsid w:val="00402AA2"/>
    <w:rsid w:val="004035E2"/>
    <w:rsid w:val="00403842"/>
    <w:rsid w:val="00403A61"/>
    <w:rsid w:val="00404115"/>
    <w:rsid w:val="00406469"/>
    <w:rsid w:val="00406623"/>
    <w:rsid w:val="00410F9C"/>
    <w:rsid w:val="0041643E"/>
    <w:rsid w:val="004171C4"/>
    <w:rsid w:val="0041777A"/>
    <w:rsid w:val="00420951"/>
    <w:rsid w:val="00422DB5"/>
    <w:rsid w:val="0042422B"/>
    <w:rsid w:val="00425AA5"/>
    <w:rsid w:val="00427627"/>
    <w:rsid w:val="00427A22"/>
    <w:rsid w:val="00430CD8"/>
    <w:rsid w:val="0043139D"/>
    <w:rsid w:val="00434FE9"/>
    <w:rsid w:val="004356AD"/>
    <w:rsid w:val="00435894"/>
    <w:rsid w:val="00436169"/>
    <w:rsid w:val="00441BA0"/>
    <w:rsid w:val="00442867"/>
    <w:rsid w:val="00444C2A"/>
    <w:rsid w:val="00447087"/>
    <w:rsid w:val="0044787B"/>
    <w:rsid w:val="00452D3D"/>
    <w:rsid w:val="00454795"/>
    <w:rsid w:val="00457290"/>
    <w:rsid w:val="00463DE3"/>
    <w:rsid w:val="0046414D"/>
    <w:rsid w:val="00464BB6"/>
    <w:rsid w:val="00466128"/>
    <w:rsid w:val="00470A01"/>
    <w:rsid w:val="00470AB8"/>
    <w:rsid w:val="004734E2"/>
    <w:rsid w:val="00473D17"/>
    <w:rsid w:val="0047545C"/>
    <w:rsid w:val="004760DB"/>
    <w:rsid w:val="004779D4"/>
    <w:rsid w:val="00480684"/>
    <w:rsid w:val="00485E7B"/>
    <w:rsid w:val="0048675B"/>
    <w:rsid w:val="00486C78"/>
    <w:rsid w:val="00494BE4"/>
    <w:rsid w:val="004976C9"/>
    <w:rsid w:val="00497F66"/>
    <w:rsid w:val="004A1623"/>
    <w:rsid w:val="004A2011"/>
    <w:rsid w:val="004A33D6"/>
    <w:rsid w:val="004A433C"/>
    <w:rsid w:val="004B2620"/>
    <w:rsid w:val="004B275F"/>
    <w:rsid w:val="004B7B73"/>
    <w:rsid w:val="004C0209"/>
    <w:rsid w:val="004C1B0B"/>
    <w:rsid w:val="004C320A"/>
    <w:rsid w:val="004C33D7"/>
    <w:rsid w:val="004C3B44"/>
    <w:rsid w:val="004C3F8F"/>
    <w:rsid w:val="004C483F"/>
    <w:rsid w:val="004C4947"/>
    <w:rsid w:val="004C611E"/>
    <w:rsid w:val="004D0539"/>
    <w:rsid w:val="004D17B3"/>
    <w:rsid w:val="004D3C9C"/>
    <w:rsid w:val="004D3F8C"/>
    <w:rsid w:val="004D42D7"/>
    <w:rsid w:val="004D49F9"/>
    <w:rsid w:val="004D4D11"/>
    <w:rsid w:val="004D5FC0"/>
    <w:rsid w:val="004E1B04"/>
    <w:rsid w:val="004E20D4"/>
    <w:rsid w:val="004E45CF"/>
    <w:rsid w:val="004E559C"/>
    <w:rsid w:val="004F41F5"/>
    <w:rsid w:val="004F5EB9"/>
    <w:rsid w:val="00504787"/>
    <w:rsid w:val="0050596D"/>
    <w:rsid w:val="0050647B"/>
    <w:rsid w:val="00510130"/>
    <w:rsid w:val="00510692"/>
    <w:rsid w:val="00510CFD"/>
    <w:rsid w:val="00510E28"/>
    <w:rsid w:val="005111EE"/>
    <w:rsid w:val="00511902"/>
    <w:rsid w:val="00512EF4"/>
    <w:rsid w:val="005130C1"/>
    <w:rsid w:val="00514851"/>
    <w:rsid w:val="00520454"/>
    <w:rsid w:val="00521B4C"/>
    <w:rsid w:val="005230D2"/>
    <w:rsid w:val="00524868"/>
    <w:rsid w:val="005253E0"/>
    <w:rsid w:val="00527524"/>
    <w:rsid w:val="00530CBE"/>
    <w:rsid w:val="00532792"/>
    <w:rsid w:val="005329AC"/>
    <w:rsid w:val="00533BC0"/>
    <w:rsid w:val="005354A6"/>
    <w:rsid w:val="00540D30"/>
    <w:rsid w:val="00542F54"/>
    <w:rsid w:val="0054570B"/>
    <w:rsid w:val="00551E22"/>
    <w:rsid w:val="0055392C"/>
    <w:rsid w:val="0055788D"/>
    <w:rsid w:val="005606B1"/>
    <w:rsid w:val="00561936"/>
    <w:rsid w:val="00566348"/>
    <w:rsid w:val="00567EBC"/>
    <w:rsid w:val="00577572"/>
    <w:rsid w:val="00580831"/>
    <w:rsid w:val="0058154A"/>
    <w:rsid w:val="005837F6"/>
    <w:rsid w:val="00583F0F"/>
    <w:rsid w:val="0059000E"/>
    <w:rsid w:val="005949E0"/>
    <w:rsid w:val="00595B94"/>
    <w:rsid w:val="005963E5"/>
    <w:rsid w:val="0059772E"/>
    <w:rsid w:val="005A0B33"/>
    <w:rsid w:val="005A1074"/>
    <w:rsid w:val="005A1841"/>
    <w:rsid w:val="005A1DB2"/>
    <w:rsid w:val="005A37B9"/>
    <w:rsid w:val="005A47E2"/>
    <w:rsid w:val="005A4EE1"/>
    <w:rsid w:val="005A6DDA"/>
    <w:rsid w:val="005A7042"/>
    <w:rsid w:val="005A7742"/>
    <w:rsid w:val="005B0673"/>
    <w:rsid w:val="005B0E7D"/>
    <w:rsid w:val="005B1405"/>
    <w:rsid w:val="005B29E2"/>
    <w:rsid w:val="005B2CC7"/>
    <w:rsid w:val="005C0515"/>
    <w:rsid w:val="005C11BE"/>
    <w:rsid w:val="005C1314"/>
    <w:rsid w:val="005C7A96"/>
    <w:rsid w:val="005D0AC3"/>
    <w:rsid w:val="005D3693"/>
    <w:rsid w:val="005D518E"/>
    <w:rsid w:val="005E2185"/>
    <w:rsid w:val="005E404B"/>
    <w:rsid w:val="005E5633"/>
    <w:rsid w:val="005E5706"/>
    <w:rsid w:val="005E57D3"/>
    <w:rsid w:val="005E600D"/>
    <w:rsid w:val="005E6C16"/>
    <w:rsid w:val="005E7A72"/>
    <w:rsid w:val="005F0267"/>
    <w:rsid w:val="005F45B0"/>
    <w:rsid w:val="005F48D6"/>
    <w:rsid w:val="005F5311"/>
    <w:rsid w:val="005F65F3"/>
    <w:rsid w:val="005F7717"/>
    <w:rsid w:val="005F7B35"/>
    <w:rsid w:val="005F7F22"/>
    <w:rsid w:val="00600766"/>
    <w:rsid w:val="00600851"/>
    <w:rsid w:val="006061C4"/>
    <w:rsid w:val="00606298"/>
    <w:rsid w:val="006073BD"/>
    <w:rsid w:val="00607830"/>
    <w:rsid w:val="00610BC3"/>
    <w:rsid w:val="00611F53"/>
    <w:rsid w:val="00612786"/>
    <w:rsid w:val="00612B7D"/>
    <w:rsid w:val="0061300D"/>
    <w:rsid w:val="00613FE1"/>
    <w:rsid w:val="00614A7C"/>
    <w:rsid w:val="00621F28"/>
    <w:rsid w:val="00623E8A"/>
    <w:rsid w:val="0062423F"/>
    <w:rsid w:val="006247BC"/>
    <w:rsid w:val="00625489"/>
    <w:rsid w:val="006261D3"/>
    <w:rsid w:val="006301EE"/>
    <w:rsid w:val="0063021B"/>
    <w:rsid w:val="00632E3C"/>
    <w:rsid w:val="00632EF1"/>
    <w:rsid w:val="00636C6A"/>
    <w:rsid w:val="006374B5"/>
    <w:rsid w:val="0064345F"/>
    <w:rsid w:val="00643D39"/>
    <w:rsid w:val="006454B9"/>
    <w:rsid w:val="006458B8"/>
    <w:rsid w:val="00646601"/>
    <w:rsid w:val="0064668D"/>
    <w:rsid w:val="0064788D"/>
    <w:rsid w:val="00650B36"/>
    <w:rsid w:val="006527F8"/>
    <w:rsid w:val="0065314F"/>
    <w:rsid w:val="00654B57"/>
    <w:rsid w:val="00655D8A"/>
    <w:rsid w:val="006573F6"/>
    <w:rsid w:val="006613B9"/>
    <w:rsid w:val="0066383D"/>
    <w:rsid w:val="0066613A"/>
    <w:rsid w:val="00670298"/>
    <w:rsid w:val="006730A8"/>
    <w:rsid w:val="00675AA6"/>
    <w:rsid w:val="0067641B"/>
    <w:rsid w:val="00677B32"/>
    <w:rsid w:val="00684C40"/>
    <w:rsid w:val="0069163A"/>
    <w:rsid w:val="00694083"/>
    <w:rsid w:val="00694B20"/>
    <w:rsid w:val="006A08FA"/>
    <w:rsid w:val="006A0C81"/>
    <w:rsid w:val="006A17EF"/>
    <w:rsid w:val="006A3AE7"/>
    <w:rsid w:val="006A7D07"/>
    <w:rsid w:val="006B0B78"/>
    <w:rsid w:val="006B2056"/>
    <w:rsid w:val="006B308E"/>
    <w:rsid w:val="006B5BA8"/>
    <w:rsid w:val="006B6B16"/>
    <w:rsid w:val="006B7110"/>
    <w:rsid w:val="006C0EE1"/>
    <w:rsid w:val="006C22B7"/>
    <w:rsid w:val="006C56DD"/>
    <w:rsid w:val="006C5ABB"/>
    <w:rsid w:val="006C5FE8"/>
    <w:rsid w:val="006C6313"/>
    <w:rsid w:val="006E0301"/>
    <w:rsid w:val="006E0AE5"/>
    <w:rsid w:val="006E2100"/>
    <w:rsid w:val="006E32CE"/>
    <w:rsid w:val="006E5304"/>
    <w:rsid w:val="006E5A67"/>
    <w:rsid w:val="006E67A5"/>
    <w:rsid w:val="006F1DAA"/>
    <w:rsid w:val="006F570B"/>
    <w:rsid w:val="006F5DCD"/>
    <w:rsid w:val="007028DB"/>
    <w:rsid w:val="007029B7"/>
    <w:rsid w:val="00704ADF"/>
    <w:rsid w:val="00704F55"/>
    <w:rsid w:val="00705A7A"/>
    <w:rsid w:val="00705D02"/>
    <w:rsid w:val="00706288"/>
    <w:rsid w:val="00706E57"/>
    <w:rsid w:val="00715ECD"/>
    <w:rsid w:val="00717B28"/>
    <w:rsid w:val="00722768"/>
    <w:rsid w:val="0072368F"/>
    <w:rsid w:val="00726D58"/>
    <w:rsid w:val="00727329"/>
    <w:rsid w:val="007279F5"/>
    <w:rsid w:val="00730B4F"/>
    <w:rsid w:val="00731EE3"/>
    <w:rsid w:val="007321D3"/>
    <w:rsid w:val="00732931"/>
    <w:rsid w:val="0073741B"/>
    <w:rsid w:val="007410EC"/>
    <w:rsid w:val="007416DE"/>
    <w:rsid w:val="00751141"/>
    <w:rsid w:val="00752EC4"/>
    <w:rsid w:val="007547C2"/>
    <w:rsid w:val="00755A7A"/>
    <w:rsid w:val="0075788A"/>
    <w:rsid w:val="007579D1"/>
    <w:rsid w:val="0076254B"/>
    <w:rsid w:val="00762D02"/>
    <w:rsid w:val="00764635"/>
    <w:rsid w:val="007657FF"/>
    <w:rsid w:val="00765D8A"/>
    <w:rsid w:val="0076797E"/>
    <w:rsid w:val="00770BDA"/>
    <w:rsid w:val="0077174D"/>
    <w:rsid w:val="00776DF8"/>
    <w:rsid w:val="00777E7F"/>
    <w:rsid w:val="00777F7E"/>
    <w:rsid w:val="00780564"/>
    <w:rsid w:val="00783742"/>
    <w:rsid w:val="00783C16"/>
    <w:rsid w:val="00784BC8"/>
    <w:rsid w:val="0079050D"/>
    <w:rsid w:val="00790C81"/>
    <w:rsid w:val="00791863"/>
    <w:rsid w:val="007919DA"/>
    <w:rsid w:val="00794A02"/>
    <w:rsid w:val="007A3132"/>
    <w:rsid w:val="007A42D3"/>
    <w:rsid w:val="007A4F23"/>
    <w:rsid w:val="007A7ED0"/>
    <w:rsid w:val="007B2B40"/>
    <w:rsid w:val="007B3141"/>
    <w:rsid w:val="007B43E1"/>
    <w:rsid w:val="007B52C0"/>
    <w:rsid w:val="007B63D0"/>
    <w:rsid w:val="007B793C"/>
    <w:rsid w:val="007C0508"/>
    <w:rsid w:val="007C057E"/>
    <w:rsid w:val="007C0D36"/>
    <w:rsid w:val="007C246C"/>
    <w:rsid w:val="007C2F9D"/>
    <w:rsid w:val="007C673C"/>
    <w:rsid w:val="007C74B5"/>
    <w:rsid w:val="007D1C6B"/>
    <w:rsid w:val="007D2876"/>
    <w:rsid w:val="007D382A"/>
    <w:rsid w:val="007D5AC0"/>
    <w:rsid w:val="007E2E4E"/>
    <w:rsid w:val="007E7DD1"/>
    <w:rsid w:val="007F1B86"/>
    <w:rsid w:val="007F20CE"/>
    <w:rsid w:val="007F3CB9"/>
    <w:rsid w:val="007F7186"/>
    <w:rsid w:val="007F78F8"/>
    <w:rsid w:val="00800997"/>
    <w:rsid w:val="008011E8"/>
    <w:rsid w:val="00802629"/>
    <w:rsid w:val="00804542"/>
    <w:rsid w:val="00807DC0"/>
    <w:rsid w:val="00807EE9"/>
    <w:rsid w:val="008120E3"/>
    <w:rsid w:val="00814B38"/>
    <w:rsid w:val="00816803"/>
    <w:rsid w:val="008208FB"/>
    <w:rsid w:val="00821266"/>
    <w:rsid w:val="00824DBF"/>
    <w:rsid w:val="00824FF1"/>
    <w:rsid w:val="00827AB4"/>
    <w:rsid w:val="008302A2"/>
    <w:rsid w:val="00832CD8"/>
    <w:rsid w:val="0083569A"/>
    <w:rsid w:val="008420C5"/>
    <w:rsid w:val="008460AB"/>
    <w:rsid w:val="00846DBC"/>
    <w:rsid w:val="0084736B"/>
    <w:rsid w:val="00850A2F"/>
    <w:rsid w:val="00853A5E"/>
    <w:rsid w:val="008541D8"/>
    <w:rsid w:val="0085597A"/>
    <w:rsid w:val="00863033"/>
    <w:rsid w:val="00863463"/>
    <w:rsid w:val="00864EE6"/>
    <w:rsid w:val="0086556B"/>
    <w:rsid w:val="00865B1D"/>
    <w:rsid w:val="0086713E"/>
    <w:rsid w:val="00871925"/>
    <w:rsid w:val="008766BF"/>
    <w:rsid w:val="00877BCF"/>
    <w:rsid w:val="00880CF8"/>
    <w:rsid w:val="008834DD"/>
    <w:rsid w:val="0088422F"/>
    <w:rsid w:val="0088528F"/>
    <w:rsid w:val="00885C21"/>
    <w:rsid w:val="00885CF5"/>
    <w:rsid w:val="00886ECA"/>
    <w:rsid w:val="008871B9"/>
    <w:rsid w:val="00890697"/>
    <w:rsid w:val="008915B8"/>
    <w:rsid w:val="00892489"/>
    <w:rsid w:val="00894682"/>
    <w:rsid w:val="008959B0"/>
    <w:rsid w:val="00895F6D"/>
    <w:rsid w:val="008A01B2"/>
    <w:rsid w:val="008A12CD"/>
    <w:rsid w:val="008A2DB8"/>
    <w:rsid w:val="008A3335"/>
    <w:rsid w:val="008A63A0"/>
    <w:rsid w:val="008A7473"/>
    <w:rsid w:val="008B072F"/>
    <w:rsid w:val="008B0A09"/>
    <w:rsid w:val="008B15AA"/>
    <w:rsid w:val="008B57EC"/>
    <w:rsid w:val="008B63B6"/>
    <w:rsid w:val="008B7420"/>
    <w:rsid w:val="008C2E89"/>
    <w:rsid w:val="008C33BE"/>
    <w:rsid w:val="008C5125"/>
    <w:rsid w:val="008C635C"/>
    <w:rsid w:val="008C7D53"/>
    <w:rsid w:val="008C7EC1"/>
    <w:rsid w:val="008D24D9"/>
    <w:rsid w:val="008D5AF7"/>
    <w:rsid w:val="008D71DB"/>
    <w:rsid w:val="008E258F"/>
    <w:rsid w:val="008E5168"/>
    <w:rsid w:val="008E631B"/>
    <w:rsid w:val="008E69F3"/>
    <w:rsid w:val="008F1EEB"/>
    <w:rsid w:val="008F2625"/>
    <w:rsid w:val="008F4F34"/>
    <w:rsid w:val="008F5285"/>
    <w:rsid w:val="008F55DA"/>
    <w:rsid w:val="008F616B"/>
    <w:rsid w:val="00900564"/>
    <w:rsid w:val="0090361E"/>
    <w:rsid w:val="00904949"/>
    <w:rsid w:val="00905C8E"/>
    <w:rsid w:val="009068BF"/>
    <w:rsid w:val="00907D85"/>
    <w:rsid w:val="00911A51"/>
    <w:rsid w:val="00912010"/>
    <w:rsid w:val="00914BEE"/>
    <w:rsid w:val="00916971"/>
    <w:rsid w:val="00916CF5"/>
    <w:rsid w:val="00916E8D"/>
    <w:rsid w:val="00921DE0"/>
    <w:rsid w:val="00927905"/>
    <w:rsid w:val="00927B8A"/>
    <w:rsid w:val="009301BF"/>
    <w:rsid w:val="00931277"/>
    <w:rsid w:val="00932759"/>
    <w:rsid w:val="009328E9"/>
    <w:rsid w:val="00935B36"/>
    <w:rsid w:val="00935E7D"/>
    <w:rsid w:val="00935EE2"/>
    <w:rsid w:val="0094432F"/>
    <w:rsid w:val="00946395"/>
    <w:rsid w:val="00946F28"/>
    <w:rsid w:val="009503BD"/>
    <w:rsid w:val="00952E93"/>
    <w:rsid w:val="00953183"/>
    <w:rsid w:val="0095573A"/>
    <w:rsid w:val="009562D3"/>
    <w:rsid w:val="00956571"/>
    <w:rsid w:val="00957B11"/>
    <w:rsid w:val="00961473"/>
    <w:rsid w:val="00961ABF"/>
    <w:rsid w:val="0096202D"/>
    <w:rsid w:val="0096248F"/>
    <w:rsid w:val="00963848"/>
    <w:rsid w:val="009664EE"/>
    <w:rsid w:val="00967C9F"/>
    <w:rsid w:val="00970E06"/>
    <w:rsid w:val="009716B1"/>
    <w:rsid w:val="00972E0C"/>
    <w:rsid w:val="00975373"/>
    <w:rsid w:val="009753F2"/>
    <w:rsid w:val="00975BF2"/>
    <w:rsid w:val="00976825"/>
    <w:rsid w:val="0097768A"/>
    <w:rsid w:val="00981EEE"/>
    <w:rsid w:val="009823F4"/>
    <w:rsid w:val="00985B29"/>
    <w:rsid w:val="00992AEE"/>
    <w:rsid w:val="00993FDE"/>
    <w:rsid w:val="009943CF"/>
    <w:rsid w:val="00994773"/>
    <w:rsid w:val="00996957"/>
    <w:rsid w:val="009A054B"/>
    <w:rsid w:val="009A0EE3"/>
    <w:rsid w:val="009A1BBC"/>
    <w:rsid w:val="009A213E"/>
    <w:rsid w:val="009A6C06"/>
    <w:rsid w:val="009B2446"/>
    <w:rsid w:val="009B3485"/>
    <w:rsid w:val="009B6286"/>
    <w:rsid w:val="009B6918"/>
    <w:rsid w:val="009C21D2"/>
    <w:rsid w:val="009C3012"/>
    <w:rsid w:val="009C35FF"/>
    <w:rsid w:val="009C61A1"/>
    <w:rsid w:val="009D1A69"/>
    <w:rsid w:val="009D3A10"/>
    <w:rsid w:val="009D5CBA"/>
    <w:rsid w:val="009D646F"/>
    <w:rsid w:val="009D6EBF"/>
    <w:rsid w:val="009E0780"/>
    <w:rsid w:val="009E2E8D"/>
    <w:rsid w:val="009E337B"/>
    <w:rsid w:val="009E3EC0"/>
    <w:rsid w:val="009E4703"/>
    <w:rsid w:val="009F15EB"/>
    <w:rsid w:val="009F4742"/>
    <w:rsid w:val="009F5B47"/>
    <w:rsid w:val="009F7DA5"/>
    <w:rsid w:val="009F7FA1"/>
    <w:rsid w:val="00A0100E"/>
    <w:rsid w:val="00A02D9B"/>
    <w:rsid w:val="00A06642"/>
    <w:rsid w:val="00A07EDB"/>
    <w:rsid w:val="00A10C27"/>
    <w:rsid w:val="00A112CD"/>
    <w:rsid w:val="00A136FD"/>
    <w:rsid w:val="00A13F5D"/>
    <w:rsid w:val="00A155EB"/>
    <w:rsid w:val="00A17B26"/>
    <w:rsid w:val="00A22870"/>
    <w:rsid w:val="00A260BD"/>
    <w:rsid w:val="00A27A2A"/>
    <w:rsid w:val="00A3323B"/>
    <w:rsid w:val="00A41208"/>
    <w:rsid w:val="00A42410"/>
    <w:rsid w:val="00A4354E"/>
    <w:rsid w:val="00A4496E"/>
    <w:rsid w:val="00A450BE"/>
    <w:rsid w:val="00A45525"/>
    <w:rsid w:val="00A47289"/>
    <w:rsid w:val="00A47812"/>
    <w:rsid w:val="00A50CA6"/>
    <w:rsid w:val="00A53713"/>
    <w:rsid w:val="00A5390A"/>
    <w:rsid w:val="00A55688"/>
    <w:rsid w:val="00A57A78"/>
    <w:rsid w:val="00A61EB6"/>
    <w:rsid w:val="00A640E4"/>
    <w:rsid w:val="00A67F61"/>
    <w:rsid w:val="00A71848"/>
    <w:rsid w:val="00A81533"/>
    <w:rsid w:val="00A83367"/>
    <w:rsid w:val="00A835FF"/>
    <w:rsid w:val="00A8527E"/>
    <w:rsid w:val="00A86DA9"/>
    <w:rsid w:val="00A90EFA"/>
    <w:rsid w:val="00A924DA"/>
    <w:rsid w:val="00A95E36"/>
    <w:rsid w:val="00AA2D19"/>
    <w:rsid w:val="00AA47AF"/>
    <w:rsid w:val="00AA64BA"/>
    <w:rsid w:val="00AA75C1"/>
    <w:rsid w:val="00AB0330"/>
    <w:rsid w:val="00AB3EE6"/>
    <w:rsid w:val="00AB41FB"/>
    <w:rsid w:val="00AB7F69"/>
    <w:rsid w:val="00AC7631"/>
    <w:rsid w:val="00AD0268"/>
    <w:rsid w:val="00AD05BE"/>
    <w:rsid w:val="00AD0663"/>
    <w:rsid w:val="00AD1D52"/>
    <w:rsid w:val="00AD276C"/>
    <w:rsid w:val="00AD3B08"/>
    <w:rsid w:val="00AD3CB6"/>
    <w:rsid w:val="00AD71F5"/>
    <w:rsid w:val="00AE1414"/>
    <w:rsid w:val="00AE7EAE"/>
    <w:rsid w:val="00AF0EE6"/>
    <w:rsid w:val="00AF132A"/>
    <w:rsid w:val="00AF2979"/>
    <w:rsid w:val="00AF5840"/>
    <w:rsid w:val="00AF5ECA"/>
    <w:rsid w:val="00AF6447"/>
    <w:rsid w:val="00AF6E2E"/>
    <w:rsid w:val="00AF7C47"/>
    <w:rsid w:val="00B01A1A"/>
    <w:rsid w:val="00B11767"/>
    <w:rsid w:val="00B11EDC"/>
    <w:rsid w:val="00B12019"/>
    <w:rsid w:val="00B12304"/>
    <w:rsid w:val="00B1483D"/>
    <w:rsid w:val="00B149F7"/>
    <w:rsid w:val="00B1612C"/>
    <w:rsid w:val="00B20EEB"/>
    <w:rsid w:val="00B21DA5"/>
    <w:rsid w:val="00B23C8D"/>
    <w:rsid w:val="00B253A8"/>
    <w:rsid w:val="00B3415C"/>
    <w:rsid w:val="00B3626C"/>
    <w:rsid w:val="00B3633F"/>
    <w:rsid w:val="00B401D8"/>
    <w:rsid w:val="00B4395B"/>
    <w:rsid w:val="00B44B8B"/>
    <w:rsid w:val="00B44F82"/>
    <w:rsid w:val="00B5060B"/>
    <w:rsid w:val="00B52DB8"/>
    <w:rsid w:val="00B54C18"/>
    <w:rsid w:val="00B55C66"/>
    <w:rsid w:val="00B65A3B"/>
    <w:rsid w:val="00B7042F"/>
    <w:rsid w:val="00B70BA6"/>
    <w:rsid w:val="00B71B05"/>
    <w:rsid w:val="00B748DB"/>
    <w:rsid w:val="00B7535D"/>
    <w:rsid w:val="00B75E4F"/>
    <w:rsid w:val="00B77CC6"/>
    <w:rsid w:val="00B81076"/>
    <w:rsid w:val="00B8220D"/>
    <w:rsid w:val="00B87B4A"/>
    <w:rsid w:val="00B91982"/>
    <w:rsid w:val="00B94211"/>
    <w:rsid w:val="00B94D66"/>
    <w:rsid w:val="00B95B46"/>
    <w:rsid w:val="00B96414"/>
    <w:rsid w:val="00B97CBB"/>
    <w:rsid w:val="00BA2553"/>
    <w:rsid w:val="00BA32CC"/>
    <w:rsid w:val="00BA50CE"/>
    <w:rsid w:val="00BA519A"/>
    <w:rsid w:val="00BA54EF"/>
    <w:rsid w:val="00BA5D38"/>
    <w:rsid w:val="00BB0092"/>
    <w:rsid w:val="00BB1191"/>
    <w:rsid w:val="00BC0EED"/>
    <w:rsid w:val="00BC65C4"/>
    <w:rsid w:val="00BD0E9A"/>
    <w:rsid w:val="00BD2065"/>
    <w:rsid w:val="00BD69ED"/>
    <w:rsid w:val="00BD7150"/>
    <w:rsid w:val="00BE1279"/>
    <w:rsid w:val="00BE1425"/>
    <w:rsid w:val="00BE1E7A"/>
    <w:rsid w:val="00BE20F1"/>
    <w:rsid w:val="00BE4143"/>
    <w:rsid w:val="00BE46F8"/>
    <w:rsid w:val="00BF1A48"/>
    <w:rsid w:val="00BF497A"/>
    <w:rsid w:val="00C00EA7"/>
    <w:rsid w:val="00C038EF"/>
    <w:rsid w:val="00C039A2"/>
    <w:rsid w:val="00C03FF0"/>
    <w:rsid w:val="00C05162"/>
    <w:rsid w:val="00C07011"/>
    <w:rsid w:val="00C11C3A"/>
    <w:rsid w:val="00C15A48"/>
    <w:rsid w:val="00C21401"/>
    <w:rsid w:val="00C23ED1"/>
    <w:rsid w:val="00C240B8"/>
    <w:rsid w:val="00C24168"/>
    <w:rsid w:val="00C258AC"/>
    <w:rsid w:val="00C2664E"/>
    <w:rsid w:val="00C2676F"/>
    <w:rsid w:val="00C27859"/>
    <w:rsid w:val="00C31A9E"/>
    <w:rsid w:val="00C34C9C"/>
    <w:rsid w:val="00C3505A"/>
    <w:rsid w:val="00C3697B"/>
    <w:rsid w:val="00C37D49"/>
    <w:rsid w:val="00C37DC5"/>
    <w:rsid w:val="00C4033C"/>
    <w:rsid w:val="00C42ECF"/>
    <w:rsid w:val="00C53863"/>
    <w:rsid w:val="00C54695"/>
    <w:rsid w:val="00C5726E"/>
    <w:rsid w:val="00C627E3"/>
    <w:rsid w:val="00C630C9"/>
    <w:rsid w:val="00C64EC7"/>
    <w:rsid w:val="00C650B8"/>
    <w:rsid w:val="00C71DD9"/>
    <w:rsid w:val="00C7224A"/>
    <w:rsid w:val="00C72AAA"/>
    <w:rsid w:val="00C72DE0"/>
    <w:rsid w:val="00C7428B"/>
    <w:rsid w:val="00C849D1"/>
    <w:rsid w:val="00C8637B"/>
    <w:rsid w:val="00C87258"/>
    <w:rsid w:val="00C87C1A"/>
    <w:rsid w:val="00C87FF7"/>
    <w:rsid w:val="00C90AF1"/>
    <w:rsid w:val="00C91B3B"/>
    <w:rsid w:val="00C91C91"/>
    <w:rsid w:val="00C936A7"/>
    <w:rsid w:val="00C939CF"/>
    <w:rsid w:val="00C9584F"/>
    <w:rsid w:val="00C9722C"/>
    <w:rsid w:val="00CA32C2"/>
    <w:rsid w:val="00CA345C"/>
    <w:rsid w:val="00CA50F2"/>
    <w:rsid w:val="00CB0F1C"/>
    <w:rsid w:val="00CB6B2F"/>
    <w:rsid w:val="00CB72A1"/>
    <w:rsid w:val="00CB7331"/>
    <w:rsid w:val="00CB7D3B"/>
    <w:rsid w:val="00CC34D8"/>
    <w:rsid w:val="00CC361F"/>
    <w:rsid w:val="00CC36B4"/>
    <w:rsid w:val="00CC3A0E"/>
    <w:rsid w:val="00CC3CDB"/>
    <w:rsid w:val="00CC416A"/>
    <w:rsid w:val="00CC5841"/>
    <w:rsid w:val="00CC6445"/>
    <w:rsid w:val="00CC6797"/>
    <w:rsid w:val="00CC6E94"/>
    <w:rsid w:val="00CC79C7"/>
    <w:rsid w:val="00CC7B91"/>
    <w:rsid w:val="00CD0BF6"/>
    <w:rsid w:val="00CD214C"/>
    <w:rsid w:val="00CD5151"/>
    <w:rsid w:val="00CD6155"/>
    <w:rsid w:val="00CD663D"/>
    <w:rsid w:val="00CD6824"/>
    <w:rsid w:val="00CE4C47"/>
    <w:rsid w:val="00CE5300"/>
    <w:rsid w:val="00CF0FB0"/>
    <w:rsid w:val="00CF1812"/>
    <w:rsid w:val="00CF28C4"/>
    <w:rsid w:val="00CF4D2A"/>
    <w:rsid w:val="00CF7F92"/>
    <w:rsid w:val="00D04DA2"/>
    <w:rsid w:val="00D05521"/>
    <w:rsid w:val="00D10A93"/>
    <w:rsid w:val="00D13FB5"/>
    <w:rsid w:val="00D20A79"/>
    <w:rsid w:val="00D277E2"/>
    <w:rsid w:val="00D27901"/>
    <w:rsid w:val="00D27D13"/>
    <w:rsid w:val="00D30EE3"/>
    <w:rsid w:val="00D3253D"/>
    <w:rsid w:val="00D34BC1"/>
    <w:rsid w:val="00D3570F"/>
    <w:rsid w:val="00D35DC5"/>
    <w:rsid w:val="00D3602D"/>
    <w:rsid w:val="00D36A4F"/>
    <w:rsid w:val="00D3751D"/>
    <w:rsid w:val="00D41FFE"/>
    <w:rsid w:val="00D422F3"/>
    <w:rsid w:val="00D45F0D"/>
    <w:rsid w:val="00D47298"/>
    <w:rsid w:val="00D50830"/>
    <w:rsid w:val="00D51765"/>
    <w:rsid w:val="00D5484F"/>
    <w:rsid w:val="00D54B00"/>
    <w:rsid w:val="00D57B60"/>
    <w:rsid w:val="00D57E3C"/>
    <w:rsid w:val="00D62192"/>
    <w:rsid w:val="00D65C1B"/>
    <w:rsid w:val="00D672AC"/>
    <w:rsid w:val="00D71F7A"/>
    <w:rsid w:val="00D7440B"/>
    <w:rsid w:val="00D83AB6"/>
    <w:rsid w:val="00D850DE"/>
    <w:rsid w:val="00D8608D"/>
    <w:rsid w:val="00D86B78"/>
    <w:rsid w:val="00D9117F"/>
    <w:rsid w:val="00D91B20"/>
    <w:rsid w:val="00D936F6"/>
    <w:rsid w:val="00D943DE"/>
    <w:rsid w:val="00DA3268"/>
    <w:rsid w:val="00DA44D0"/>
    <w:rsid w:val="00DA5657"/>
    <w:rsid w:val="00DA7082"/>
    <w:rsid w:val="00DB36C1"/>
    <w:rsid w:val="00DB4AF5"/>
    <w:rsid w:val="00DB5798"/>
    <w:rsid w:val="00DB5884"/>
    <w:rsid w:val="00DB6B23"/>
    <w:rsid w:val="00DC05BA"/>
    <w:rsid w:val="00DC0C3F"/>
    <w:rsid w:val="00DC4940"/>
    <w:rsid w:val="00DC4D29"/>
    <w:rsid w:val="00DC6085"/>
    <w:rsid w:val="00DC6551"/>
    <w:rsid w:val="00DC67D4"/>
    <w:rsid w:val="00DC6DFB"/>
    <w:rsid w:val="00DC71A3"/>
    <w:rsid w:val="00DD102F"/>
    <w:rsid w:val="00DD46E5"/>
    <w:rsid w:val="00DD772B"/>
    <w:rsid w:val="00DE25A3"/>
    <w:rsid w:val="00DE3A80"/>
    <w:rsid w:val="00DE5CA9"/>
    <w:rsid w:val="00DF1BF7"/>
    <w:rsid w:val="00DF2DBB"/>
    <w:rsid w:val="00DF4B37"/>
    <w:rsid w:val="00E01828"/>
    <w:rsid w:val="00E04DAB"/>
    <w:rsid w:val="00E05071"/>
    <w:rsid w:val="00E05756"/>
    <w:rsid w:val="00E119BD"/>
    <w:rsid w:val="00E14D1A"/>
    <w:rsid w:val="00E21540"/>
    <w:rsid w:val="00E23663"/>
    <w:rsid w:val="00E249A2"/>
    <w:rsid w:val="00E2531E"/>
    <w:rsid w:val="00E25CD9"/>
    <w:rsid w:val="00E26658"/>
    <w:rsid w:val="00E27440"/>
    <w:rsid w:val="00E30412"/>
    <w:rsid w:val="00E3063F"/>
    <w:rsid w:val="00E36A0F"/>
    <w:rsid w:val="00E37866"/>
    <w:rsid w:val="00E4029E"/>
    <w:rsid w:val="00E40B9A"/>
    <w:rsid w:val="00E410C9"/>
    <w:rsid w:val="00E416D0"/>
    <w:rsid w:val="00E41894"/>
    <w:rsid w:val="00E45BD2"/>
    <w:rsid w:val="00E46764"/>
    <w:rsid w:val="00E4763B"/>
    <w:rsid w:val="00E500BF"/>
    <w:rsid w:val="00E50240"/>
    <w:rsid w:val="00E51726"/>
    <w:rsid w:val="00E52BF6"/>
    <w:rsid w:val="00E53BD4"/>
    <w:rsid w:val="00E61158"/>
    <w:rsid w:val="00E6348B"/>
    <w:rsid w:val="00E641BD"/>
    <w:rsid w:val="00E70F71"/>
    <w:rsid w:val="00E71502"/>
    <w:rsid w:val="00E73FBE"/>
    <w:rsid w:val="00E745FD"/>
    <w:rsid w:val="00E75E92"/>
    <w:rsid w:val="00E76231"/>
    <w:rsid w:val="00E7676F"/>
    <w:rsid w:val="00E8005B"/>
    <w:rsid w:val="00E81761"/>
    <w:rsid w:val="00E84049"/>
    <w:rsid w:val="00E84552"/>
    <w:rsid w:val="00E84B82"/>
    <w:rsid w:val="00E8750D"/>
    <w:rsid w:val="00E87D5D"/>
    <w:rsid w:val="00E90380"/>
    <w:rsid w:val="00E915D8"/>
    <w:rsid w:val="00E92D39"/>
    <w:rsid w:val="00E92FA5"/>
    <w:rsid w:val="00E96A04"/>
    <w:rsid w:val="00E97A6C"/>
    <w:rsid w:val="00E97CA5"/>
    <w:rsid w:val="00EA049F"/>
    <w:rsid w:val="00EA208E"/>
    <w:rsid w:val="00EA3282"/>
    <w:rsid w:val="00EA3E24"/>
    <w:rsid w:val="00EA3E99"/>
    <w:rsid w:val="00EA4E9E"/>
    <w:rsid w:val="00EA5623"/>
    <w:rsid w:val="00EA668D"/>
    <w:rsid w:val="00EA7CD3"/>
    <w:rsid w:val="00EB3745"/>
    <w:rsid w:val="00EB46D5"/>
    <w:rsid w:val="00EB5D68"/>
    <w:rsid w:val="00EC0323"/>
    <w:rsid w:val="00EC105D"/>
    <w:rsid w:val="00EC3997"/>
    <w:rsid w:val="00EC3CD6"/>
    <w:rsid w:val="00EC3F3C"/>
    <w:rsid w:val="00EC5FCF"/>
    <w:rsid w:val="00ED03DE"/>
    <w:rsid w:val="00ED2F31"/>
    <w:rsid w:val="00ED51CD"/>
    <w:rsid w:val="00EE004E"/>
    <w:rsid w:val="00EE0BF2"/>
    <w:rsid w:val="00EE11D7"/>
    <w:rsid w:val="00EE7645"/>
    <w:rsid w:val="00EE79EB"/>
    <w:rsid w:val="00EE7FB8"/>
    <w:rsid w:val="00EF49FE"/>
    <w:rsid w:val="00EF5CBC"/>
    <w:rsid w:val="00EF726A"/>
    <w:rsid w:val="00F00A75"/>
    <w:rsid w:val="00F016A5"/>
    <w:rsid w:val="00F06A66"/>
    <w:rsid w:val="00F11519"/>
    <w:rsid w:val="00F11D63"/>
    <w:rsid w:val="00F13BDF"/>
    <w:rsid w:val="00F22247"/>
    <w:rsid w:val="00F2285B"/>
    <w:rsid w:val="00F22AC9"/>
    <w:rsid w:val="00F22C21"/>
    <w:rsid w:val="00F24FFA"/>
    <w:rsid w:val="00F25499"/>
    <w:rsid w:val="00F26B34"/>
    <w:rsid w:val="00F273A8"/>
    <w:rsid w:val="00F3055E"/>
    <w:rsid w:val="00F306CC"/>
    <w:rsid w:val="00F30DF3"/>
    <w:rsid w:val="00F341C4"/>
    <w:rsid w:val="00F34CA7"/>
    <w:rsid w:val="00F40DCC"/>
    <w:rsid w:val="00F42190"/>
    <w:rsid w:val="00F42C77"/>
    <w:rsid w:val="00F60E22"/>
    <w:rsid w:val="00F63DC1"/>
    <w:rsid w:val="00F66272"/>
    <w:rsid w:val="00F66C88"/>
    <w:rsid w:val="00F70137"/>
    <w:rsid w:val="00F751CA"/>
    <w:rsid w:val="00F753E7"/>
    <w:rsid w:val="00F772B0"/>
    <w:rsid w:val="00F77DCB"/>
    <w:rsid w:val="00F80F48"/>
    <w:rsid w:val="00F821CA"/>
    <w:rsid w:val="00F86CB7"/>
    <w:rsid w:val="00F87B36"/>
    <w:rsid w:val="00F90D24"/>
    <w:rsid w:val="00F93B23"/>
    <w:rsid w:val="00F9526E"/>
    <w:rsid w:val="00F954FE"/>
    <w:rsid w:val="00F964A7"/>
    <w:rsid w:val="00F973D0"/>
    <w:rsid w:val="00FA025E"/>
    <w:rsid w:val="00FA2B6F"/>
    <w:rsid w:val="00FA43B7"/>
    <w:rsid w:val="00FA43FF"/>
    <w:rsid w:val="00FA4E46"/>
    <w:rsid w:val="00FB24DA"/>
    <w:rsid w:val="00FB353A"/>
    <w:rsid w:val="00FB39AF"/>
    <w:rsid w:val="00FB4A02"/>
    <w:rsid w:val="00FB4A83"/>
    <w:rsid w:val="00FB52CB"/>
    <w:rsid w:val="00FB6CE8"/>
    <w:rsid w:val="00FB7085"/>
    <w:rsid w:val="00FB7BBE"/>
    <w:rsid w:val="00FC09E6"/>
    <w:rsid w:val="00FD625D"/>
    <w:rsid w:val="00FE1567"/>
    <w:rsid w:val="00FE46D1"/>
    <w:rsid w:val="00FE56F0"/>
    <w:rsid w:val="00FE6137"/>
    <w:rsid w:val="00FF1C5C"/>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43F9"/>
    <w:pPr>
      <w:overflowPunct w:val="0"/>
      <w:autoSpaceDE w:val="0"/>
      <w:autoSpaceDN w:val="0"/>
      <w:adjustRightInd w:val="0"/>
      <w:spacing w:after="0" w:line="600" w:lineRule="exact"/>
      <w:textAlignment w:val="baseline"/>
    </w:pPr>
    <w:rPr>
      <w:rFonts w:ascii="Times New Roman" w:eastAsia="Times New Roman" w:hAnsi="Times New Roman" w:cs="Times New Roman"/>
      <w:kern w:val="0"/>
      <w:sz w:val="26"/>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C43F9"/>
    <w:pPr>
      <w:spacing w:line="240" w:lineRule="auto"/>
    </w:pPr>
  </w:style>
  <w:style w:type="character" w:customStyle="1" w:styleId="FootnoteTextChar">
    <w:name w:val="Footnote Text Char"/>
    <w:basedOn w:val="DefaultParagraphFont"/>
    <w:link w:val="FootnoteText"/>
    <w:rsid w:val="000C43F9"/>
    <w:rPr>
      <w:rFonts w:ascii="Times New Roman" w:eastAsia="Times New Roman" w:hAnsi="Times New Roman" w:cs="Times New Roman"/>
      <w:kern w:val="0"/>
      <w:sz w:val="26"/>
      <w:szCs w:val="20"/>
      <w14:ligatures w14:val="none"/>
    </w:rPr>
  </w:style>
  <w:style w:type="character" w:styleId="FootnoteReference">
    <w:name w:val="footnote reference"/>
    <w:basedOn w:val="DefaultParagraphFont"/>
    <w:rsid w:val="000C43F9"/>
    <w:rPr>
      <w:rFonts w:ascii="Times New Roman" w:hAnsi="Times New Roman"/>
      <w:b/>
      <w:kern w:val="0"/>
      <w:position w:val="8"/>
      <w:sz w:val="20"/>
      <w:vertAlign w:val="baseline"/>
    </w:rPr>
  </w:style>
  <w:style w:type="paragraph" w:styleId="Header">
    <w:name w:val="header"/>
    <w:basedOn w:val="Normal"/>
    <w:link w:val="HeaderChar"/>
    <w:uiPriority w:val="99"/>
    <w:unhideWhenUsed/>
    <w:rsid w:val="000C43F9"/>
    <w:pPr>
      <w:tabs>
        <w:tab w:val="center" w:pos="4680"/>
        <w:tab w:val="right" w:pos="9360"/>
      </w:tabs>
      <w:spacing w:line="240" w:lineRule="auto"/>
    </w:pPr>
  </w:style>
  <w:style w:type="character" w:customStyle="1" w:styleId="HeaderChar">
    <w:name w:val="Header Char"/>
    <w:basedOn w:val="DefaultParagraphFont"/>
    <w:link w:val="Header"/>
    <w:uiPriority w:val="99"/>
    <w:rsid w:val="000C43F9"/>
    <w:rPr>
      <w:rFonts w:ascii="Times New Roman" w:eastAsia="Times New Roman" w:hAnsi="Times New Roman" w:cs="Times New Roman"/>
      <w:kern w:val="0"/>
      <w:sz w:val="26"/>
      <w:szCs w:val="20"/>
      <w14:ligatures w14:val="none"/>
    </w:rPr>
  </w:style>
  <w:style w:type="paragraph" w:styleId="Footer">
    <w:name w:val="footer"/>
    <w:basedOn w:val="Normal"/>
    <w:link w:val="FooterChar"/>
    <w:uiPriority w:val="99"/>
    <w:unhideWhenUsed/>
    <w:rsid w:val="000C43F9"/>
    <w:pPr>
      <w:tabs>
        <w:tab w:val="center" w:pos="4680"/>
        <w:tab w:val="right" w:pos="9360"/>
      </w:tabs>
      <w:spacing w:line="240" w:lineRule="auto"/>
    </w:pPr>
  </w:style>
  <w:style w:type="character" w:customStyle="1" w:styleId="FooterChar">
    <w:name w:val="Footer Char"/>
    <w:basedOn w:val="DefaultParagraphFont"/>
    <w:link w:val="Footer"/>
    <w:uiPriority w:val="99"/>
    <w:rsid w:val="000C43F9"/>
    <w:rPr>
      <w:rFonts w:ascii="Times New Roman" w:eastAsia="Times New Roman" w:hAnsi="Times New Roman" w:cs="Times New Roman"/>
      <w:kern w:val="0"/>
      <w:sz w:val="26"/>
      <w:szCs w:val="20"/>
      <w14:ligatures w14:val="none"/>
    </w:rPr>
  </w:style>
  <w:style w:type="paragraph" w:styleId="ListParagraph">
    <w:name w:val="List Paragraph"/>
    <w:basedOn w:val="Normal"/>
    <w:uiPriority w:val="34"/>
    <w:qFormat/>
    <w:rsid w:val="0030449D"/>
    <w:pPr>
      <w:ind w:left="720"/>
      <w:contextualSpacing/>
    </w:pPr>
  </w:style>
  <w:style w:type="paragraph" w:styleId="Revision">
    <w:name w:val="Revision"/>
    <w:hidden/>
    <w:uiPriority w:val="99"/>
    <w:semiHidden/>
    <w:rsid w:val="00561936"/>
    <w:pPr>
      <w:spacing w:after="0" w:line="240" w:lineRule="auto"/>
    </w:pPr>
    <w:rPr>
      <w:rFonts w:ascii="Times New Roman" w:eastAsia="Times New Roman" w:hAnsi="Times New Roman" w:cs="Times New Roman"/>
      <w:kern w:val="0"/>
      <w:sz w:val="26"/>
      <w:szCs w:val="20"/>
      <w14:ligatures w14:val="none"/>
    </w:rPr>
  </w:style>
  <w:style w:type="character" w:styleId="CommentReference">
    <w:name w:val="annotation reference"/>
    <w:basedOn w:val="DefaultParagraphFont"/>
    <w:uiPriority w:val="99"/>
    <w:semiHidden/>
    <w:unhideWhenUsed/>
    <w:rsid w:val="00323042"/>
    <w:rPr>
      <w:sz w:val="16"/>
      <w:szCs w:val="16"/>
    </w:rPr>
  </w:style>
  <w:style w:type="paragraph" w:styleId="CommentText">
    <w:name w:val="annotation text"/>
    <w:basedOn w:val="Normal"/>
    <w:link w:val="CommentTextChar"/>
    <w:uiPriority w:val="99"/>
    <w:semiHidden/>
    <w:unhideWhenUsed/>
    <w:rsid w:val="00323042"/>
    <w:pPr>
      <w:spacing w:line="240" w:lineRule="auto"/>
    </w:pPr>
    <w:rPr>
      <w:sz w:val="20"/>
    </w:rPr>
  </w:style>
  <w:style w:type="character" w:customStyle="1" w:styleId="CommentTextChar">
    <w:name w:val="Comment Text Char"/>
    <w:basedOn w:val="DefaultParagraphFont"/>
    <w:link w:val="CommentText"/>
    <w:uiPriority w:val="99"/>
    <w:semiHidden/>
    <w:rsid w:val="0032304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23042"/>
    <w:rPr>
      <w:b/>
      <w:bCs/>
    </w:rPr>
  </w:style>
  <w:style w:type="character" w:customStyle="1" w:styleId="CommentSubjectChar">
    <w:name w:val="Comment Subject Char"/>
    <w:basedOn w:val="CommentTextChar"/>
    <w:link w:val="CommentSubject"/>
    <w:uiPriority w:val="99"/>
    <w:semiHidden/>
    <w:rsid w:val="00323042"/>
    <w:rPr>
      <w:rFonts w:ascii="Times New Roman" w:eastAsia="Times New Roman" w:hAnsi="Times New Roman" w:cs="Times New Roman"/>
      <w:b/>
      <w:bCs/>
      <w:kern w:val="0"/>
      <w:sz w:val="20"/>
      <w:szCs w:val="20"/>
      <w14:ligatures w14:val="none"/>
    </w:rPr>
  </w:style>
  <w:style w:type="table" w:styleId="TableGrid">
    <w:name w:val="Table Grid"/>
    <w:basedOn w:val="TableNormal"/>
    <w:uiPriority w:val="39"/>
    <w:rsid w:val="000B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Page1">
    <w:name w:val="Sig.Page.1"/>
    <w:basedOn w:val="Normal"/>
    <w:rsid w:val="0069163A"/>
    <w:pPr>
      <w:tabs>
        <w:tab w:val="left" w:pos="2880"/>
      </w:tabs>
      <w:suppressAutoHyphens/>
      <w:spacing w:line="240" w:lineRule="auto"/>
    </w:pPr>
    <w:rPr>
      <w:rFonts w:ascii="Courier" w:hAnsi="Courier"/>
      <w:sz w:val="24"/>
    </w:rPr>
  </w:style>
  <w:style w:type="paragraph" w:customStyle="1" w:styleId="SigPage2">
    <w:name w:val="Sig.Page.2"/>
    <w:basedOn w:val="SigPage1"/>
    <w:rsid w:val="0069163A"/>
    <w:pPr>
      <w:tabs>
        <w:tab w:val="right" w:pos="2880"/>
      </w:tabs>
    </w:pPr>
  </w:style>
  <w:style w:type="character" w:styleId="Hyperlink">
    <w:name w:val="Hyperlink"/>
    <w:basedOn w:val="DefaultParagraphFont"/>
    <w:uiPriority w:val="99"/>
    <w:unhideWhenUsed/>
    <w:rsid w:val="00706288"/>
    <w:rPr>
      <w:color w:val="0563C1" w:themeColor="hyperlink"/>
      <w:u w:val="single"/>
    </w:rPr>
  </w:style>
  <w:style w:type="character" w:customStyle="1" w:styleId="UnresolvedMention1">
    <w:name w:val="Unresolved Mention1"/>
    <w:basedOn w:val="DefaultParagraphFont"/>
    <w:uiPriority w:val="99"/>
    <w:semiHidden/>
    <w:unhideWhenUsed/>
    <w:rsid w:val="00706288"/>
    <w:rPr>
      <w:color w:val="605E5C"/>
      <w:shd w:val="clear" w:color="auto" w:fill="E1DFDD"/>
    </w:rPr>
  </w:style>
  <w:style w:type="character" w:styleId="FollowedHyperlink">
    <w:name w:val="FollowedHyperlink"/>
    <w:basedOn w:val="DefaultParagraphFont"/>
    <w:uiPriority w:val="99"/>
    <w:semiHidden/>
    <w:unhideWhenUsed/>
    <w:rsid w:val="0011607C"/>
    <w:rPr>
      <w:color w:val="954F72" w:themeColor="followedHyperlink"/>
      <w:u w:val="single"/>
    </w:rPr>
  </w:style>
  <w:style w:type="character" w:styleId="PageNumber">
    <w:name w:val="page number"/>
    <w:basedOn w:val="DefaultParagraphFont"/>
    <w:uiPriority w:val="99"/>
    <w:semiHidden/>
    <w:unhideWhenUsed/>
    <w:rsid w:val="004C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1351-E325-4833-A751-76248ACB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8659</Words>
  <Characters>44944</Characters>
  <Application>Microsoft Office Word</Application>
  <DocSecurity>0</DocSecurity>
  <Lines>724</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2023-09-28T20:13:00Z</dcterms:created>
  <dcterms:modified xsi:type="dcterms:W3CDTF">2023-09-28T20:13:00Z</dcterms:modified>
</cp:coreProperties>
</file>