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1D349" w14:textId="0D0A73CF" w:rsidR="007D214A" w:rsidRPr="007D32AD" w:rsidRDefault="00845A1D" w:rsidP="00663BA8">
      <w:pPr>
        <w:spacing w:line="240" w:lineRule="auto"/>
        <w:jc w:val="center"/>
        <w:rPr>
          <w:sz w:val="20"/>
        </w:rPr>
      </w:pPr>
      <w:bookmarkStart w:id="0" w:name="PublicationStatus"/>
      <w:r>
        <w:rPr>
          <w:sz w:val="20"/>
        </w:rPr>
        <w:t>Filed 6/16/21</w:t>
      </w:r>
      <w:r w:rsidR="00663BA8" w:rsidRPr="00CA0A36">
        <w:rPr>
          <w:sz w:val="20"/>
        </w:rPr>
        <w:t>; REVIEW GRANTED.  See Cal. Rules of Court, rules 8.1105 and 8.1115 (and corresponding Comment, par. 2, concerning rule 8.1115(e)(3)).</w:t>
      </w:r>
    </w:p>
    <w:p w14:paraId="0DB37EB3" w14:textId="77777777" w:rsidR="007D214A" w:rsidRDefault="007D214A" w:rsidP="006C3662">
      <w:pPr>
        <w:spacing w:line="240" w:lineRule="auto"/>
        <w:jc w:val="center"/>
        <w:rPr>
          <w:b/>
          <w:u w:val="single"/>
        </w:rPr>
      </w:pPr>
    </w:p>
    <w:p w14:paraId="3A105113" w14:textId="77777777" w:rsidR="007D214A" w:rsidRDefault="007D214A" w:rsidP="006C3662">
      <w:pPr>
        <w:spacing w:line="240" w:lineRule="auto"/>
        <w:jc w:val="center"/>
        <w:rPr>
          <w:b/>
          <w:u w:val="single"/>
        </w:rPr>
      </w:pPr>
    </w:p>
    <w:p w14:paraId="1F031AA6" w14:textId="77777777" w:rsidR="007D214A" w:rsidRDefault="007D214A" w:rsidP="006C3662">
      <w:pPr>
        <w:spacing w:line="240" w:lineRule="auto"/>
        <w:jc w:val="center"/>
        <w:rPr>
          <w:b/>
          <w:u w:val="single"/>
        </w:rPr>
      </w:pPr>
    </w:p>
    <w:p w14:paraId="5522167D" w14:textId="77777777" w:rsidR="006811D4" w:rsidRDefault="00845A1D" w:rsidP="006C3662">
      <w:pPr>
        <w:spacing w:line="240" w:lineRule="auto"/>
        <w:jc w:val="center"/>
      </w:pPr>
      <w:r>
        <w:rPr>
          <w:b/>
          <w:u w:val="single"/>
        </w:rPr>
        <w:t>CERTIFIED FOR PUBLICATION</w:t>
      </w:r>
      <w:bookmarkEnd w:id="0"/>
    </w:p>
    <w:p w14:paraId="17C59E7E" w14:textId="77777777" w:rsidR="006C3662" w:rsidRDefault="006C3662" w:rsidP="006C3662">
      <w:pPr>
        <w:spacing w:line="240" w:lineRule="auto"/>
        <w:jc w:val="center"/>
      </w:pPr>
    </w:p>
    <w:p w14:paraId="135DFC87" w14:textId="77777777" w:rsidR="006C3662" w:rsidRDefault="00845A1D" w:rsidP="006C3662">
      <w:pPr>
        <w:spacing w:before="240" w:line="240" w:lineRule="auto"/>
        <w:jc w:val="center"/>
      </w:pPr>
      <w:r>
        <w:t>IN THE COURT OF APPEAL OF THE STATE OF CALIFORNIA</w:t>
      </w:r>
    </w:p>
    <w:p w14:paraId="17AD75BA" w14:textId="77777777" w:rsidR="006C3662" w:rsidRDefault="00845A1D" w:rsidP="006C3662">
      <w:pPr>
        <w:spacing w:before="240" w:line="240" w:lineRule="auto"/>
        <w:jc w:val="center"/>
      </w:pPr>
      <w:r>
        <w:t>FIFTH APPELLATE DISTRICT</w:t>
      </w:r>
    </w:p>
    <w:p w14:paraId="748A1A43" w14:textId="77777777" w:rsidR="006C3662" w:rsidRDefault="006C3662" w:rsidP="006C3662">
      <w:pPr>
        <w:spacing w:line="240" w:lineRule="auto"/>
        <w:jc w:val="center"/>
      </w:pPr>
    </w:p>
    <w:tbl>
      <w:tblPr>
        <w:tblW w:w="9504" w:type="dxa"/>
        <w:tblLayout w:type="fixed"/>
        <w:tblLook w:val="0000" w:firstRow="0" w:lastRow="0" w:firstColumn="0" w:lastColumn="0" w:noHBand="0" w:noVBand="0"/>
      </w:tblPr>
      <w:tblGrid>
        <w:gridCol w:w="5400"/>
        <w:gridCol w:w="4104"/>
      </w:tblGrid>
      <w:tr w:rsidR="003F5E74" w14:paraId="4ECC8B01" w14:textId="77777777" w:rsidTr="006811D4">
        <w:tc>
          <w:tcPr>
            <w:tcW w:w="5400" w:type="dxa"/>
            <w:tcBorders>
              <w:bottom w:val="single" w:sz="6" w:space="0" w:color="auto"/>
              <w:right w:val="single" w:sz="6" w:space="0" w:color="auto"/>
            </w:tcBorders>
            <w:shd w:val="clear" w:color="auto" w:fill="auto"/>
          </w:tcPr>
          <w:p w14:paraId="711E774B" w14:textId="77777777" w:rsidR="006811D4" w:rsidRDefault="00845A1D" w:rsidP="006811D4">
            <w:pPr>
              <w:spacing w:line="240" w:lineRule="auto"/>
            </w:pPr>
            <w:r>
              <w:t>THE PEOPLE,</w:t>
            </w:r>
          </w:p>
          <w:p w14:paraId="38D37B4C" w14:textId="77777777" w:rsidR="006811D4" w:rsidRDefault="006811D4" w:rsidP="006811D4">
            <w:pPr>
              <w:spacing w:line="240" w:lineRule="auto"/>
            </w:pPr>
          </w:p>
          <w:p w14:paraId="242DE09D" w14:textId="77777777" w:rsidR="006811D4" w:rsidRDefault="00845A1D" w:rsidP="006811D4">
            <w:pPr>
              <w:spacing w:line="240" w:lineRule="auto"/>
              <w:ind w:left="720"/>
            </w:pPr>
            <w:r>
              <w:t>Plaintiff and Respondent,</w:t>
            </w:r>
          </w:p>
          <w:p w14:paraId="0F0E9DE3" w14:textId="77777777" w:rsidR="006811D4" w:rsidRDefault="006811D4" w:rsidP="006811D4">
            <w:pPr>
              <w:spacing w:line="240" w:lineRule="auto"/>
            </w:pPr>
          </w:p>
          <w:p w14:paraId="3ECBBF71" w14:textId="77777777" w:rsidR="006811D4" w:rsidRDefault="00845A1D" w:rsidP="006811D4">
            <w:pPr>
              <w:spacing w:line="240" w:lineRule="auto"/>
            </w:pPr>
            <w:r>
              <w:tab/>
            </w:r>
            <w:r>
              <w:tab/>
              <w:t>v.</w:t>
            </w:r>
          </w:p>
          <w:p w14:paraId="297C31D0" w14:textId="77777777" w:rsidR="006811D4" w:rsidRDefault="006811D4" w:rsidP="006811D4">
            <w:pPr>
              <w:spacing w:line="240" w:lineRule="auto"/>
            </w:pPr>
          </w:p>
          <w:p w14:paraId="1C8FB149" w14:textId="77777777" w:rsidR="006811D4" w:rsidRDefault="00845A1D" w:rsidP="006811D4">
            <w:pPr>
              <w:spacing w:line="240" w:lineRule="auto"/>
            </w:pPr>
            <w:r>
              <w:t>LAWRENCE SIMMONS,</w:t>
            </w:r>
          </w:p>
          <w:p w14:paraId="4F910440" w14:textId="77777777" w:rsidR="006811D4" w:rsidRDefault="006811D4" w:rsidP="006811D4">
            <w:pPr>
              <w:spacing w:line="240" w:lineRule="auto"/>
            </w:pPr>
          </w:p>
          <w:p w14:paraId="095CF713" w14:textId="77777777" w:rsidR="006811D4" w:rsidRDefault="00845A1D" w:rsidP="006811D4">
            <w:pPr>
              <w:spacing w:line="240" w:lineRule="auto"/>
              <w:ind w:left="720"/>
            </w:pPr>
            <w:r>
              <w:t>Defendant and Appellant.</w:t>
            </w:r>
          </w:p>
          <w:p w14:paraId="4E7F55FD" w14:textId="77777777" w:rsidR="006811D4" w:rsidRDefault="006811D4" w:rsidP="006811D4">
            <w:pPr>
              <w:spacing w:line="240" w:lineRule="auto"/>
            </w:pPr>
          </w:p>
        </w:tc>
        <w:tc>
          <w:tcPr>
            <w:tcW w:w="4104" w:type="dxa"/>
            <w:tcBorders>
              <w:left w:val="single" w:sz="6" w:space="0" w:color="auto"/>
            </w:tcBorders>
          </w:tcPr>
          <w:p w14:paraId="0612ACB2" w14:textId="77777777" w:rsidR="006811D4" w:rsidRDefault="006811D4" w:rsidP="006811D4">
            <w:pPr>
              <w:spacing w:line="240" w:lineRule="auto"/>
              <w:jc w:val="center"/>
            </w:pPr>
          </w:p>
          <w:p w14:paraId="1577DDB7" w14:textId="77777777" w:rsidR="006811D4" w:rsidRDefault="00845A1D" w:rsidP="006811D4">
            <w:pPr>
              <w:spacing w:line="240" w:lineRule="auto"/>
              <w:jc w:val="center"/>
            </w:pPr>
            <w:r>
              <w:t>F079610</w:t>
            </w:r>
          </w:p>
          <w:p w14:paraId="32818009" w14:textId="77777777" w:rsidR="006811D4" w:rsidRDefault="006811D4" w:rsidP="006811D4">
            <w:pPr>
              <w:spacing w:line="240" w:lineRule="auto"/>
              <w:jc w:val="center"/>
            </w:pPr>
          </w:p>
          <w:p w14:paraId="2D19A8D8" w14:textId="77777777" w:rsidR="006811D4" w:rsidRDefault="00845A1D" w:rsidP="006811D4">
            <w:pPr>
              <w:spacing w:line="240" w:lineRule="auto"/>
              <w:jc w:val="center"/>
            </w:pPr>
            <w:r>
              <w:t xml:space="preserve">(Super. Ct. No. </w:t>
            </w:r>
            <w:r>
              <w:t>CF94520777)</w:t>
            </w:r>
          </w:p>
          <w:p w14:paraId="4C6F3C90" w14:textId="77777777" w:rsidR="006811D4" w:rsidRDefault="006811D4" w:rsidP="006811D4">
            <w:pPr>
              <w:spacing w:line="240" w:lineRule="auto"/>
              <w:jc w:val="center"/>
            </w:pPr>
          </w:p>
          <w:p w14:paraId="62732ED6" w14:textId="77777777" w:rsidR="006811D4" w:rsidRDefault="006811D4" w:rsidP="006811D4">
            <w:pPr>
              <w:spacing w:line="240" w:lineRule="auto"/>
              <w:jc w:val="center"/>
            </w:pPr>
          </w:p>
          <w:p w14:paraId="77D8AF5D" w14:textId="77777777" w:rsidR="006811D4" w:rsidRPr="006C3662" w:rsidRDefault="00845A1D" w:rsidP="006811D4">
            <w:pPr>
              <w:spacing w:line="240" w:lineRule="auto"/>
              <w:jc w:val="center"/>
              <w:rPr>
                <w:sz w:val="30"/>
              </w:rPr>
            </w:pPr>
            <w:r w:rsidRPr="006C3662">
              <w:rPr>
                <w:b/>
                <w:sz w:val="30"/>
              </w:rPr>
              <w:t>OPINION</w:t>
            </w:r>
          </w:p>
        </w:tc>
      </w:tr>
    </w:tbl>
    <w:p w14:paraId="17FD87E6" w14:textId="77777777" w:rsidR="006811D4" w:rsidRDefault="006811D4" w:rsidP="006811D4"/>
    <w:p w14:paraId="7453308F" w14:textId="77777777" w:rsidR="00BD5A36" w:rsidRDefault="00845A1D" w:rsidP="00BD5A36">
      <w:r>
        <w:tab/>
        <w:t>APPEAL from a judgment of the Superior Court of Fresno County.  Alan M. Simpson, Judge.</w:t>
      </w:r>
    </w:p>
    <w:p w14:paraId="367ACC05" w14:textId="77777777" w:rsidR="00BD5A36" w:rsidRDefault="00845A1D" w:rsidP="00BD5A36">
      <w:r>
        <w:tab/>
        <w:t>Kendall Dawson Wasley, under appointment by the Court of Appeal, for Defendant and Appellant.</w:t>
      </w:r>
    </w:p>
    <w:p w14:paraId="1FF1AF37" w14:textId="77777777" w:rsidR="006811D4" w:rsidRDefault="00845A1D" w:rsidP="00BD5A36">
      <w:r>
        <w:tab/>
        <w:t>Xavier Becerra, Attorney General, Lance E. Wint</w:t>
      </w:r>
      <w:r>
        <w:t>ers, Chief Assistant Attorney General, Michael P. Farrell, Assistant Attorney General, Lewis A. Martinez, Christina Simpson, and Louis M. Vasquez, Deputy Attorneys General, for Plaintiff and Respondent.</w:t>
      </w:r>
    </w:p>
    <w:p w14:paraId="15DB8AD4" w14:textId="77777777" w:rsidR="006811D4" w:rsidRDefault="00845A1D" w:rsidP="006811D4">
      <w:pPr>
        <w:jc w:val="center"/>
      </w:pPr>
      <w:r>
        <w:t>-ooOoo-</w:t>
      </w:r>
    </w:p>
    <w:p w14:paraId="2269A32F" w14:textId="77777777" w:rsidR="00361A95" w:rsidRPr="0010561D" w:rsidRDefault="00845A1D" w:rsidP="00272578">
      <w:pPr>
        <w:pStyle w:val="ToJustices"/>
        <w:jc w:val="center"/>
        <w:rPr>
          <w:b/>
          <w:bCs/>
          <w:u w:val="single"/>
        </w:rPr>
      </w:pPr>
      <w:r>
        <w:br w:type="column"/>
      </w:r>
      <w:r w:rsidRPr="0010561D">
        <w:rPr>
          <w:b/>
          <w:bCs/>
          <w:u w:val="single"/>
        </w:rPr>
        <w:lastRenderedPageBreak/>
        <w:t>INTRODUCTION</w:t>
      </w:r>
    </w:p>
    <w:p w14:paraId="49A61671" w14:textId="77777777" w:rsidR="00361A95" w:rsidRDefault="00845A1D" w:rsidP="00D726A8">
      <w:pPr>
        <w:rPr>
          <w:bCs/>
        </w:rPr>
      </w:pPr>
      <w:r>
        <w:rPr>
          <w:b/>
        </w:rPr>
        <w:tab/>
      </w:r>
      <w:r>
        <w:rPr>
          <w:bCs/>
        </w:rPr>
        <w:t>In 1995, a jury convicted peti</w:t>
      </w:r>
      <w:r>
        <w:rPr>
          <w:bCs/>
        </w:rPr>
        <w:t xml:space="preserve">tioner Lawrence Simmons of first degree felony murder </w:t>
      </w:r>
      <w:r w:rsidRPr="00F80588">
        <w:rPr>
          <w:bCs/>
        </w:rPr>
        <w:t>(Pen. Code,</w:t>
      </w:r>
      <w:r>
        <w:rPr>
          <w:rStyle w:val="FootnoteReference"/>
          <w:bCs/>
        </w:rPr>
        <w:footnoteReference w:id="1"/>
      </w:r>
      <w:r w:rsidRPr="00F80588">
        <w:rPr>
          <w:bCs/>
        </w:rPr>
        <w:t xml:space="preserve"> § 187),</w:t>
      </w:r>
      <w:r>
        <w:rPr>
          <w:bCs/>
        </w:rPr>
        <w:t xml:space="preserve"> with the special circumstance that petitioner was engaged in the commission and attempted commission of a robbery at the time the murder was </w:t>
      </w:r>
      <w:r w:rsidRPr="00F80588">
        <w:rPr>
          <w:bCs/>
        </w:rPr>
        <w:t xml:space="preserve">committed (§§ 190.2, subd. (a)(17)(A), </w:t>
      </w:r>
      <w:r w:rsidRPr="00F80588">
        <w:rPr>
          <w:bCs/>
        </w:rPr>
        <w:t>211).</w:t>
      </w:r>
      <w:r>
        <w:rPr>
          <w:rStyle w:val="FootnoteReference"/>
          <w:bCs/>
        </w:rPr>
        <w:footnoteReference w:id="2"/>
      </w:r>
      <w:r>
        <w:rPr>
          <w:bCs/>
        </w:rPr>
        <w:t xml:space="preserve">  For this offense, he was sentenced to a term of life without the possibility of parole.  </w:t>
      </w:r>
    </w:p>
    <w:p w14:paraId="03B7DB20" w14:textId="77777777" w:rsidR="00361A95" w:rsidRDefault="00845A1D" w:rsidP="0035616E">
      <w:pPr>
        <w:ind w:firstLine="720"/>
        <w:rPr>
          <w:bCs/>
        </w:rPr>
      </w:pPr>
      <w:r>
        <w:rPr>
          <w:bCs/>
        </w:rPr>
        <w:t xml:space="preserve">In 2019, petitioner filed petitions for resentencing pursuant </w:t>
      </w:r>
      <w:r w:rsidRPr="00F80588">
        <w:rPr>
          <w:bCs/>
        </w:rPr>
        <w:t>to section 1170.95.  The court summarily denied the petitions on the ground that petitioner was a major participant in the underlying felony who acted with reckless indifference to human life, a disqualifying factor pursuant to section 1170.95, subdivision</w:t>
      </w:r>
      <w:r w:rsidRPr="00F80588">
        <w:rPr>
          <w:bCs/>
        </w:rPr>
        <w:t xml:space="preserve"> (a)(3).  </w:t>
      </w:r>
    </w:p>
    <w:p w14:paraId="3F5E0795" w14:textId="77777777" w:rsidR="00361A95" w:rsidRPr="00F80588" w:rsidRDefault="00845A1D" w:rsidP="005F479F">
      <w:pPr>
        <w:ind w:firstLine="720"/>
        <w:rPr>
          <w:bCs/>
        </w:rPr>
      </w:pPr>
      <w:r>
        <w:rPr>
          <w:bCs/>
        </w:rPr>
        <w:t xml:space="preserve">Petitioner appeals from the court’s denial of his petition.  He asserts that his petition was facially sufficient to establish that he fell within the provisions of </w:t>
      </w:r>
      <w:r w:rsidRPr="00F80588">
        <w:rPr>
          <w:bCs/>
        </w:rPr>
        <w:t>section 1170.95, and the court therefore erred in denying the petition without a</w:t>
      </w:r>
      <w:r w:rsidRPr="00F80588">
        <w:rPr>
          <w:bCs/>
        </w:rPr>
        <w:t xml:space="preserve">ppointing counsel or following the statutory procedures set forth in section 1170.95, subdivision (c).  </w:t>
      </w:r>
    </w:p>
    <w:p w14:paraId="1555B85F" w14:textId="77777777" w:rsidR="00361A95" w:rsidRDefault="00845A1D" w:rsidP="005F479F">
      <w:pPr>
        <w:ind w:firstLine="720"/>
        <w:rPr>
          <w:bCs/>
        </w:rPr>
      </w:pPr>
      <w:r w:rsidRPr="00F80588">
        <w:rPr>
          <w:bCs/>
        </w:rPr>
        <w:t>We conclude that any error in failing to appoint counsel or afford petitioner the other procedures outlined in section 1170.95, subdivision (c) was har</w:t>
      </w:r>
      <w:r w:rsidRPr="00F80588">
        <w:rPr>
          <w:bCs/>
        </w:rPr>
        <w:t>mless</w:t>
      </w:r>
      <w:r>
        <w:rPr>
          <w:bCs/>
        </w:rPr>
        <w:t>, because the record establishes petitioner is ineligible for resentencing as a matter of law.  Accordingly, we affirm.</w:t>
      </w:r>
    </w:p>
    <w:p w14:paraId="148ED4CE" w14:textId="77777777" w:rsidR="00361A95" w:rsidRDefault="00845A1D" w:rsidP="0082545A">
      <w:pPr>
        <w:jc w:val="center"/>
        <w:rPr>
          <w:b/>
          <w:u w:val="single"/>
        </w:rPr>
      </w:pPr>
      <w:r>
        <w:rPr>
          <w:b/>
          <w:u w:val="single"/>
        </w:rPr>
        <w:t>FACTUAL AND PROCEDURAL HISTORY</w:t>
      </w:r>
    </w:p>
    <w:p w14:paraId="46869078" w14:textId="77777777" w:rsidR="00361A95" w:rsidRDefault="00845A1D" w:rsidP="00526391">
      <w:pPr>
        <w:rPr>
          <w:bCs/>
        </w:rPr>
      </w:pPr>
      <w:r>
        <w:rPr>
          <w:bCs/>
        </w:rPr>
        <w:tab/>
        <w:t xml:space="preserve">On March 22, 1995, a jury convicted petitioner of first degree </w:t>
      </w:r>
      <w:r w:rsidRPr="00F80588">
        <w:rPr>
          <w:bCs/>
        </w:rPr>
        <w:t xml:space="preserve">murder (§ 187; count </w:t>
      </w:r>
      <w:r>
        <w:rPr>
          <w:bCs/>
        </w:rPr>
        <w:t>one</w:t>
      </w:r>
      <w:r w:rsidRPr="00F80588">
        <w:rPr>
          <w:bCs/>
        </w:rPr>
        <w:t>), with a sp</w:t>
      </w:r>
      <w:r w:rsidRPr="00F80588">
        <w:rPr>
          <w:bCs/>
        </w:rPr>
        <w:t xml:space="preserve">ecial circumstance that petitioner was engaged in the commission and attempted commission of a robbery (§§ 190.2, subd. (a)(17), 211); premeditated attempted murder (§§ 187, 664; count </w:t>
      </w:r>
      <w:r>
        <w:rPr>
          <w:bCs/>
        </w:rPr>
        <w:t>two</w:t>
      </w:r>
      <w:r w:rsidRPr="00F80588">
        <w:rPr>
          <w:bCs/>
        </w:rPr>
        <w:t>); and attempted second degree robbery (§§ 211,</w:t>
      </w:r>
      <w:r>
        <w:rPr>
          <w:bCs/>
        </w:rPr>
        <w:t xml:space="preserve"> </w:t>
      </w:r>
      <w:r w:rsidRPr="00F80588">
        <w:rPr>
          <w:bCs/>
        </w:rPr>
        <w:t xml:space="preserve">212.5, </w:t>
      </w:r>
      <w:r>
        <w:rPr>
          <w:bCs/>
        </w:rPr>
        <w:t xml:space="preserve">former </w:t>
      </w:r>
      <w:r w:rsidRPr="00F80588">
        <w:rPr>
          <w:bCs/>
        </w:rPr>
        <w:t xml:space="preserve">subd. </w:t>
      </w:r>
      <w:r w:rsidRPr="00F80588">
        <w:rPr>
          <w:bCs/>
        </w:rPr>
        <w:t xml:space="preserve">(b), 664; count </w:t>
      </w:r>
      <w:r>
        <w:rPr>
          <w:bCs/>
        </w:rPr>
        <w:t>three</w:t>
      </w:r>
      <w:r w:rsidRPr="00F80588">
        <w:rPr>
          <w:bCs/>
        </w:rPr>
        <w:t xml:space="preserve">).  As to each count, the jury found </w:t>
      </w:r>
      <w:r w:rsidRPr="00F80588">
        <w:rPr>
          <w:bCs/>
        </w:rPr>
        <w:lastRenderedPageBreak/>
        <w:t>petitioner was armed with a firearm.  (§ 12022, subd. (a)(1).)  In bifurcated proceedings, the court found petitioner had two prior serious felonies (§ 667, subd. (a)) and two prior strike convictio</w:t>
      </w:r>
      <w:r w:rsidRPr="00F80588">
        <w:rPr>
          <w:bCs/>
        </w:rPr>
        <w:t xml:space="preserve">ns (§ 667, subds. (b)-(i)).  On count </w:t>
      </w:r>
      <w:r>
        <w:rPr>
          <w:bCs/>
        </w:rPr>
        <w:t>one</w:t>
      </w:r>
      <w:r w:rsidRPr="00F80588">
        <w:rPr>
          <w:bCs/>
        </w:rPr>
        <w:t xml:space="preserve">, the court sentenced petitioner to life without the possibility of parole, plus one year for the arming enhancement and 10 years for the two prior serious felony enhancements.  On count </w:t>
      </w:r>
      <w:r>
        <w:rPr>
          <w:bCs/>
        </w:rPr>
        <w:t>two</w:t>
      </w:r>
      <w:r w:rsidRPr="00F80588">
        <w:rPr>
          <w:bCs/>
        </w:rPr>
        <w:t>, the court sentenced pet</w:t>
      </w:r>
      <w:r w:rsidRPr="00F80588">
        <w:rPr>
          <w:bCs/>
        </w:rPr>
        <w:t xml:space="preserve">itioner to life with the possibility of parole.  Sentence on count </w:t>
      </w:r>
      <w:r>
        <w:rPr>
          <w:bCs/>
        </w:rPr>
        <w:t>three</w:t>
      </w:r>
      <w:r w:rsidRPr="00F80588">
        <w:rPr>
          <w:bCs/>
        </w:rPr>
        <w:t xml:space="preserve"> was imposed and stayed pursuant to section 654.</w:t>
      </w:r>
      <w:r>
        <w:rPr>
          <w:rStyle w:val="FootnoteReference"/>
          <w:bCs/>
        </w:rPr>
        <w:footnoteReference w:id="3"/>
      </w:r>
      <w:r>
        <w:rPr>
          <w:bCs/>
        </w:rPr>
        <w:t xml:space="preserve">  </w:t>
      </w:r>
    </w:p>
    <w:p w14:paraId="336116D3" w14:textId="77777777" w:rsidR="00361A95" w:rsidRDefault="00845A1D" w:rsidP="00526391">
      <w:pPr>
        <w:rPr>
          <w:bCs/>
        </w:rPr>
      </w:pPr>
      <w:r>
        <w:rPr>
          <w:bCs/>
        </w:rPr>
        <w:tab/>
        <w:t xml:space="preserve">On January 9, 2019, petitioner filed a petition for resentencing pursuant </w:t>
      </w:r>
      <w:r w:rsidRPr="00F80588">
        <w:rPr>
          <w:bCs/>
        </w:rPr>
        <w:t xml:space="preserve">to section 1170.95.  On March 8, 2019, the People filed </w:t>
      </w:r>
      <w:r w:rsidRPr="00F80588">
        <w:rPr>
          <w:bCs/>
        </w:rPr>
        <w:t>an opposition, noting pet</w:t>
      </w:r>
      <w:r>
        <w:rPr>
          <w:bCs/>
        </w:rPr>
        <w:t xml:space="preserve">itioner’s defective service of the petition and arguing the jury’s finding on the robbery-murder special circumstance precluded him from making a prima facie showing that his conviction falls within the provisions </w:t>
      </w:r>
      <w:r w:rsidRPr="00F80588">
        <w:rPr>
          <w:bCs/>
        </w:rPr>
        <w:t>of section 1170.9</w:t>
      </w:r>
      <w:r w:rsidRPr="00F80588">
        <w:rPr>
          <w:bCs/>
        </w:rPr>
        <w:t>5.  In a separate motion to dismiss, the People argued section 1170.95 was unconstitutional.  On March 28, 2019, the court denied the petition without</w:t>
      </w:r>
      <w:r>
        <w:rPr>
          <w:bCs/>
        </w:rPr>
        <w:t xml:space="preserve"> prejudice due to defective service.  </w:t>
      </w:r>
    </w:p>
    <w:p w14:paraId="2EB55E37" w14:textId="77777777" w:rsidR="00361A95" w:rsidRDefault="00845A1D" w:rsidP="008B4499">
      <w:pPr>
        <w:ind w:firstLine="720"/>
        <w:rPr>
          <w:bCs/>
        </w:rPr>
      </w:pPr>
      <w:r>
        <w:rPr>
          <w:bCs/>
        </w:rPr>
        <w:t xml:space="preserve">On March 29, 2019, </w:t>
      </w:r>
      <w:r w:rsidRPr="00F80588">
        <w:rPr>
          <w:bCs/>
        </w:rPr>
        <w:t>petitioner filed a second petition for resentenc</w:t>
      </w:r>
      <w:r w:rsidRPr="00F80588">
        <w:rPr>
          <w:bCs/>
        </w:rPr>
        <w:t>ing pursuant to section 1170.95.  He th</w:t>
      </w:r>
      <w:r>
        <w:rPr>
          <w:bCs/>
        </w:rPr>
        <w:t>en filed a substantially similar petition on May 8, 2019.  In the form petitions, petitioner stated that a complaint, information, or indictment was filed against him that allowed him to be prosecuted under a theory o</w:t>
      </w:r>
      <w:r>
        <w:rPr>
          <w:bCs/>
        </w:rPr>
        <w:t>f felony murder; he was convicted of first or second degree murder at trial; and he was not the actual killer, did not act with an intent to kill, and was not a major participant in the underlying felony or did not act with reckless indifference to human l</w:t>
      </w:r>
      <w:r>
        <w:rPr>
          <w:bCs/>
        </w:rPr>
        <w:t xml:space="preserve">ife in the course of the crime.  </w:t>
      </w:r>
    </w:p>
    <w:p w14:paraId="7EEC3B58" w14:textId="77777777" w:rsidR="00361A95" w:rsidRDefault="00845A1D" w:rsidP="008B4499">
      <w:pPr>
        <w:ind w:firstLine="720"/>
        <w:rPr>
          <w:bCs/>
        </w:rPr>
      </w:pPr>
      <w:r>
        <w:rPr>
          <w:bCs/>
        </w:rPr>
        <w:t>On June 20, 2019, the court summarily denied the petition</w:t>
      </w:r>
      <w:r w:rsidR="00794259">
        <w:rPr>
          <w:bCs/>
        </w:rPr>
        <w:t>s</w:t>
      </w:r>
      <w:r>
        <w:rPr>
          <w:bCs/>
        </w:rPr>
        <w:t xml:space="preserve"> as follows:</w:t>
      </w:r>
    </w:p>
    <w:p w14:paraId="47AD973B" w14:textId="77777777" w:rsidR="00361A95" w:rsidRPr="00D50A04" w:rsidRDefault="00845A1D" w:rsidP="00777B13">
      <w:pPr>
        <w:pStyle w:val="IndentedQuote0"/>
        <w:ind w:firstLine="720"/>
      </w:pPr>
      <w:r>
        <w:lastRenderedPageBreak/>
        <w:t>“</w:t>
      </w:r>
      <w:r w:rsidRPr="00D50A04">
        <w:t>The Court is in receipt of Petitions for Resentencing filed March</w:t>
      </w:r>
      <w:r w:rsidR="001C2CB2">
        <w:t> </w:t>
      </w:r>
      <w:r w:rsidRPr="00D50A04">
        <w:t xml:space="preserve">29, 2019 and May 8, 2019. </w:t>
      </w:r>
      <w:r>
        <w:t xml:space="preserve"> </w:t>
      </w:r>
      <w:r w:rsidRPr="00D50A04">
        <w:t>The petitions are denied with</w:t>
      </w:r>
      <w:r>
        <w:t xml:space="preserve"> </w:t>
      </w:r>
      <w:r w:rsidRPr="00D50A04">
        <w:t xml:space="preserve">prejudice. </w:t>
      </w:r>
      <w:r>
        <w:t xml:space="preserve"> </w:t>
      </w:r>
      <w:r w:rsidRPr="00D50A04">
        <w:t>Petitioner</w:t>
      </w:r>
      <w:r>
        <w:t xml:space="preserve"> . . </w:t>
      </w:r>
      <w:r>
        <w:t xml:space="preserve">.  </w:t>
      </w:r>
      <w:r w:rsidRPr="00D50A04">
        <w:t>has failed to make a</w:t>
      </w:r>
      <w:r>
        <w:t xml:space="preserve"> </w:t>
      </w:r>
      <w:r w:rsidRPr="00D50A04">
        <w:t>prima facie showing that he falls within the provision</w:t>
      </w:r>
      <w:r>
        <w:t>s</w:t>
      </w:r>
      <w:r w:rsidRPr="00D50A04">
        <w:t xml:space="preserve"> of </w:t>
      </w:r>
      <w:r>
        <w:t xml:space="preserve">. . .  </w:t>
      </w:r>
      <w:r w:rsidRPr="00D50A04">
        <w:t xml:space="preserve">section 1170.95. </w:t>
      </w:r>
      <w:r>
        <w:t xml:space="preserve"> </w:t>
      </w:r>
      <w:r w:rsidRPr="00D50A04">
        <w:t xml:space="preserve">The </w:t>
      </w:r>
      <w:r>
        <w:t>c</w:t>
      </w:r>
      <w:r w:rsidRPr="00D50A04">
        <w:t xml:space="preserve">ondition set out </w:t>
      </w:r>
      <w:r>
        <w:t xml:space="preserve">at [section] </w:t>
      </w:r>
      <w:r w:rsidRPr="00D50A04">
        <w:t>1170.95</w:t>
      </w:r>
      <w:r>
        <w:t>[, subdivision ]</w:t>
      </w:r>
      <w:r w:rsidRPr="00D50A04">
        <w:t xml:space="preserve">(a)(3) does not apply. </w:t>
      </w:r>
      <w:r>
        <w:t xml:space="preserve"> </w:t>
      </w:r>
      <w:r w:rsidRPr="00D50A04">
        <w:t>As a major participant in</w:t>
      </w:r>
      <w:r>
        <w:t xml:space="preserve"> </w:t>
      </w:r>
      <w:r w:rsidRPr="00D50A04">
        <w:t>the crime of attempted robbery who acted</w:t>
      </w:r>
      <w:r w:rsidRPr="00D50A04">
        <w:t xml:space="preserve"> with deliberat</w:t>
      </w:r>
      <w:r>
        <w:t xml:space="preserve">e </w:t>
      </w:r>
      <w:r w:rsidRPr="00D50A04">
        <w:t xml:space="preserve">indifference to human life, </w:t>
      </w:r>
      <w:r>
        <w:t>P</w:t>
      </w:r>
      <w:r w:rsidRPr="00D50A04">
        <w:t>etitioner is not eligible for</w:t>
      </w:r>
      <w:r>
        <w:t xml:space="preserve"> </w:t>
      </w:r>
      <w:r w:rsidRPr="00D50A04">
        <w:t xml:space="preserve">resentencing. </w:t>
      </w:r>
      <w:r>
        <w:t xml:space="preserve"> </w:t>
      </w:r>
      <w:r w:rsidRPr="00D50A04">
        <w:t xml:space="preserve">[¶] </w:t>
      </w:r>
      <w:r>
        <w:t xml:space="preserve"> </w:t>
      </w:r>
      <w:r w:rsidRPr="00D50A04">
        <w:t>Petition is denied.</w:t>
      </w:r>
      <w:r>
        <w:t xml:space="preserve">”  </w:t>
      </w:r>
    </w:p>
    <w:p w14:paraId="698F7A70" w14:textId="77777777" w:rsidR="00361A95" w:rsidRDefault="00845A1D" w:rsidP="00526391">
      <w:pPr>
        <w:rPr>
          <w:bCs/>
        </w:rPr>
      </w:pPr>
      <w:r>
        <w:rPr>
          <w:bCs/>
        </w:rPr>
        <w:tab/>
        <w:t xml:space="preserve">This timely appeal followed.  </w:t>
      </w:r>
    </w:p>
    <w:p w14:paraId="405909E2" w14:textId="77777777" w:rsidR="00361A95" w:rsidRPr="00CA42DC" w:rsidRDefault="00845A1D" w:rsidP="000D0A60">
      <w:pPr>
        <w:jc w:val="center"/>
        <w:rPr>
          <w:b/>
          <w:u w:val="single"/>
        </w:rPr>
      </w:pPr>
      <w:r w:rsidRPr="00CA42DC">
        <w:rPr>
          <w:b/>
          <w:u w:val="single"/>
        </w:rPr>
        <w:t>DISCUSSION</w:t>
      </w:r>
    </w:p>
    <w:p w14:paraId="32DCEBDC" w14:textId="77777777" w:rsidR="00361A95" w:rsidRDefault="00845A1D" w:rsidP="004F5638">
      <w:pPr>
        <w:rPr>
          <w:b/>
        </w:rPr>
      </w:pPr>
      <w:r>
        <w:rPr>
          <w:b/>
        </w:rPr>
        <w:t>I.</w:t>
      </w:r>
      <w:r>
        <w:rPr>
          <w:b/>
        </w:rPr>
        <w:tab/>
      </w:r>
      <w:r w:rsidRPr="00F80588">
        <w:rPr>
          <w:b/>
        </w:rPr>
        <w:t>Senate Bill No. 1437</w:t>
      </w:r>
      <w:r>
        <w:rPr>
          <w:b/>
        </w:rPr>
        <w:t xml:space="preserve"> (2017-2018 Reg. Sess.)</w:t>
      </w:r>
      <w:r w:rsidRPr="00357488">
        <w:rPr>
          <w:b/>
        </w:rPr>
        <w:t xml:space="preserve"> </w:t>
      </w:r>
      <w:r w:rsidRPr="00F80588">
        <w:rPr>
          <w:b/>
        </w:rPr>
        <w:t>and Section 1170.95</w:t>
      </w:r>
      <w:r>
        <w:rPr>
          <w:b/>
        </w:rPr>
        <w:t xml:space="preserve">  </w:t>
      </w:r>
      <w:r>
        <w:rPr>
          <w:b/>
        </w:rPr>
        <w:tab/>
      </w:r>
    </w:p>
    <w:p w14:paraId="605118B5" w14:textId="77777777" w:rsidR="00361A95" w:rsidRPr="00F80588" w:rsidRDefault="00845A1D" w:rsidP="00CA0B81">
      <w:pPr>
        <w:ind w:firstLine="720"/>
        <w:rPr>
          <w:bCs/>
        </w:rPr>
      </w:pPr>
      <w:r w:rsidRPr="00CA0B81">
        <w:rPr>
          <w:bCs/>
        </w:rPr>
        <w:t>“</w:t>
      </w:r>
      <w:r>
        <w:rPr>
          <w:bCs/>
        </w:rPr>
        <w:t> </w:t>
      </w:r>
      <w:r w:rsidRPr="00CA0B81">
        <w:rPr>
          <w:bCs/>
        </w:rPr>
        <w:t xml:space="preserve">‘Effective January 1, 2019, Senate Bill [No.] 1437 amended murder liability under the felony-murder and natural and probable consequences </w:t>
      </w:r>
      <w:r w:rsidRPr="00F80588">
        <w:rPr>
          <w:bCs/>
        </w:rPr>
        <w:t>theories.’ ”  (</w:t>
      </w:r>
      <w:r w:rsidRPr="00F80588">
        <w:rPr>
          <w:bCs/>
          <w:i/>
          <w:iCs/>
        </w:rPr>
        <w:t>People v. Daniel</w:t>
      </w:r>
      <w:r w:rsidRPr="00F80588">
        <w:rPr>
          <w:bCs/>
        </w:rPr>
        <w:t xml:space="preserve"> (2020) 57 Cal.App.5th 666, 672, review granted Feb. 24, 2021, S266336 (</w:t>
      </w:r>
      <w:r w:rsidRPr="00F80588">
        <w:rPr>
          <w:bCs/>
          <w:i/>
          <w:iCs/>
        </w:rPr>
        <w:t>Daniel</w:t>
      </w:r>
      <w:r w:rsidRPr="00F80588">
        <w:rPr>
          <w:bCs/>
        </w:rPr>
        <w:t xml:space="preserve">).)  The </w:t>
      </w:r>
      <w:r w:rsidRPr="00F80588">
        <w:rPr>
          <w:bCs/>
        </w:rPr>
        <w:t>bill accomplished this task by adding three separate provisions to the Penal Code.  (</w:t>
      </w:r>
      <w:r w:rsidRPr="00F80588">
        <w:rPr>
          <w:bCs/>
          <w:i/>
          <w:iCs/>
        </w:rPr>
        <w:t>People v. Gentile</w:t>
      </w:r>
      <w:r w:rsidRPr="00F80588">
        <w:rPr>
          <w:bCs/>
        </w:rPr>
        <w:t xml:space="preserve"> (2020) 10 Cal.5th 830, 842 (</w:t>
      </w:r>
      <w:r w:rsidRPr="00F80588">
        <w:rPr>
          <w:bCs/>
          <w:i/>
          <w:iCs/>
        </w:rPr>
        <w:t>Gentile</w:t>
      </w:r>
      <w:r w:rsidRPr="00F80588">
        <w:rPr>
          <w:bCs/>
        </w:rPr>
        <w:t>).)  First</w:t>
      </w:r>
      <w:r>
        <w:rPr>
          <w:bCs/>
        </w:rPr>
        <w:t>, to amend the natural and probable consequences doctrine, “ ‘[t]</w:t>
      </w:r>
      <w:r w:rsidRPr="00CA0B81">
        <w:rPr>
          <w:bCs/>
        </w:rPr>
        <w:t xml:space="preserve">he bill redefined malice under section 188 </w:t>
      </w:r>
      <w:r w:rsidRPr="00CA0B81">
        <w:rPr>
          <w:bCs/>
        </w:rPr>
        <w:t>to require that the principal acted with malice aforethought.  Now, “[m]alice shall not be imputed to a person based solely on his or her participation in a crime.”  (§</w:t>
      </w:r>
      <w:r>
        <w:rPr>
          <w:bCs/>
        </w:rPr>
        <w:t> </w:t>
      </w:r>
      <w:r w:rsidRPr="00CA0B81">
        <w:rPr>
          <w:bCs/>
        </w:rPr>
        <w:t>188, subd. (a)(3).)’</w:t>
      </w:r>
      <w:r>
        <w:rPr>
          <w:bCs/>
        </w:rPr>
        <w:t> </w:t>
      </w:r>
      <w:r w:rsidRPr="00CA0B81">
        <w:rPr>
          <w:bCs/>
        </w:rPr>
        <w:t>”</w:t>
      </w:r>
      <w:r>
        <w:rPr>
          <w:bCs/>
        </w:rPr>
        <w:t xml:space="preserve">  </w:t>
      </w:r>
      <w:r w:rsidRPr="00F80588">
        <w:rPr>
          <w:bCs/>
        </w:rPr>
        <w:t>(</w:t>
      </w:r>
      <w:r w:rsidRPr="00F80588">
        <w:rPr>
          <w:bCs/>
          <w:i/>
          <w:iCs/>
        </w:rPr>
        <w:t>Daniel</w:t>
      </w:r>
      <w:r w:rsidRPr="00F80588">
        <w:rPr>
          <w:bCs/>
        </w:rPr>
        <w:t>,</w:t>
      </w:r>
      <w:r w:rsidRPr="00F80588">
        <w:rPr>
          <w:bCs/>
          <w:i/>
          <w:iCs/>
        </w:rPr>
        <w:t xml:space="preserve"> </w:t>
      </w:r>
      <w:r w:rsidRPr="00F80588">
        <w:rPr>
          <w:bCs/>
        </w:rPr>
        <w:t xml:space="preserve">at p. 672; accord, </w:t>
      </w:r>
      <w:r w:rsidRPr="00F80588">
        <w:rPr>
          <w:bCs/>
          <w:i/>
          <w:iCs/>
        </w:rPr>
        <w:t>Gentile</w:t>
      </w:r>
      <w:r w:rsidRPr="00F80588">
        <w:rPr>
          <w:bCs/>
        </w:rPr>
        <w:t>,</w:t>
      </w:r>
      <w:r w:rsidRPr="00F80588">
        <w:rPr>
          <w:bCs/>
          <w:i/>
          <w:iCs/>
        </w:rPr>
        <w:t xml:space="preserve"> </w:t>
      </w:r>
      <w:r w:rsidRPr="00F80588">
        <w:rPr>
          <w:bCs/>
        </w:rPr>
        <w:t xml:space="preserve">at pp. 842-843.)  Second, </w:t>
      </w:r>
      <w:r w:rsidRPr="00F80588">
        <w:rPr>
          <w:bCs/>
        </w:rPr>
        <w:t>to amend the felony</w:t>
      </w:r>
      <w:r>
        <w:rPr>
          <w:bCs/>
        </w:rPr>
        <w:t>-</w:t>
      </w:r>
      <w:r w:rsidRPr="00F80588">
        <w:rPr>
          <w:bCs/>
        </w:rPr>
        <w:t xml:space="preserve">murder rule, the bill added section 189, subdivision (e): </w:t>
      </w:r>
    </w:p>
    <w:p w14:paraId="222DC407" w14:textId="77777777" w:rsidR="00361A95" w:rsidRPr="00F80588" w:rsidRDefault="00845A1D" w:rsidP="008F0F6A">
      <w:pPr>
        <w:pStyle w:val="IndentedQuote0"/>
      </w:pPr>
      <w:r w:rsidRPr="00F80588">
        <w:t>“A participant in the perpetration or attempted perpetration of [qualifying</w:t>
      </w:r>
      <w:r w:rsidRPr="00CA0B81">
        <w:t xml:space="preserve"> felonies] in which a death occurs is liable for murder only if one of the following is proven: </w:t>
      </w:r>
      <w:r>
        <w:t xml:space="preserve"> </w:t>
      </w:r>
      <w:r w:rsidRPr="00CA0B81">
        <w:t>[¶]</w:t>
      </w:r>
      <w:r w:rsidR="001C2CB2">
        <w:t xml:space="preserve"> </w:t>
      </w:r>
      <w:r w:rsidRPr="00CA0B81">
        <w:t xml:space="preserve"> </w:t>
      </w:r>
      <w:r w:rsidRPr="00CA0B81">
        <w:t xml:space="preserve">(1) The person was the actual killer. </w:t>
      </w:r>
      <w:r>
        <w:t xml:space="preserve"> </w:t>
      </w:r>
      <w:r w:rsidRPr="00CA0B81">
        <w:t xml:space="preserve">[¶] </w:t>
      </w:r>
      <w:r>
        <w:t xml:space="preserve"> </w:t>
      </w:r>
      <w:r w:rsidRPr="00CA0B81">
        <w:t xml:space="preserve">(2) The person was not the actual killer, but, with the intent to kill, aided, abetted, counseled, commanded, induced, solicited, requested, or assisted the actual killer in the commission of murder in the first </w:t>
      </w:r>
      <w:r w:rsidRPr="00CA0B81">
        <w:t xml:space="preserve">degree. </w:t>
      </w:r>
      <w:r>
        <w:t xml:space="preserve"> </w:t>
      </w:r>
      <w:r w:rsidRPr="00CA0B81">
        <w:t xml:space="preserve">[¶] </w:t>
      </w:r>
      <w:r>
        <w:t xml:space="preserve"> </w:t>
      </w:r>
      <w:r w:rsidRPr="00CA0B81">
        <w:t>(3) The person was a major participant in the underlying felony and acted with reckless indifference to human life, as described in subdivision (d) of Section 190.2</w:t>
      </w:r>
      <w:r w:rsidRPr="00F80588">
        <w:t>.”</w:t>
      </w:r>
      <w:r>
        <w:rPr>
          <w:rStyle w:val="FootnoteReference"/>
        </w:rPr>
        <w:footnoteReference w:id="4"/>
      </w:r>
      <w:r w:rsidRPr="00F80588">
        <w:t xml:space="preserve">  (§ 189, subd. (e); accord, </w:t>
      </w:r>
      <w:r w:rsidRPr="00F80588">
        <w:rPr>
          <w:i/>
          <w:iCs/>
        </w:rPr>
        <w:t>Gentile</w:t>
      </w:r>
      <w:r w:rsidRPr="00F80588">
        <w:t>,</w:t>
      </w:r>
      <w:r w:rsidRPr="00F80588">
        <w:rPr>
          <w:i/>
          <w:iCs/>
        </w:rPr>
        <w:t xml:space="preserve"> </w:t>
      </w:r>
      <w:r w:rsidRPr="00F80588">
        <w:t>at p. 842.)</w:t>
      </w:r>
    </w:p>
    <w:p w14:paraId="50C60613" w14:textId="77777777" w:rsidR="00361A95" w:rsidRPr="008F0F6A" w:rsidRDefault="00845A1D" w:rsidP="004F5638">
      <w:pPr>
        <w:rPr>
          <w:bCs/>
        </w:rPr>
      </w:pPr>
      <w:r w:rsidRPr="00F80588">
        <w:rPr>
          <w:bCs/>
        </w:rPr>
        <w:lastRenderedPageBreak/>
        <w:t xml:space="preserve">Finally, the bill </w:t>
      </w:r>
      <w:r w:rsidRPr="00F80588">
        <w:rPr>
          <w:bCs/>
        </w:rPr>
        <w:t>“added section 1170.95 to provide a procedure for those convicted of felony murder or murder under the natural and probable consequences doctrine to seek relief under the two ameliorative provisions above.”  (</w:t>
      </w:r>
      <w:r w:rsidRPr="00F80588">
        <w:rPr>
          <w:bCs/>
          <w:i/>
          <w:iCs/>
        </w:rPr>
        <w:t>Gentile</w:t>
      </w:r>
      <w:r w:rsidRPr="00F80588">
        <w:rPr>
          <w:bCs/>
        </w:rPr>
        <w:t>,</w:t>
      </w:r>
      <w:r w:rsidRPr="00F80588">
        <w:rPr>
          <w:bCs/>
          <w:i/>
          <w:iCs/>
        </w:rPr>
        <w:t xml:space="preserve"> </w:t>
      </w:r>
      <w:r w:rsidRPr="00F80588">
        <w:rPr>
          <w:bCs/>
        </w:rPr>
        <w:t>at p. 843.)</w:t>
      </w:r>
    </w:p>
    <w:p w14:paraId="57E3F652" w14:textId="77777777" w:rsidR="00361A95" w:rsidRDefault="00845A1D" w:rsidP="008F0F6A">
      <w:pPr>
        <w:ind w:firstLine="720"/>
        <w:rPr>
          <w:bCs/>
        </w:rPr>
      </w:pPr>
      <w:r>
        <w:rPr>
          <w:bCs/>
        </w:rPr>
        <w:t>“</w:t>
      </w:r>
      <w:r w:rsidRPr="004F5638">
        <w:rPr>
          <w:bCs/>
        </w:rPr>
        <w:t xml:space="preserve">Section 1170.95 lays out </w:t>
      </w:r>
      <w:r w:rsidRPr="004F5638">
        <w:rPr>
          <w:bCs/>
        </w:rPr>
        <w:t xml:space="preserve">a process for a person convicted of felony murder or murder under a natural and probable consequences theory to seek vacatur of his or her conviction and resentencing. </w:t>
      </w:r>
      <w:r>
        <w:rPr>
          <w:bCs/>
        </w:rPr>
        <w:t xml:space="preserve"> </w:t>
      </w:r>
      <w:r w:rsidRPr="004F5638">
        <w:rPr>
          <w:bCs/>
        </w:rPr>
        <w:t>First, the person must file a petition with the trial court that sentenced the petition</w:t>
      </w:r>
      <w:r w:rsidRPr="004F5638">
        <w:rPr>
          <w:bCs/>
        </w:rPr>
        <w:t xml:space="preserve">er declaring, among other things, that the petitioner </w:t>
      </w:r>
      <w:r>
        <w:rPr>
          <w:bCs/>
        </w:rPr>
        <w:t>‘</w:t>
      </w:r>
      <w:r w:rsidRPr="004F5638">
        <w:rPr>
          <w:bCs/>
        </w:rPr>
        <w:t>could not be convicted of first or second degree murder because of changes to Section 188 or 189.</w:t>
      </w:r>
      <w:r>
        <w:rPr>
          <w:bCs/>
        </w:rPr>
        <w:t>’</w:t>
      </w:r>
      <w:r w:rsidRPr="004F5638">
        <w:rPr>
          <w:bCs/>
        </w:rPr>
        <w:t xml:space="preserve"> </w:t>
      </w:r>
      <w:r>
        <w:rPr>
          <w:bCs/>
        </w:rPr>
        <w:t xml:space="preserve"> </w:t>
      </w:r>
      <w:r w:rsidRPr="004F5638">
        <w:rPr>
          <w:bCs/>
        </w:rPr>
        <w:t>(§</w:t>
      </w:r>
      <w:r>
        <w:rPr>
          <w:bCs/>
        </w:rPr>
        <w:t> </w:t>
      </w:r>
      <w:r w:rsidRPr="004F5638">
        <w:rPr>
          <w:bCs/>
        </w:rPr>
        <w:t xml:space="preserve">1170.95, subd. (a)(3); see § 1170.95, subd. (b)(1)(A).) </w:t>
      </w:r>
      <w:r>
        <w:rPr>
          <w:bCs/>
        </w:rPr>
        <w:t xml:space="preserve"> </w:t>
      </w:r>
      <w:r w:rsidRPr="004F5638">
        <w:rPr>
          <w:bCs/>
        </w:rPr>
        <w:t xml:space="preserve">Then, the trial court must </w:t>
      </w:r>
      <w:r>
        <w:rPr>
          <w:bCs/>
        </w:rPr>
        <w:t>‘</w:t>
      </w:r>
      <w:r w:rsidRPr="004F5638">
        <w:rPr>
          <w:bCs/>
        </w:rPr>
        <w:t>review the pe</w:t>
      </w:r>
      <w:r w:rsidRPr="004F5638">
        <w:rPr>
          <w:bCs/>
        </w:rPr>
        <w:t>tition and determine if the petitioner has made a prima facie showing that the petitioner falls within the provisions of th[e] section.</w:t>
      </w:r>
      <w:r>
        <w:rPr>
          <w:bCs/>
        </w:rPr>
        <w:t xml:space="preserve">’ </w:t>
      </w:r>
      <w:r w:rsidRPr="004F5638">
        <w:rPr>
          <w:bCs/>
        </w:rPr>
        <w:t xml:space="preserve"> (§</w:t>
      </w:r>
      <w:r>
        <w:rPr>
          <w:bCs/>
        </w:rPr>
        <w:t> </w:t>
      </w:r>
      <w:r w:rsidRPr="004F5638">
        <w:rPr>
          <w:bCs/>
        </w:rPr>
        <w:t>1170.95, subd. (c).)</w:t>
      </w:r>
      <w:r>
        <w:rPr>
          <w:bCs/>
        </w:rPr>
        <w:t xml:space="preserve"> </w:t>
      </w:r>
      <w:r w:rsidRPr="004F5638">
        <w:rPr>
          <w:bCs/>
        </w:rPr>
        <w:t xml:space="preserve"> If so, the trial court must issue an order to show cause and hold a hearing to determine whet</w:t>
      </w:r>
      <w:r w:rsidRPr="004F5638">
        <w:rPr>
          <w:bCs/>
        </w:rPr>
        <w:t>her to vacate the murder conviction and to resentence the petitioner on any remaining counts.</w:t>
      </w:r>
      <w:r>
        <w:rPr>
          <w:bCs/>
        </w:rPr>
        <w:t xml:space="preserve"> </w:t>
      </w:r>
      <w:r w:rsidRPr="004F5638">
        <w:rPr>
          <w:bCs/>
        </w:rPr>
        <w:t xml:space="preserve"> (§</w:t>
      </w:r>
      <w:r>
        <w:rPr>
          <w:bCs/>
        </w:rPr>
        <w:t> </w:t>
      </w:r>
      <w:r w:rsidRPr="004F5638">
        <w:rPr>
          <w:bCs/>
        </w:rPr>
        <w:t xml:space="preserve">1170.95, subds. (c), (d)(1).) </w:t>
      </w:r>
      <w:r>
        <w:rPr>
          <w:bCs/>
        </w:rPr>
        <w:t xml:space="preserve"> </w:t>
      </w:r>
      <w:r w:rsidRPr="004F5638">
        <w:rPr>
          <w:bCs/>
        </w:rPr>
        <w:t xml:space="preserve">At the hearing, the prosecution must </w:t>
      </w:r>
      <w:r>
        <w:rPr>
          <w:bCs/>
        </w:rPr>
        <w:t>‘</w:t>
      </w:r>
      <w:r w:rsidRPr="004F5638">
        <w:rPr>
          <w:bCs/>
        </w:rPr>
        <w:t>prove, beyond a reasonable doubt, that the petitioner is ineligible for resentencing.</w:t>
      </w:r>
      <w:r>
        <w:rPr>
          <w:bCs/>
        </w:rPr>
        <w:t xml:space="preserve">’ </w:t>
      </w:r>
      <w:r w:rsidRPr="004F5638">
        <w:rPr>
          <w:bCs/>
        </w:rPr>
        <w:t xml:space="preserve"> (</w:t>
      </w:r>
      <w:r w:rsidRPr="004F5638">
        <w:rPr>
          <w:bCs/>
        </w:rPr>
        <w:t>§</w:t>
      </w:r>
      <w:r>
        <w:rPr>
          <w:bCs/>
        </w:rPr>
        <w:t> </w:t>
      </w:r>
      <w:r w:rsidRPr="004F5638">
        <w:rPr>
          <w:bCs/>
        </w:rPr>
        <w:t>1170.95, subd.</w:t>
      </w:r>
      <w:r>
        <w:rPr>
          <w:bCs/>
        </w:rPr>
        <w:t> </w:t>
      </w:r>
      <w:r w:rsidRPr="004F5638">
        <w:rPr>
          <w:bCs/>
        </w:rPr>
        <w:t xml:space="preserve">(d)(3).) </w:t>
      </w:r>
      <w:r>
        <w:rPr>
          <w:bCs/>
        </w:rPr>
        <w:t xml:space="preserve"> ‘</w:t>
      </w:r>
      <w:r w:rsidRPr="004F5638">
        <w:rPr>
          <w:bCs/>
        </w:rPr>
        <w:t>The prosecutor and the petitioner may rely on the record of conviction or offer new or additional evidence to meet their respective burdens.</w:t>
      </w:r>
      <w:r>
        <w:rPr>
          <w:bCs/>
        </w:rPr>
        <w:t xml:space="preserve">’  </w:t>
      </w:r>
      <w:r w:rsidRPr="004F5638">
        <w:rPr>
          <w:bCs/>
        </w:rPr>
        <w:t>(</w:t>
      </w:r>
      <w:r w:rsidRPr="008F0F6A">
        <w:rPr>
          <w:bCs/>
          <w:i/>
          <w:iCs/>
        </w:rPr>
        <w:t>Ibid.</w:t>
      </w:r>
      <w:r w:rsidRPr="004F5638">
        <w:rPr>
          <w:bCs/>
        </w:rPr>
        <w:t>)</w:t>
      </w:r>
      <w:r>
        <w:rPr>
          <w:bCs/>
        </w:rPr>
        <w:t xml:space="preserve">”  </w:t>
      </w:r>
      <w:r w:rsidRPr="00F80588">
        <w:rPr>
          <w:bCs/>
        </w:rPr>
        <w:t>(</w:t>
      </w:r>
      <w:r w:rsidRPr="00F80588">
        <w:rPr>
          <w:bCs/>
          <w:i/>
          <w:iCs/>
        </w:rPr>
        <w:t>Gentile</w:t>
      </w:r>
      <w:r w:rsidRPr="00F80588">
        <w:rPr>
          <w:bCs/>
        </w:rPr>
        <w:t>,</w:t>
      </w:r>
      <w:r w:rsidRPr="00F80588">
        <w:rPr>
          <w:bCs/>
          <w:i/>
          <w:iCs/>
        </w:rPr>
        <w:t xml:space="preserve"> supra</w:t>
      </w:r>
      <w:r w:rsidRPr="00F80588">
        <w:rPr>
          <w:bCs/>
        </w:rPr>
        <w:t>, 10 Cal.5th at p. 853.)</w:t>
      </w:r>
    </w:p>
    <w:p w14:paraId="5F6D8573" w14:textId="77777777" w:rsidR="00361A95" w:rsidRDefault="00845A1D" w:rsidP="006C2071">
      <w:pPr>
        <w:ind w:firstLine="720"/>
        <w:rPr>
          <w:bCs/>
        </w:rPr>
      </w:pPr>
      <w:r w:rsidRPr="00092F39">
        <w:rPr>
          <w:bCs/>
        </w:rPr>
        <w:t xml:space="preserve">“Since Senate Bill </w:t>
      </w:r>
      <w:r>
        <w:rPr>
          <w:bCs/>
        </w:rPr>
        <w:t>[</w:t>
      </w:r>
      <w:r w:rsidRPr="00092F39">
        <w:rPr>
          <w:bCs/>
        </w:rPr>
        <w:t>No.] 1437 was adopted and its mechanism for retroactive application has come into play through the filing of section 1170.95 petitions, many questions have arisen about that process and percolated up through appeals from resentencing de</w:t>
      </w:r>
      <w:r w:rsidRPr="00092F39">
        <w:rPr>
          <w:bCs/>
        </w:rPr>
        <w:t>cisions.”</w:t>
      </w:r>
      <w:r>
        <w:rPr>
          <w:bCs/>
        </w:rPr>
        <w:t xml:space="preserve"> </w:t>
      </w:r>
      <w:r w:rsidRPr="00092F39">
        <w:rPr>
          <w:bCs/>
        </w:rPr>
        <w:t xml:space="preserve"> </w:t>
      </w:r>
      <w:r w:rsidRPr="00F80588">
        <w:rPr>
          <w:bCs/>
        </w:rPr>
        <w:t>(</w:t>
      </w:r>
      <w:r w:rsidRPr="00F80588">
        <w:rPr>
          <w:bCs/>
          <w:i/>
          <w:iCs/>
        </w:rPr>
        <w:t>People v. Duchine</w:t>
      </w:r>
      <w:r w:rsidRPr="00F80588">
        <w:rPr>
          <w:bCs/>
        </w:rPr>
        <w:t xml:space="preserve"> (2021) 60 Cal.App.5th 798, 811,</w:t>
      </w:r>
      <w:r>
        <w:rPr>
          <w:bCs/>
        </w:rPr>
        <w:t xml:space="preserve"> fn. omitted</w:t>
      </w:r>
      <w:r w:rsidRPr="00092F39">
        <w:rPr>
          <w:bCs/>
        </w:rPr>
        <w:t>.)</w:t>
      </w:r>
      <w:r>
        <w:rPr>
          <w:bCs/>
        </w:rPr>
        <w:t xml:space="preserve">  Those questions pertain primarily </w:t>
      </w:r>
      <w:r w:rsidRPr="00F80588">
        <w:rPr>
          <w:bCs/>
        </w:rPr>
        <w:t xml:space="preserve">to section 1170.95, subdivision (c) (hereinafter sometimes referred to as “subdivision (c)”), which “addresses the procedure by which a </w:t>
      </w:r>
      <w:r w:rsidRPr="00F80588">
        <w:rPr>
          <w:bCs/>
        </w:rPr>
        <w:t>trial court determines whether the petitioner is entitled to an evidentiary hearing.”  (</w:t>
      </w:r>
      <w:r w:rsidRPr="00F80588">
        <w:rPr>
          <w:bCs/>
          <w:i/>
          <w:iCs/>
        </w:rPr>
        <w:t xml:space="preserve">People v. Cooper </w:t>
      </w:r>
      <w:r w:rsidRPr="00F80588">
        <w:rPr>
          <w:bCs/>
        </w:rPr>
        <w:t>(2020) 54 Cal.App.5th 106, 11</w:t>
      </w:r>
      <w:r>
        <w:rPr>
          <w:bCs/>
        </w:rPr>
        <w:t>4</w:t>
      </w:r>
      <w:r w:rsidRPr="00F80588">
        <w:rPr>
          <w:bCs/>
        </w:rPr>
        <w:t>, review granted Nov. 10, 2020, S264684 (</w:t>
      </w:r>
      <w:r w:rsidRPr="00F80588">
        <w:rPr>
          <w:bCs/>
          <w:i/>
          <w:iCs/>
        </w:rPr>
        <w:t>Cooper</w:t>
      </w:r>
      <w:r w:rsidRPr="00F80588">
        <w:rPr>
          <w:bCs/>
        </w:rPr>
        <w:t>).)  Section 1170.95, subdivision (c) provides</w:t>
      </w:r>
      <w:r w:rsidRPr="00092F39">
        <w:rPr>
          <w:bCs/>
        </w:rPr>
        <w:t xml:space="preserve"> in full: </w:t>
      </w:r>
    </w:p>
    <w:p w14:paraId="07A56891" w14:textId="77777777" w:rsidR="00361A95" w:rsidRDefault="00845A1D" w:rsidP="006C2071">
      <w:pPr>
        <w:pStyle w:val="IndentedQuote0"/>
      </w:pPr>
      <w:r w:rsidRPr="00092F39">
        <w:lastRenderedPageBreak/>
        <w:t xml:space="preserve">“The court shall </w:t>
      </w:r>
      <w:r w:rsidRPr="00092F39">
        <w:t xml:space="preserve">review the petition and determine if the petitioner has made a prima facie showing that the petitioner falls within the provisions of this section. </w:t>
      </w:r>
      <w:r>
        <w:t xml:space="preserve"> </w:t>
      </w:r>
      <w:r w:rsidRPr="00092F39">
        <w:t xml:space="preserve">If the petitioner has requested counsel, the court shall appoint counsel to represent the petitioner. </w:t>
      </w:r>
      <w:r>
        <w:t xml:space="preserve"> </w:t>
      </w:r>
      <w:r w:rsidRPr="00092F39">
        <w:t xml:space="preserve">The </w:t>
      </w:r>
      <w:r w:rsidRPr="00092F39">
        <w:t xml:space="preserve">prosecutor shall file and serve a response within 60 days of service of the petition and the petitioner may file and serve a reply within 30 days after the prosecutor[’s] response is served. </w:t>
      </w:r>
      <w:r>
        <w:t xml:space="preserve"> </w:t>
      </w:r>
      <w:r w:rsidRPr="00092F39">
        <w:t xml:space="preserve">These deadlines shall be extended for good cause. </w:t>
      </w:r>
      <w:r>
        <w:t xml:space="preserve"> </w:t>
      </w:r>
      <w:r w:rsidRPr="00092F39">
        <w:t>If the petiti</w:t>
      </w:r>
      <w:r w:rsidRPr="00092F39">
        <w:t>oner makes a prima facie showing that he or she is entitled to relief, the court shall issue an order to show cause.”</w:t>
      </w:r>
      <w:r>
        <w:t xml:space="preserve">    </w:t>
      </w:r>
    </w:p>
    <w:p w14:paraId="6FA949B5" w14:textId="77777777" w:rsidR="00361A95" w:rsidRDefault="00845A1D" w:rsidP="00092F39">
      <w:pPr>
        <w:ind w:firstLine="720"/>
        <w:rPr>
          <w:bCs/>
        </w:rPr>
      </w:pPr>
      <w:r>
        <w:rPr>
          <w:bCs/>
        </w:rPr>
        <w:t xml:space="preserve">Courts of Appeal are divided on several questions arising </w:t>
      </w:r>
      <w:r w:rsidRPr="00F80588">
        <w:rPr>
          <w:bCs/>
        </w:rPr>
        <w:t>under subdivision (c).  Relevant here, the Courts of Appeal are split regard</w:t>
      </w:r>
      <w:r w:rsidRPr="00F80588">
        <w:rPr>
          <w:bCs/>
        </w:rPr>
        <w:t xml:space="preserve">ing when the right to counsel arises under subdivision (c).  Our Supreme Court has granted review to decide this question.  (See </w:t>
      </w:r>
      <w:r w:rsidRPr="00F80588">
        <w:rPr>
          <w:bCs/>
          <w:i/>
          <w:iCs/>
        </w:rPr>
        <w:t xml:space="preserve">People v. Lewis </w:t>
      </w:r>
      <w:r w:rsidRPr="00F80588">
        <w:rPr>
          <w:bCs/>
        </w:rPr>
        <w:t>(2020) 43 Cal.App.5th 1128, review granted Mar. 18, 2020, S260598 (</w:t>
      </w:r>
      <w:r w:rsidRPr="00F80588">
        <w:rPr>
          <w:bCs/>
          <w:i/>
          <w:iCs/>
        </w:rPr>
        <w:t>Lewis</w:t>
      </w:r>
      <w:r w:rsidRPr="00F80588">
        <w:rPr>
          <w:bCs/>
        </w:rPr>
        <w:t xml:space="preserve">).)  In the meantime, a court has held </w:t>
      </w:r>
      <w:r w:rsidRPr="00F80588">
        <w:rPr>
          <w:bCs/>
        </w:rPr>
        <w:t>that the right to counsel attaches immediately upon the filing of a facially sufficient petition that includes all the information required under section 1170.95, subdivision (b).  (</w:t>
      </w:r>
      <w:r w:rsidRPr="00F80588">
        <w:rPr>
          <w:bCs/>
          <w:i/>
          <w:iCs/>
        </w:rPr>
        <w:t>Daniel</w:t>
      </w:r>
      <w:r w:rsidRPr="00F80588">
        <w:rPr>
          <w:bCs/>
        </w:rPr>
        <w:t xml:space="preserve">, </w:t>
      </w:r>
      <w:r w:rsidRPr="00F80588">
        <w:rPr>
          <w:bCs/>
          <w:i/>
          <w:iCs/>
        </w:rPr>
        <w:t>supra</w:t>
      </w:r>
      <w:r w:rsidRPr="00F80588">
        <w:rPr>
          <w:bCs/>
        </w:rPr>
        <w:t xml:space="preserve">, 57 Cal.App.5th at p. 673, review granted; </w:t>
      </w:r>
      <w:r w:rsidRPr="00F80588">
        <w:rPr>
          <w:bCs/>
          <w:i/>
          <w:iCs/>
        </w:rPr>
        <w:t>Cooper</w:t>
      </w:r>
      <w:r w:rsidRPr="00F80588">
        <w:rPr>
          <w:bCs/>
        </w:rPr>
        <w:t>,</w:t>
      </w:r>
      <w:r w:rsidRPr="00F80588">
        <w:rPr>
          <w:bCs/>
          <w:i/>
          <w:iCs/>
        </w:rPr>
        <w:t xml:space="preserve"> supra</w:t>
      </w:r>
      <w:r w:rsidRPr="00F80588">
        <w:rPr>
          <w:bCs/>
        </w:rPr>
        <w:t>,</w:t>
      </w:r>
      <w:r w:rsidRPr="00F80588">
        <w:rPr>
          <w:bCs/>
          <w:i/>
          <w:iCs/>
        </w:rPr>
        <w:t xml:space="preserve"> </w:t>
      </w:r>
      <w:r w:rsidRPr="00F80588">
        <w:rPr>
          <w:bCs/>
        </w:rPr>
        <w:t>54</w:t>
      </w:r>
      <w:r w:rsidRPr="00F80588">
        <w:rPr>
          <w:bCs/>
        </w:rPr>
        <w:t xml:space="preserve"> Cal.App.5th at pp. 109, 114, review granted.)  That court construed the first sentence of subdivision (c) to</w:t>
      </w:r>
      <w:r>
        <w:rPr>
          <w:bCs/>
        </w:rPr>
        <w:t xml:space="preserve"> state a general rule, with the rest of the subdivision establishing a process for complying with that rule:  “ ‘</w:t>
      </w:r>
      <w:r w:rsidRPr="003F0232">
        <w:rPr>
          <w:bCs/>
        </w:rPr>
        <w:t>Appoint counsel, if requested.  Wa</w:t>
      </w:r>
      <w:r w:rsidRPr="003F0232">
        <w:rPr>
          <w:bCs/>
        </w:rPr>
        <w:t>it for the prosecutor’s required response and the petitioner’s optional reply.  If the petitioner makes a prima facie showing, issue an order to show cause.</w:t>
      </w:r>
      <w:r>
        <w:rPr>
          <w:bCs/>
        </w:rPr>
        <w:t>’ </w:t>
      </w:r>
      <w:r w:rsidRPr="00F80588">
        <w:rPr>
          <w:bCs/>
        </w:rPr>
        <w:t>”  (</w:t>
      </w:r>
      <w:r w:rsidRPr="00F80588">
        <w:rPr>
          <w:bCs/>
          <w:i/>
          <w:iCs/>
        </w:rPr>
        <w:t>Cooper</w:t>
      </w:r>
      <w:r w:rsidRPr="00F80588">
        <w:rPr>
          <w:bCs/>
        </w:rPr>
        <w:t>,</w:t>
      </w:r>
      <w:r w:rsidRPr="00F80588">
        <w:rPr>
          <w:bCs/>
          <w:i/>
          <w:iCs/>
        </w:rPr>
        <w:t xml:space="preserve"> </w:t>
      </w:r>
      <w:r w:rsidRPr="00F80588">
        <w:rPr>
          <w:bCs/>
        </w:rPr>
        <w:t>at p. 115.)</w:t>
      </w:r>
      <w:r>
        <w:rPr>
          <w:bCs/>
        </w:rPr>
        <w:t xml:space="preserve">  </w:t>
      </w:r>
    </w:p>
    <w:p w14:paraId="4C7D8616" w14:textId="77777777" w:rsidR="00361A95" w:rsidRPr="003F0232" w:rsidRDefault="00845A1D" w:rsidP="00092F39">
      <w:pPr>
        <w:ind w:firstLine="720"/>
        <w:rPr>
          <w:bCs/>
        </w:rPr>
      </w:pPr>
      <w:r>
        <w:rPr>
          <w:bCs/>
        </w:rPr>
        <w:t xml:space="preserve">Other courts </w:t>
      </w:r>
      <w:r w:rsidRPr="0006745D">
        <w:rPr>
          <w:bCs/>
        </w:rPr>
        <w:t xml:space="preserve">have read the two references to a </w:t>
      </w:r>
      <w:r>
        <w:rPr>
          <w:bCs/>
        </w:rPr>
        <w:t>“</w:t>
      </w:r>
      <w:r w:rsidRPr="0006745D">
        <w:rPr>
          <w:bCs/>
        </w:rPr>
        <w:t>prima facie showing</w:t>
      </w:r>
      <w:r>
        <w:rPr>
          <w:bCs/>
        </w:rPr>
        <w:t>”</w:t>
      </w:r>
      <w:r w:rsidRPr="0006745D">
        <w:rPr>
          <w:bCs/>
        </w:rPr>
        <w:t xml:space="preserve"> in </w:t>
      </w:r>
      <w:r w:rsidRPr="0006745D">
        <w:rPr>
          <w:bCs/>
        </w:rPr>
        <w:t xml:space="preserve">the first and fifth sentences </w:t>
      </w:r>
      <w:r w:rsidRPr="00F80588">
        <w:rPr>
          <w:bCs/>
        </w:rPr>
        <w:t>of subdivision (c) as requiring two different prima facie reviews – one to determine whether the petitioner “falls within the provisions” of the statute and one to determine whether the petitioner is “entitled to relief” – wit</w:t>
      </w:r>
      <w:r w:rsidRPr="00F80588">
        <w:rPr>
          <w:bCs/>
        </w:rPr>
        <w:t>h each review to occur at a different chronological point in time.  (</w:t>
      </w:r>
      <w:r w:rsidRPr="00F80588">
        <w:rPr>
          <w:bCs/>
          <w:i/>
          <w:iCs/>
        </w:rPr>
        <w:t>Lewis</w:t>
      </w:r>
      <w:r w:rsidRPr="00F80588">
        <w:rPr>
          <w:bCs/>
        </w:rPr>
        <w:t>,</w:t>
      </w:r>
      <w:r w:rsidRPr="00F80588">
        <w:rPr>
          <w:bCs/>
          <w:i/>
          <w:iCs/>
        </w:rPr>
        <w:t xml:space="preserve"> supra</w:t>
      </w:r>
      <w:r w:rsidRPr="00F80588">
        <w:rPr>
          <w:bCs/>
        </w:rPr>
        <w:t>,</w:t>
      </w:r>
      <w:r w:rsidRPr="00F80588">
        <w:rPr>
          <w:bCs/>
          <w:i/>
          <w:iCs/>
        </w:rPr>
        <w:t xml:space="preserve"> </w:t>
      </w:r>
      <w:r w:rsidRPr="00F80588">
        <w:rPr>
          <w:bCs/>
        </w:rPr>
        <w:t xml:space="preserve">43 Cal.App.5th at p. 1140, review granted; see </w:t>
      </w:r>
      <w:r w:rsidRPr="00F80588">
        <w:rPr>
          <w:bCs/>
          <w:i/>
          <w:iCs/>
        </w:rPr>
        <w:t xml:space="preserve">People v. Verdugo </w:t>
      </w:r>
      <w:r w:rsidRPr="00F80588">
        <w:rPr>
          <w:bCs/>
        </w:rPr>
        <w:t>(2020) 44 Cal.App.5th 320, 328-333, review granted Mar. 18, 2020, S260493 (</w:t>
      </w:r>
      <w:r w:rsidRPr="00F80588">
        <w:rPr>
          <w:bCs/>
          <w:i/>
          <w:iCs/>
        </w:rPr>
        <w:t>Verdugo</w:t>
      </w:r>
      <w:r w:rsidRPr="00F80588">
        <w:rPr>
          <w:bCs/>
        </w:rPr>
        <w:t>).)  Under this reading of</w:t>
      </w:r>
      <w:r w:rsidRPr="00F80588">
        <w:rPr>
          <w:bCs/>
        </w:rPr>
        <w:t xml:space="preserve"> the statute, courts have concluded that a petitioner is entitled to counsel (as well as the other procedures provided </w:t>
      </w:r>
      <w:r w:rsidRPr="00F80588">
        <w:rPr>
          <w:bCs/>
        </w:rPr>
        <w:lastRenderedPageBreak/>
        <w:t>for under subd. (c)) only</w:t>
      </w:r>
      <w:r>
        <w:rPr>
          <w:bCs/>
        </w:rPr>
        <w:t xml:space="preserve"> after the trial court determines the petitioner has made the threshold showing required to satisfy the first pr</w:t>
      </w:r>
      <w:r>
        <w:rPr>
          <w:bCs/>
        </w:rPr>
        <w:t>ima facie review</w:t>
      </w:r>
      <w:r w:rsidRPr="00F80588">
        <w:rPr>
          <w:bCs/>
        </w:rPr>
        <w:t>.  (</w:t>
      </w:r>
      <w:r w:rsidRPr="00F80588">
        <w:rPr>
          <w:bCs/>
          <w:i/>
          <w:iCs/>
        </w:rPr>
        <w:t>Lewis</w:t>
      </w:r>
      <w:r w:rsidRPr="00F80588">
        <w:rPr>
          <w:bCs/>
        </w:rPr>
        <w:t>,</w:t>
      </w:r>
      <w:r w:rsidRPr="00F80588">
        <w:rPr>
          <w:bCs/>
          <w:i/>
          <w:iCs/>
        </w:rPr>
        <w:t xml:space="preserve"> </w:t>
      </w:r>
      <w:r w:rsidRPr="00F80588">
        <w:rPr>
          <w:bCs/>
        </w:rPr>
        <w:t xml:space="preserve">at p. 1140; </w:t>
      </w:r>
      <w:r w:rsidRPr="00F80588">
        <w:rPr>
          <w:bCs/>
          <w:i/>
          <w:iCs/>
        </w:rPr>
        <w:t>Verdugo</w:t>
      </w:r>
      <w:r w:rsidRPr="00F80588">
        <w:rPr>
          <w:bCs/>
        </w:rPr>
        <w:t>,</w:t>
      </w:r>
      <w:r w:rsidRPr="00F80588">
        <w:rPr>
          <w:bCs/>
          <w:i/>
          <w:iCs/>
        </w:rPr>
        <w:t xml:space="preserve"> </w:t>
      </w:r>
      <w:r w:rsidRPr="00F80588">
        <w:rPr>
          <w:bCs/>
        </w:rPr>
        <w:t>at p. 332.)</w:t>
      </w:r>
      <w:r>
        <w:rPr>
          <w:bCs/>
        </w:rPr>
        <w:t xml:space="preserve">  </w:t>
      </w:r>
    </w:p>
    <w:p w14:paraId="068DD209" w14:textId="77777777" w:rsidR="00361A95" w:rsidRDefault="00845A1D" w:rsidP="00092F39">
      <w:pPr>
        <w:ind w:firstLine="720"/>
        <w:rPr>
          <w:bCs/>
        </w:rPr>
      </w:pPr>
      <w:r>
        <w:rPr>
          <w:bCs/>
        </w:rPr>
        <w:t xml:space="preserve">Courts of Appeal also are divided on the question of whether a trial court may look beyond a facially sufficient petition to determine whether a defendant has made a prima facie showing that he </w:t>
      </w:r>
      <w:r>
        <w:rPr>
          <w:bCs/>
        </w:rPr>
        <w:t xml:space="preserve">or she falls within the provisions of the statute.  Our Supreme Court also granted review to decide this question </w:t>
      </w:r>
      <w:r w:rsidRPr="00F80588">
        <w:rPr>
          <w:bCs/>
        </w:rPr>
        <w:t xml:space="preserve">in </w:t>
      </w:r>
      <w:r w:rsidRPr="00F80588">
        <w:rPr>
          <w:bCs/>
          <w:i/>
          <w:iCs/>
        </w:rPr>
        <w:t>Lewis</w:t>
      </w:r>
      <w:r w:rsidRPr="00F80588">
        <w:rPr>
          <w:bCs/>
        </w:rPr>
        <w:t xml:space="preserve">, </w:t>
      </w:r>
      <w:r w:rsidRPr="00F80588">
        <w:rPr>
          <w:bCs/>
          <w:i/>
          <w:iCs/>
        </w:rPr>
        <w:t>supra</w:t>
      </w:r>
      <w:r w:rsidRPr="00F80588">
        <w:rPr>
          <w:bCs/>
        </w:rPr>
        <w:t>,</w:t>
      </w:r>
      <w:r w:rsidRPr="00F80588">
        <w:rPr>
          <w:bCs/>
          <w:i/>
          <w:iCs/>
        </w:rPr>
        <w:t xml:space="preserve"> </w:t>
      </w:r>
      <w:r w:rsidRPr="00F80588">
        <w:rPr>
          <w:bCs/>
        </w:rPr>
        <w:t>43 Cal.App.5th 1128.</w:t>
      </w:r>
      <w:r>
        <w:rPr>
          <w:bCs/>
        </w:rPr>
        <w:t xml:space="preserve">  In the meantime, some courts have held that a trial court may examine the petition, as well as the court’s own files, the record of conviction, or an appellate court opinion from the petitioner’s direct appeal</w:t>
      </w:r>
      <w:r w:rsidRPr="00F80588">
        <w:rPr>
          <w:bCs/>
        </w:rPr>
        <w:t>.  (</w:t>
      </w:r>
      <w:r w:rsidRPr="00F80588">
        <w:rPr>
          <w:bCs/>
          <w:i/>
          <w:iCs/>
        </w:rPr>
        <w:t>Lewis</w:t>
      </w:r>
      <w:r w:rsidRPr="00F80588">
        <w:rPr>
          <w:bCs/>
        </w:rPr>
        <w:t>,</w:t>
      </w:r>
      <w:r w:rsidRPr="00F80588">
        <w:rPr>
          <w:bCs/>
          <w:i/>
          <w:iCs/>
        </w:rPr>
        <w:t xml:space="preserve"> </w:t>
      </w:r>
      <w:r w:rsidRPr="00F80588">
        <w:rPr>
          <w:bCs/>
        </w:rPr>
        <w:t>at p. 1138</w:t>
      </w:r>
      <w:r>
        <w:rPr>
          <w:bCs/>
        </w:rPr>
        <w:t xml:space="preserve">, </w:t>
      </w:r>
      <w:r w:rsidRPr="00F80588">
        <w:rPr>
          <w:bCs/>
        </w:rPr>
        <w:t xml:space="preserve">review granted; see </w:t>
      </w:r>
      <w:r w:rsidRPr="00F80588">
        <w:rPr>
          <w:bCs/>
          <w:i/>
          <w:iCs/>
        </w:rPr>
        <w:t>Ve</w:t>
      </w:r>
      <w:r w:rsidRPr="00F80588">
        <w:rPr>
          <w:bCs/>
          <w:i/>
          <w:iCs/>
        </w:rPr>
        <w:t>rdugo</w:t>
      </w:r>
      <w:r w:rsidRPr="00F80588">
        <w:rPr>
          <w:bCs/>
        </w:rPr>
        <w:t>,</w:t>
      </w:r>
      <w:r w:rsidRPr="00F80588">
        <w:rPr>
          <w:bCs/>
          <w:i/>
          <w:iCs/>
        </w:rPr>
        <w:t xml:space="preserve"> supra</w:t>
      </w:r>
      <w:r w:rsidRPr="00F80588">
        <w:rPr>
          <w:bCs/>
        </w:rPr>
        <w:t>,</w:t>
      </w:r>
      <w:r w:rsidRPr="00F80588">
        <w:rPr>
          <w:bCs/>
          <w:i/>
          <w:iCs/>
        </w:rPr>
        <w:t xml:space="preserve"> </w:t>
      </w:r>
      <w:r w:rsidRPr="00F80588">
        <w:rPr>
          <w:bCs/>
        </w:rPr>
        <w:t>44 Cal.App.5th at p. 333, review granted.)  A</w:t>
      </w:r>
      <w:r>
        <w:rPr>
          <w:bCs/>
        </w:rPr>
        <w:t>nother court has h</w:t>
      </w:r>
      <w:r w:rsidRPr="00F81997">
        <w:rPr>
          <w:bCs/>
        </w:rPr>
        <w:t>eld that a trial court may not rely on the record o</w:t>
      </w:r>
      <w:r>
        <w:rPr>
          <w:bCs/>
        </w:rPr>
        <w:t>f conviction to deny a facially sufficient petition, and instead may only rely on the record of conviction to deny a petition “</w:t>
      </w:r>
      <w:r>
        <w:rPr>
          <w:bCs/>
          <w:i/>
          <w:iCs/>
        </w:rPr>
        <w:t>a</w:t>
      </w:r>
      <w:r>
        <w:rPr>
          <w:bCs/>
          <w:i/>
          <w:iCs/>
        </w:rPr>
        <w:t xml:space="preserve">fter </w:t>
      </w:r>
      <w:r>
        <w:rPr>
          <w:bCs/>
        </w:rPr>
        <w:t xml:space="preserve">deeming it facially sufficient, appointing counsel, and receiving briefing from the </w:t>
      </w:r>
      <w:r w:rsidRPr="00F80588">
        <w:rPr>
          <w:bCs/>
        </w:rPr>
        <w:t>parties.”  (</w:t>
      </w:r>
      <w:r w:rsidRPr="00F80588">
        <w:rPr>
          <w:bCs/>
          <w:i/>
          <w:iCs/>
        </w:rPr>
        <w:t>Daniel</w:t>
      </w:r>
      <w:r w:rsidRPr="00F80588">
        <w:rPr>
          <w:bCs/>
        </w:rPr>
        <w:t>,</w:t>
      </w:r>
      <w:r w:rsidRPr="00F80588">
        <w:rPr>
          <w:bCs/>
          <w:i/>
          <w:iCs/>
        </w:rPr>
        <w:t xml:space="preserve"> supra</w:t>
      </w:r>
      <w:r w:rsidRPr="00F80588">
        <w:rPr>
          <w:bCs/>
        </w:rPr>
        <w:t xml:space="preserve">, 57 Cal.App.5th at p. 677, review granted; see </w:t>
      </w:r>
      <w:r w:rsidRPr="00F80588">
        <w:rPr>
          <w:bCs/>
          <w:i/>
          <w:iCs/>
        </w:rPr>
        <w:t>Cooper</w:t>
      </w:r>
      <w:r w:rsidRPr="00F80588">
        <w:rPr>
          <w:bCs/>
        </w:rPr>
        <w:t>,</w:t>
      </w:r>
      <w:r w:rsidRPr="00F80588">
        <w:rPr>
          <w:bCs/>
          <w:i/>
          <w:iCs/>
        </w:rPr>
        <w:t xml:space="preserve"> supra</w:t>
      </w:r>
      <w:r w:rsidRPr="00F80588">
        <w:rPr>
          <w:bCs/>
        </w:rPr>
        <w:t>,</w:t>
      </w:r>
      <w:r w:rsidRPr="00F80588">
        <w:rPr>
          <w:bCs/>
          <w:i/>
          <w:iCs/>
        </w:rPr>
        <w:t xml:space="preserve"> </w:t>
      </w:r>
      <w:r w:rsidRPr="00F80588">
        <w:rPr>
          <w:bCs/>
        </w:rPr>
        <w:t>54 Cal.App.5th at pp. 125-126, review granted.)</w:t>
      </w:r>
      <w:r>
        <w:rPr>
          <w:bCs/>
        </w:rPr>
        <w:t xml:space="preserve">   </w:t>
      </w:r>
    </w:p>
    <w:p w14:paraId="09BF6729" w14:textId="77777777" w:rsidR="00361A95" w:rsidRDefault="00845A1D" w:rsidP="00FF74D0">
      <w:pPr>
        <w:rPr>
          <w:b/>
        </w:rPr>
      </w:pPr>
      <w:r>
        <w:rPr>
          <w:b/>
        </w:rPr>
        <w:t>II.</w:t>
      </w:r>
      <w:r>
        <w:rPr>
          <w:b/>
        </w:rPr>
        <w:tab/>
        <w:t>Petitioner is Ineligible</w:t>
      </w:r>
      <w:r>
        <w:rPr>
          <w:b/>
        </w:rPr>
        <w:t xml:space="preserve"> for Resentencing</w:t>
      </w:r>
    </w:p>
    <w:p w14:paraId="0EE532BD" w14:textId="77777777" w:rsidR="00361A95" w:rsidRPr="00F80588" w:rsidRDefault="00845A1D" w:rsidP="00FF74D0">
      <w:pPr>
        <w:rPr>
          <w:bCs/>
        </w:rPr>
      </w:pPr>
      <w:r>
        <w:rPr>
          <w:bCs/>
        </w:rPr>
        <w:tab/>
        <w:t xml:space="preserve">Petitioner contends the trial court erred by summarily denying his facially sufficient petition, rather than appointing counsel, issuing an order to show cause, and otherwise following the procedures </w:t>
      </w:r>
      <w:r w:rsidRPr="00F80588">
        <w:rPr>
          <w:bCs/>
        </w:rPr>
        <w:t xml:space="preserve">of section 1170.95, subdivision (c). </w:t>
      </w:r>
      <w:r w:rsidRPr="00F80588">
        <w:rPr>
          <w:bCs/>
        </w:rPr>
        <w:t xml:space="preserve"> We need not resolve whether the facially sufficient petition gave rise to petitioner’s right to appointed counsel and other procedural rights under subdivision (c) because the error here, if any, was harmless.  This is because the record establishes petit</w:t>
      </w:r>
      <w:r w:rsidRPr="00F80588">
        <w:rPr>
          <w:bCs/>
        </w:rPr>
        <w:t>ioner is ineligible for resentencing as a matter of law.</w:t>
      </w:r>
    </w:p>
    <w:p w14:paraId="09D841E6" w14:textId="77777777" w:rsidR="00361A95" w:rsidRPr="009D0401" w:rsidRDefault="00845A1D" w:rsidP="00FF74D0">
      <w:pPr>
        <w:rPr>
          <w:bCs/>
        </w:rPr>
      </w:pPr>
      <w:r w:rsidRPr="00F80588">
        <w:rPr>
          <w:bCs/>
        </w:rPr>
        <w:tab/>
        <w:t>To demonstrate prejudice from the denial of a section 1170.95 petition</w:t>
      </w:r>
      <w:r>
        <w:rPr>
          <w:bCs/>
        </w:rPr>
        <w:t xml:space="preserve"> before an order to show cause issues, the petitioner bears the burden of showing “ ‘it is reasonably probable that if [he or sh</w:t>
      </w:r>
      <w:r>
        <w:rPr>
          <w:bCs/>
        </w:rPr>
        <w:t xml:space="preserve">e] had been afforded assistance of counsel his [or her] petition </w:t>
      </w:r>
      <w:r>
        <w:rPr>
          <w:bCs/>
        </w:rPr>
        <w:lastRenderedPageBreak/>
        <w:t>would not have been summarily denied without an evidentiary hearing.’ ”</w:t>
      </w:r>
      <w:r>
        <w:rPr>
          <w:rStyle w:val="FootnoteReference"/>
          <w:bCs/>
        </w:rPr>
        <w:footnoteReference w:id="5"/>
      </w:r>
      <w:r>
        <w:rPr>
          <w:bCs/>
        </w:rPr>
        <w:t xml:space="preserve">  </w:t>
      </w:r>
      <w:r w:rsidRPr="00F80588">
        <w:rPr>
          <w:bCs/>
        </w:rPr>
        <w:t>(</w:t>
      </w:r>
      <w:r w:rsidRPr="00F80588">
        <w:rPr>
          <w:bCs/>
          <w:i/>
          <w:iCs/>
        </w:rPr>
        <w:t>Daniel</w:t>
      </w:r>
      <w:r w:rsidRPr="00F80588">
        <w:rPr>
          <w:bCs/>
        </w:rPr>
        <w:t>,</w:t>
      </w:r>
      <w:r w:rsidRPr="00F80588">
        <w:rPr>
          <w:bCs/>
          <w:i/>
          <w:iCs/>
        </w:rPr>
        <w:t xml:space="preserve"> supra</w:t>
      </w:r>
      <w:r w:rsidRPr="00F80588">
        <w:rPr>
          <w:bCs/>
        </w:rPr>
        <w:t xml:space="preserve">, 57 Cal.App.5th at p. 676, review granted; see </w:t>
      </w:r>
      <w:r w:rsidRPr="00F80588">
        <w:rPr>
          <w:bCs/>
          <w:i/>
          <w:iCs/>
        </w:rPr>
        <w:t>People v. Watson</w:t>
      </w:r>
      <w:r w:rsidRPr="00F80588">
        <w:rPr>
          <w:bCs/>
        </w:rPr>
        <w:t xml:space="preserve"> (1956) 46 Cal.2d 818, 836.)  Even if </w:t>
      </w:r>
      <w:r w:rsidRPr="00F80588">
        <w:rPr>
          <w:bCs/>
        </w:rPr>
        <w:t>our Supreme Court ultimately concludes the trial court is precluded from relying on the record of conviction to deny a facially sufficient petiti</w:t>
      </w:r>
      <w:r>
        <w:rPr>
          <w:bCs/>
        </w:rPr>
        <w:t>on upon the court’s initial review, petitioner does not argue the trial court is precluded from considering the</w:t>
      </w:r>
      <w:r>
        <w:rPr>
          <w:bCs/>
        </w:rPr>
        <w:t xml:space="preserve"> record of conviction in ultimately determining whether the petitioner is entitled to relief.  (</w:t>
      </w:r>
      <w:r w:rsidRPr="00F80588">
        <w:rPr>
          <w:bCs/>
        </w:rPr>
        <w:t xml:space="preserve">See </w:t>
      </w:r>
      <w:r w:rsidRPr="00F80588">
        <w:rPr>
          <w:bCs/>
          <w:i/>
          <w:iCs/>
        </w:rPr>
        <w:t>Daniel</w:t>
      </w:r>
      <w:r w:rsidRPr="00F80588">
        <w:rPr>
          <w:bCs/>
        </w:rPr>
        <w:t>,</w:t>
      </w:r>
      <w:r w:rsidRPr="00F80588">
        <w:rPr>
          <w:bCs/>
          <w:i/>
          <w:iCs/>
        </w:rPr>
        <w:t xml:space="preserve"> </w:t>
      </w:r>
      <w:r w:rsidRPr="00F80588">
        <w:rPr>
          <w:bCs/>
        </w:rPr>
        <w:t>at p. 677.)  Accordingly, it is appropriate to consider the record of conviction in determining whether the petitioner was prejudiced by the trial c</w:t>
      </w:r>
      <w:r w:rsidRPr="00F80588">
        <w:rPr>
          <w:bCs/>
        </w:rPr>
        <w:t>ourt’s failure to appoint counsel, require briefing, or issue an order to show cause.  (</w:t>
      </w:r>
      <w:r w:rsidRPr="00F80588">
        <w:rPr>
          <w:bCs/>
          <w:i/>
          <w:iCs/>
        </w:rPr>
        <w:t>Ibid</w:t>
      </w:r>
      <w:r w:rsidRPr="00F80588">
        <w:rPr>
          <w:bCs/>
        </w:rPr>
        <w:t>.)</w:t>
      </w:r>
      <w:r>
        <w:rPr>
          <w:bCs/>
        </w:rPr>
        <w:t xml:space="preserve"> </w:t>
      </w:r>
    </w:p>
    <w:p w14:paraId="4864C1BC" w14:textId="77777777" w:rsidR="00361A95" w:rsidRDefault="00845A1D" w:rsidP="00B22063">
      <w:pPr>
        <w:rPr>
          <w:bCs/>
        </w:rPr>
      </w:pPr>
      <w:r>
        <w:rPr>
          <w:bCs/>
        </w:rPr>
        <w:tab/>
      </w:r>
      <w:r w:rsidRPr="00F80588">
        <w:rPr>
          <w:bCs/>
        </w:rPr>
        <w:t>Section 189</w:t>
      </w:r>
      <w:r>
        <w:rPr>
          <w:bCs/>
        </w:rPr>
        <w:t>,</w:t>
      </w:r>
      <w:r w:rsidRPr="00F80588">
        <w:rPr>
          <w:bCs/>
        </w:rPr>
        <w:t xml:space="preserve"> as amended by Senate Bill No. 1437 (2017-2018 Reg. Sess.), now permits a felony-murder conviction only when specified facts relating to the defend</w:t>
      </w:r>
      <w:r w:rsidRPr="00F80588">
        <w:rPr>
          <w:bCs/>
        </w:rPr>
        <w:t>ant’s</w:t>
      </w:r>
      <w:r w:rsidRPr="007D766C">
        <w:rPr>
          <w:bCs/>
        </w:rPr>
        <w:t xml:space="preserve"> individual culpability have been proved</w:t>
      </w:r>
      <w:r>
        <w:rPr>
          <w:bCs/>
        </w:rPr>
        <w:t xml:space="preserve">.  Among such circumstances, a felony-murder conviction is permissible if the defendant </w:t>
      </w:r>
      <w:r w:rsidRPr="007003A3">
        <w:rPr>
          <w:bCs/>
        </w:rPr>
        <w:t xml:space="preserve">was a major participant in the underlying felony and acted with reckless indifference to human life, as described in </w:t>
      </w:r>
      <w:r w:rsidRPr="00F80588">
        <w:rPr>
          <w:bCs/>
        </w:rPr>
        <w:t>subdiv</w:t>
      </w:r>
      <w:r w:rsidRPr="00F80588">
        <w:rPr>
          <w:bCs/>
        </w:rPr>
        <w:t>ision (d) of section 190.2.  (§ 189, subd. (e).)  Here</w:t>
      </w:r>
      <w:r>
        <w:rPr>
          <w:bCs/>
        </w:rPr>
        <w:t xml:space="preserve">, the jury found true </w:t>
      </w:r>
      <w:r w:rsidRPr="008748A0">
        <w:rPr>
          <w:bCs/>
        </w:rPr>
        <w:t xml:space="preserve">a felony-murder special circumstance </w:t>
      </w:r>
      <w:r>
        <w:rPr>
          <w:bCs/>
        </w:rPr>
        <w:t xml:space="preserve">pursuant </w:t>
      </w:r>
      <w:r w:rsidRPr="00F80588">
        <w:rPr>
          <w:bCs/>
        </w:rPr>
        <w:t>to section 190.2, subdivision (a)(17)(A), which</w:t>
      </w:r>
      <w:r>
        <w:rPr>
          <w:bCs/>
        </w:rPr>
        <w:t xml:space="preserve"> imposes a sentence of death or life without the possibility of parole for a murder committed during the commission, or attempted commission, of a robbery</w:t>
      </w:r>
      <w:r w:rsidRPr="00F80588">
        <w:rPr>
          <w:bCs/>
        </w:rPr>
        <w:t>.  (§ 190.2, subd. (a)(17)(A).)  To make such a finding, the jury was required to find th</w:t>
      </w:r>
      <w:r>
        <w:rPr>
          <w:bCs/>
        </w:rPr>
        <w:t>at petitioner</w:t>
      </w:r>
      <w:r>
        <w:rPr>
          <w:bCs/>
        </w:rPr>
        <w:t xml:space="preserve"> </w:t>
      </w:r>
      <w:r w:rsidRPr="008748A0">
        <w:rPr>
          <w:bCs/>
        </w:rPr>
        <w:t>acted “with</w:t>
      </w:r>
      <w:r>
        <w:rPr>
          <w:bCs/>
        </w:rPr>
        <w:t xml:space="preserve"> </w:t>
      </w:r>
      <w:r w:rsidRPr="008748A0">
        <w:rPr>
          <w:bCs/>
        </w:rPr>
        <w:t xml:space="preserve">reckless indifference to human life and as a major </w:t>
      </w:r>
      <w:r>
        <w:rPr>
          <w:bCs/>
        </w:rPr>
        <w:t>p</w:t>
      </w:r>
      <w:r w:rsidRPr="008748A0">
        <w:rPr>
          <w:bCs/>
        </w:rPr>
        <w:t xml:space="preserve">articipant” </w:t>
      </w:r>
      <w:r>
        <w:rPr>
          <w:bCs/>
        </w:rPr>
        <w:t xml:space="preserve">in aiding or abetting the </w:t>
      </w:r>
      <w:r>
        <w:rPr>
          <w:bCs/>
        </w:rPr>
        <w:lastRenderedPageBreak/>
        <w:t>commission of</w:t>
      </w:r>
      <w:r w:rsidRPr="008748A0">
        <w:rPr>
          <w:bCs/>
        </w:rPr>
        <w:t xml:space="preserve"> the underlying felony. </w:t>
      </w:r>
      <w:r>
        <w:rPr>
          <w:bCs/>
        </w:rPr>
        <w:t xml:space="preserve"> </w:t>
      </w:r>
      <w:r w:rsidRPr="00F80588">
        <w:rPr>
          <w:bCs/>
        </w:rPr>
        <w:t xml:space="preserve">(§ 190.2, subd. (d); </w:t>
      </w:r>
      <w:r w:rsidRPr="00F80588">
        <w:rPr>
          <w:bCs/>
          <w:i/>
          <w:iCs/>
        </w:rPr>
        <w:t>People v.</w:t>
      </w:r>
      <w:r w:rsidRPr="00F80588">
        <w:rPr>
          <w:bCs/>
        </w:rPr>
        <w:t xml:space="preserve"> </w:t>
      </w:r>
      <w:r w:rsidRPr="00F80588">
        <w:rPr>
          <w:bCs/>
          <w:i/>
          <w:iCs/>
        </w:rPr>
        <w:t>Gutierrez-Salazar</w:t>
      </w:r>
      <w:r w:rsidRPr="00F80588">
        <w:rPr>
          <w:bCs/>
        </w:rPr>
        <w:t xml:space="preserve"> (20</w:t>
      </w:r>
      <w:r>
        <w:rPr>
          <w:bCs/>
        </w:rPr>
        <w:t>1</w:t>
      </w:r>
      <w:r w:rsidRPr="00F80588">
        <w:rPr>
          <w:bCs/>
        </w:rPr>
        <w:t xml:space="preserve">9) 38 Cal.App.5th 411, 419.)  In other words, “[t]he language </w:t>
      </w:r>
      <w:r w:rsidRPr="00F80588">
        <w:rPr>
          <w:bCs/>
        </w:rPr>
        <w:t>of the special circumstance tracks the language of Senate</w:t>
      </w:r>
      <w:r w:rsidRPr="008748A0">
        <w:rPr>
          <w:bCs/>
        </w:rPr>
        <w:t xml:space="preserve"> Bill </w:t>
      </w:r>
      <w:r>
        <w:rPr>
          <w:bCs/>
        </w:rPr>
        <w:t xml:space="preserve">[No.] </w:t>
      </w:r>
      <w:r w:rsidRPr="008748A0">
        <w:rPr>
          <w:bCs/>
        </w:rPr>
        <w:t>1437 and the new felony-murder statutes</w:t>
      </w:r>
      <w:r w:rsidRPr="00F80588">
        <w:rPr>
          <w:bCs/>
        </w:rPr>
        <w:t>.”  (</w:t>
      </w:r>
      <w:r w:rsidRPr="00F80588">
        <w:rPr>
          <w:bCs/>
          <w:i/>
          <w:iCs/>
        </w:rPr>
        <w:t>Gutierrez-Salazar</w:t>
      </w:r>
      <w:r w:rsidRPr="00F80588">
        <w:rPr>
          <w:bCs/>
        </w:rPr>
        <w:t>,</w:t>
      </w:r>
      <w:r w:rsidRPr="00F80588">
        <w:rPr>
          <w:bCs/>
          <w:i/>
          <w:iCs/>
        </w:rPr>
        <w:t xml:space="preserve"> </w:t>
      </w:r>
      <w:r w:rsidRPr="00F80588">
        <w:rPr>
          <w:bCs/>
        </w:rPr>
        <w:t>at p. 419.)  Thus</w:t>
      </w:r>
      <w:r>
        <w:rPr>
          <w:bCs/>
        </w:rPr>
        <w:t>, by finding the special circumstance true, the jury made the requisite findings necessary to sustain a fel</w:t>
      </w:r>
      <w:r>
        <w:rPr>
          <w:bCs/>
        </w:rPr>
        <w:t xml:space="preserve">ony-murder conviction under the amended law.  Petitioner is therefore ineligible for resentencing </w:t>
      </w:r>
      <w:r w:rsidRPr="00F80588">
        <w:rPr>
          <w:bCs/>
        </w:rPr>
        <w:t>under section 1170.95 as</w:t>
      </w:r>
      <w:r>
        <w:rPr>
          <w:bCs/>
        </w:rPr>
        <w:t xml:space="preserve"> a matter of law.  </w:t>
      </w:r>
      <w:r>
        <w:rPr>
          <w:bCs/>
        </w:rPr>
        <w:tab/>
      </w:r>
    </w:p>
    <w:p w14:paraId="5C693771" w14:textId="77777777" w:rsidR="00361A95" w:rsidRDefault="00845A1D" w:rsidP="008033D1">
      <w:pPr>
        <w:ind w:firstLine="720"/>
        <w:rPr>
          <w:bCs/>
        </w:rPr>
      </w:pPr>
      <w:r>
        <w:rPr>
          <w:bCs/>
        </w:rPr>
        <w:t xml:space="preserve">Nonetheless, in his reply brief, petitioner argues for the first time that the special circumstance finding does </w:t>
      </w:r>
      <w:r>
        <w:rPr>
          <w:bCs/>
        </w:rPr>
        <w:t>not render him ineligible for resentencing as a matter of law.</w:t>
      </w:r>
      <w:r>
        <w:rPr>
          <w:rStyle w:val="FootnoteReference"/>
          <w:bCs/>
        </w:rPr>
        <w:footnoteReference w:id="6"/>
      </w:r>
      <w:r>
        <w:rPr>
          <w:bCs/>
        </w:rPr>
        <w:t xml:space="preserve">  In support, he relies </w:t>
      </w:r>
      <w:r w:rsidRPr="00F80588">
        <w:rPr>
          <w:bCs/>
        </w:rPr>
        <w:t xml:space="preserve">on </w:t>
      </w:r>
      <w:r w:rsidRPr="00F80588">
        <w:rPr>
          <w:bCs/>
          <w:i/>
          <w:iCs/>
        </w:rPr>
        <w:t>People v. Banks</w:t>
      </w:r>
      <w:r w:rsidRPr="00F80588">
        <w:rPr>
          <w:bCs/>
        </w:rPr>
        <w:t xml:space="preserve"> (2015) 61 Cal.4th 788 (</w:t>
      </w:r>
      <w:r w:rsidRPr="00F80588">
        <w:rPr>
          <w:bCs/>
          <w:i/>
          <w:iCs/>
        </w:rPr>
        <w:t>Banks</w:t>
      </w:r>
      <w:r w:rsidRPr="00F80588">
        <w:rPr>
          <w:bCs/>
        </w:rPr>
        <w:t xml:space="preserve">) and </w:t>
      </w:r>
      <w:r w:rsidRPr="00F80588">
        <w:rPr>
          <w:bCs/>
          <w:i/>
          <w:iCs/>
        </w:rPr>
        <w:t>People v. Clark</w:t>
      </w:r>
      <w:r w:rsidRPr="00F80588">
        <w:rPr>
          <w:bCs/>
        </w:rPr>
        <w:t xml:space="preserve"> (2016) 63 Cal.4th 522 (</w:t>
      </w:r>
      <w:r>
        <w:rPr>
          <w:bCs/>
          <w:i/>
          <w:iCs/>
        </w:rPr>
        <w:t>Clark</w:t>
      </w:r>
      <w:r>
        <w:rPr>
          <w:bCs/>
        </w:rPr>
        <w:t xml:space="preserve">), both decided more than 20 years after his conviction.  </w:t>
      </w:r>
      <w:r w:rsidRPr="003D4B0E">
        <w:rPr>
          <w:bCs/>
        </w:rPr>
        <w:t>“</w:t>
      </w:r>
      <w:r w:rsidRPr="003D4B0E">
        <w:rPr>
          <w:bCs/>
          <w:i/>
          <w:iCs/>
        </w:rPr>
        <w:t>Banks</w:t>
      </w:r>
      <w:r w:rsidRPr="003D4B0E">
        <w:rPr>
          <w:bCs/>
        </w:rPr>
        <w:t xml:space="preserve"> and </w:t>
      </w:r>
      <w:r w:rsidRPr="003D4B0E">
        <w:rPr>
          <w:bCs/>
          <w:i/>
          <w:iCs/>
        </w:rPr>
        <w:t>Cl</w:t>
      </w:r>
      <w:r w:rsidRPr="003D4B0E">
        <w:rPr>
          <w:bCs/>
          <w:i/>
          <w:iCs/>
        </w:rPr>
        <w:t>ark</w:t>
      </w:r>
      <w:r w:rsidRPr="003D4B0E">
        <w:rPr>
          <w:bCs/>
        </w:rPr>
        <w:t xml:space="preserve"> ‘clarified “what it means for an aiding and abetting defendant to be a ‘major participant’ in a crime who acted with a ‘reckless indifference to human life.’</w:t>
      </w:r>
      <w:r>
        <w:rPr>
          <w:bCs/>
        </w:rPr>
        <w:t> </w:t>
      </w:r>
      <w:r w:rsidRPr="003D4B0E">
        <w:rPr>
          <w:bCs/>
        </w:rPr>
        <w:t>”</w:t>
      </w:r>
      <w:r>
        <w:rPr>
          <w:bCs/>
        </w:rPr>
        <w:t> </w:t>
      </w:r>
      <w:r w:rsidRPr="003D4B0E">
        <w:rPr>
          <w:bCs/>
        </w:rPr>
        <w:t xml:space="preserve">’ </w:t>
      </w:r>
      <w:r>
        <w:rPr>
          <w:bCs/>
        </w:rPr>
        <w:t xml:space="preserve"> </w:t>
      </w:r>
      <w:r w:rsidRPr="003D4B0E">
        <w:rPr>
          <w:bCs/>
        </w:rPr>
        <w:t xml:space="preserve">[Citation.] </w:t>
      </w:r>
      <w:r>
        <w:rPr>
          <w:bCs/>
        </w:rPr>
        <w:t xml:space="preserve"> </w:t>
      </w:r>
      <w:r w:rsidRPr="003D4B0E">
        <w:rPr>
          <w:bCs/>
          <w:i/>
          <w:iCs/>
        </w:rPr>
        <w:t>Banks</w:t>
      </w:r>
      <w:r w:rsidRPr="003D4B0E">
        <w:rPr>
          <w:bCs/>
        </w:rPr>
        <w:t xml:space="preserve"> identified certain factors to consider in determining whether a defend</w:t>
      </w:r>
      <w:r w:rsidRPr="003D4B0E">
        <w:rPr>
          <w:bCs/>
        </w:rPr>
        <w:t xml:space="preserve">ant was a major participant; </w:t>
      </w:r>
      <w:r w:rsidRPr="008033D1">
        <w:rPr>
          <w:bCs/>
          <w:i/>
          <w:iCs/>
        </w:rPr>
        <w:t>Clark</w:t>
      </w:r>
      <w:r w:rsidRPr="003D4B0E">
        <w:rPr>
          <w:bCs/>
        </w:rPr>
        <w:t xml:space="preserve"> identified factors to guide the determination of whether the defendant acted with reckless indifference to human life</w:t>
      </w:r>
      <w:r w:rsidRPr="00F80588">
        <w:rPr>
          <w:bCs/>
        </w:rPr>
        <w:t>.”  (</w:t>
      </w:r>
      <w:r w:rsidRPr="00F80588">
        <w:rPr>
          <w:bCs/>
          <w:i/>
          <w:iCs/>
        </w:rPr>
        <w:t xml:space="preserve">People v. Gomez </w:t>
      </w:r>
      <w:r w:rsidRPr="00F80588">
        <w:rPr>
          <w:bCs/>
        </w:rPr>
        <w:t>(2020) 52 Cal.App.5th 1, 13, fn. 5, review granted Oct. 14, 2020, S264033 (</w:t>
      </w:r>
      <w:r>
        <w:rPr>
          <w:bCs/>
          <w:i/>
          <w:iCs/>
        </w:rPr>
        <w:t>Gomez</w:t>
      </w:r>
      <w:r>
        <w:rPr>
          <w:bCs/>
        </w:rPr>
        <w:t>)</w:t>
      </w:r>
      <w:r w:rsidRPr="003D4B0E">
        <w:rPr>
          <w:bCs/>
        </w:rPr>
        <w:t>.)</w:t>
      </w:r>
      <w:r>
        <w:rPr>
          <w:bCs/>
        </w:rPr>
        <w:t xml:space="preserve">  Courts of Appeal are split on the question of whether a special circumstance finding entered </w:t>
      </w:r>
      <w:r w:rsidRPr="00F80588">
        <w:rPr>
          <w:bCs/>
        </w:rPr>
        <w:t xml:space="preserve">prior to </w:t>
      </w:r>
      <w:r w:rsidRPr="00F80588">
        <w:rPr>
          <w:bCs/>
          <w:i/>
          <w:iCs/>
        </w:rPr>
        <w:t xml:space="preserve">Banks </w:t>
      </w:r>
      <w:r w:rsidRPr="00F80588">
        <w:rPr>
          <w:bCs/>
        </w:rPr>
        <w:t xml:space="preserve">and </w:t>
      </w:r>
      <w:r w:rsidRPr="00F80588">
        <w:rPr>
          <w:bCs/>
          <w:i/>
          <w:iCs/>
        </w:rPr>
        <w:t xml:space="preserve">Clark </w:t>
      </w:r>
      <w:r w:rsidRPr="00F80588">
        <w:rPr>
          <w:bCs/>
        </w:rPr>
        <w:t xml:space="preserve">renders a petitioner ineligible for section 1170.95 resentencing relief as a matter of law (see </w:t>
      </w:r>
      <w:r w:rsidRPr="00F80588">
        <w:rPr>
          <w:bCs/>
          <w:i/>
          <w:iCs/>
        </w:rPr>
        <w:t xml:space="preserve">People v. Jones </w:t>
      </w:r>
      <w:r w:rsidRPr="004F1EF5">
        <w:rPr>
          <w:bCs/>
        </w:rPr>
        <w:t>(2020)</w:t>
      </w:r>
      <w:r>
        <w:rPr>
          <w:bCs/>
          <w:i/>
          <w:iCs/>
        </w:rPr>
        <w:t xml:space="preserve"> </w:t>
      </w:r>
      <w:r w:rsidRPr="00F80588">
        <w:rPr>
          <w:bCs/>
        </w:rPr>
        <w:t xml:space="preserve">56 </w:t>
      </w:r>
      <w:r w:rsidRPr="00F80588">
        <w:rPr>
          <w:bCs/>
        </w:rPr>
        <w:t>Cal.App.5th 474, 478-479 [collecting cases], review granted Jan. 27, 2021, S265854</w:t>
      </w:r>
      <w:r>
        <w:rPr>
          <w:bCs/>
        </w:rPr>
        <w:t xml:space="preserve"> (</w:t>
      </w:r>
      <w:r>
        <w:rPr>
          <w:bCs/>
          <w:i/>
          <w:iCs/>
        </w:rPr>
        <w:t>Jones</w:t>
      </w:r>
      <w:r>
        <w:rPr>
          <w:bCs/>
        </w:rPr>
        <w:t>)</w:t>
      </w:r>
      <w:r w:rsidRPr="000135F4">
        <w:rPr>
          <w:bCs/>
        </w:rPr>
        <w:t>)</w:t>
      </w:r>
      <w:r>
        <w:rPr>
          <w:bCs/>
        </w:rPr>
        <w:t xml:space="preserve">, and our Supreme Court has granted review to decide the </w:t>
      </w:r>
      <w:r w:rsidRPr="00F80588">
        <w:rPr>
          <w:bCs/>
        </w:rPr>
        <w:t>issue (</w:t>
      </w:r>
      <w:r w:rsidRPr="00F80588">
        <w:rPr>
          <w:bCs/>
          <w:i/>
          <w:iCs/>
        </w:rPr>
        <w:t>People v. Strong</w:t>
      </w:r>
      <w:r w:rsidRPr="00F80588">
        <w:rPr>
          <w:bCs/>
        </w:rPr>
        <w:t xml:space="preserve"> (Dec. 18, 2020, C091162) [nonpub. opn.], review granted Mar. 10, 2021, S266606).</w:t>
      </w:r>
      <w:r>
        <w:rPr>
          <w:bCs/>
        </w:rPr>
        <w:t xml:space="preserve">  </w:t>
      </w:r>
    </w:p>
    <w:p w14:paraId="4B80C457" w14:textId="77777777" w:rsidR="00361A95" w:rsidRDefault="00845A1D" w:rsidP="00590074">
      <w:pPr>
        <w:ind w:firstLine="720"/>
        <w:rPr>
          <w:bCs/>
        </w:rPr>
      </w:pPr>
      <w:r>
        <w:rPr>
          <w:bCs/>
        </w:rPr>
        <w:lastRenderedPageBreak/>
        <w:t>C</w:t>
      </w:r>
      <w:r>
        <w:rPr>
          <w:bCs/>
        </w:rPr>
        <w:t xml:space="preserve">ourts which have held that a </w:t>
      </w:r>
      <w:r w:rsidRPr="00F80588">
        <w:rPr>
          <w:bCs/>
        </w:rPr>
        <w:t>pre-</w:t>
      </w:r>
      <w:r w:rsidRPr="00F80588">
        <w:rPr>
          <w:bCs/>
          <w:i/>
          <w:iCs/>
        </w:rPr>
        <w:t xml:space="preserve">Banks </w:t>
      </w:r>
      <w:r w:rsidRPr="00F80588">
        <w:rPr>
          <w:bCs/>
        </w:rPr>
        <w:t xml:space="preserve">and </w:t>
      </w:r>
      <w:r w:rsidRPr="00F80588">
        <w:rPr>
          <w:bCs/>
          <w:i/>
          <w:iCs/>
        </w:rPr>
        <w:t xml:space="preserve">Clark </w:t>
      </w:r>
      <w:r w:rsidRPr="00F80588">
        <w:rPr>
          <w:bCs/>
        </w:rPr>
        <w:t>felony</w:t>
      </w:r>
      <w:r>
        <w:rPr>
          <w:bCs/>
        </w:rPr>
        <w:t xml:space="preserve">-murder special circumstance finding bars section 1170.95 resentencing relief have </w:t>
      </w:r>
      <w:r w:rsidRPr="00F80588">
        <w:rPr>
          <w:bCs/>
        </w:rPr>
        <w:t xml:space="preserve">reasoned that </w:t>
      </w:r>
      <w:r w:rsidRPr="00F80588">
        <w:rPr>
          <w:bCs/>
          <w:i/>
          <w:iCs/>
        </w:rPr>
        <w:t xml:space="preserve">Banks </w:t>
      </w:r>
      <w:r w:rsidRPr="00F80588">
        <w:rPr>
          <w:bCs/>
        </w:rPr>
        <w:t xml:space="preserve">and </w:t>
      </w:r>
      <w:r w:rsidRPr="00F80588">
        <w:rPr>
          <w:bCs/>
          <w:i/>
          <w:iCs/>
        </w:rPr>
        <w:t xml:space="preserve">Clark </w:t>
      </w:r>
      <w:r w:rsidRPr="00F80588">
        <w:rPr>
          <w:bCs/>
        </w:rPr>
        <w:t>merely clarified the law as it always was.  (</w:t>
      </w:r>
      <w:r w:rsidRPr="00F80588">
        <w:rPr>
          <w:bCs/>
          <w:i/>
          <w:iCs/>
        </w:rPr>
        <w:t>Jones</w:t>
      </w:r>
      <w:r w:rsidRPr="00F80588">
        <w:rPr>
          <w:bCs/>
        </w:rPr>
        <w:t>,</w:t>
      </w:r>
      <w:r w:rsidRPr="00F80588">
        <w:rPr>
          <w:bCs/>
          <w:i/>
          <w:iCs/>
        </w:rPr>
        <w:t xml:space="preserve"> supra</w:t>
      </w:r>
      <w:r w:rsidRPr="00F80588">
        <w:rPr>
          <w:bCs/>
        </w:rPr>
        <w:t>, 56 Cal.App.5th at pp. 482, 48</w:t>
      </w:r>
      <w:r w:rsidRPr="00F80588">
        <w:rPr>
          <w:bCs/>
        </w:rPr>
        <w:t xml:space="preserve">4, review granted; accord, </w:t>
      </w:r>
      <w:r w:rsidRPr="00F80588">
        <w:rPr>
          <w:bCs/>
          <w:i/>
          <w:iCs/>
        </w:rPr>
        <w:t xml:space="preserve">People v. Nunez </w:t>
      </w:r>
      <w:r w:rsidRPr="00F80588">
        <w:rPr>
          <w:bCs/>
        </w:rPr>
        <w:t xml:space="preserve">(2020) 57 Cal.App.5th 78, 92, review granted Jan. 13, 2021, S265918; </w:t>
      </w:r>
      <w:r w:rsidRPr="00F80588">
        <w:rPr>
          <w:bCs/>
          <w:i/>
          <w:iCs/>
        </w:rPr>
        <w:t xml:space="preserve">People v. Allison </w:t>
      </w:r>
      <w:r w:rsidRPr="00F80588">
        <w:rPr>
          <w:bCs/>
        </w:rPr>
        <w:t>(2020) 55 Cal.App.5th 449, 458.)  These courts further note that our Supreme Court does not require juries to be instructed on</w:t>
      </w:r>
      <w:r w:rsidRPr="00F80588">
        <w:rPr>
          <w:bCs/>
        </w:rPr>
        <w:t xml:space="preserve"> the </w:t>
      </w:r>
      <w:r w:rsidRPr="00F80588">
        <w:rPr>
          <w:bCs/>
          <w:i/>
          <w:iCs/>
        </w:rPr>
        <w:t xml:space="preserve">Banks </w:t>
      </w:r>
      <w:r w:rsidRPr="00F80588">
        <w:rPr>
          <w:bCs/>
        </w:rPr>
        <w:t xml:space="preserve">and </w:t>
      </w:r>
      <w:r w:rsidRPr="00F80588">
        <w:rPr>
          <w:bCs/>
          <w:i/>
          <w:iCs/>
        </w:rPr>
        <w:t>Clark</w:t>
      </w:r>
      <w:r w:rsidRPr="00F80588">
        <w:rPr>
          <w:bCs/>
        </w:rPr>
        <w:t xml:space="preserve"> clarifications.  “Rather, while C</w:t>
      </w:r>
      <w:r w:rsidRPr="000135F4">
        <w:rPr>
          <w:bCs/>
        </w:rPr>
        <w:t xml:space="preserve">ALCRIM No. 703 now includes </w:t>
      </w:r>
      <w:r w:rsidRPr="00E83A18">
        <w:rPr>
          <w:bCs/>
          <w:i/>
          <w:iCs/>
        </w:rPr>
        <w:t>optional</w:t>
      </w:r>
      <w:r w:rsidRPr="000135F4">
        <w:rPr>
          <w:bCs/>
        </w:rPr>
        <w:t xml:space="preserve"> language drawn from </w:t>
      </w:r>
      <w:r w:rsidRPr="008941FA">
        <w:rPr>
          <w:bCs/>
          <w:i/>
          <w:iCs/>
        </w:rPr>
        <w:t>Banks</w:t>
      </w:r>
      <w:r w:rsidRPr="000135F4">
        <w:rPr>
          <w:bCs/>
        </w:rPr>
        <w:t xml:space="preserve"> and </w:t>
      </w:r>
      <w:r w:rsidRPr="008941FA">
        <w:rPr>
          <w:bCs/>
          <w:i/>
          <w:iCs/>
        </w:rPr>
        <w:t>Clark</w:t>
      </w:r>
      <w:r w:rsidRPr="000135F4">
        <w:rPr>
          <w:bCs/>
        </w:rPr>
        <w:t xml:space="preserve"> regarding the factors a jury </w:t>
      </w:r>
      <w:r w:rsidRPr="00E83A18">
        <w:rPr>
          <w:bCs/>
          <w:i/>
          <w:iCs/>
        </w:rPr>
        <w:t>may consider</w:t>
      </w:r>
      <w:r w:rsidRPr="000135F4">
        <w:rPr>
          <w:bCs/>
        </w:rPr>
        <w:t xml:space="preserve">, </w:t>
      </w:r>
      <w:r>
        <w:rPr>
          <w:bCs/>
        </w:rPr>
        <w:t>‘</w:t>
      </w:r>
      <w:r w:rsidRPr="000135F4">
        <w:rPr>
          <w:bCs/>
        </w:rPr>
        <w:t xml:space="preserve">[t]he bench notes to the instruction state that </w:t>
      </w:r>
      <w:r w:rsidRPr="008941FA">
        <w:rPr>
          <w:bCs/>
          <w:i/>
          <w:iCs/>
        </w:rPr>
        <w:t>Banks</w:t>
      </w:r>
      <w:r w:rsidRPr="000135F4">
        <w:rPr>
          <w:bCs/>
        </w:rPr>
        <w:t xml:space="preserve"> </w:t>
      </w:r>
      <w:r>
        <w:rPr>
          <w:bCs/>
        </w:rPr>
        <w:t>“</w:t>
      </w:r>
      <w:r w:rsidRPr="000135F4">
        <w:rPr>
          <w:bCs/>
        </w:rPr>
        <w:t xml:space="preserve">stopped short of holding that </w:t>
      </w:r>
      <w:r w:rsidRPr="000135F4">
        <w:rPr>
          <w:bCs/>
        </w:rPr>
        <w:t>the court has a sua sponte duty to instruct on those factors,</w:t>
      </w:r>
      <w:r>
        <w:rPr>
          <w:bCs/>
        </w:rPr>
        <w:t>”</w:t>
      </w:r>
      <w:r w:rsidRPr="000135F4">
        <w:rPr>
          <w:bCs/>
        </w:rPr>
        <w:t xml:space="preserve"> and </w:t>
      </w:r>
      <w:r w:rsidRPr="008941FA">
        <w:rPr>
          <w:bCs/>
          <w:i/>
          <w:iCs/>
        </w:rPr>
        <w:t>Clark</w:t>
      </w:r>
      <w:r w:rsidRPr="000135F4">
        <w:rPr>
          <w:bCs/>
        </w:rPr>
        <w:t xml:space="preserve"> </w:t>
      </w:r>
      <w:r>
        <w:rPr>
          <w:bCs/>
        </w:rPr>
        <w:t>“</w:t>
      </w:r>
      <w:r w:rsidRPr="000135F4">
        <w:rPr>
          <w:bCs/>
        </w:rPr>
        <w:t>did not hold that the court has a sua sponte duty to instruct on those factors.</w:t>
      </w:r>
      <w:r>
        <w:rPr>
          <w:bCs/>
        </w:rPr>
        <w:t>” </w:t>
      </w:r>
      <w:r w:rsidRPr="000135F4">
        <w:rPr>
          <w:bCs/>
        </w:rPr>
        <w:t>’</w:t>
      </w:r>
      <w:r>
        <w:rPr>
          <w:bCs/>
        </w:rPr>
        <w:t> </w:t>
      </w:r>
      <w:r w:rsidRPr="00F80588">
        <w:rPr>
          <w:bCs/>
        </w:rPr>
        <w:t>”  (</w:t>
      </w:r>
      <w:r w:rsidRPr="00F80588">
        <w:rPr>
          <w:bCs/>
          <w:i/>
          <w:iCs/>
        </w:rPr>
        <w:t>Nunez</w:t>
      </w:r>
      <w:r w:rsidRPr="00F80588">
        <w:rPr>
          <w:bCs/>
        </w:rPr>
        <w:t>,</w:t>
      </w:r>
      <w:r w:rsidRPr="00F80588">
        <w:rPr>
          <w:bCs/>
          <w:i/>
          <w:iCs/>
        </w:rPr>
        <w:t xml:space="preserve"> </w:t>
      </w:r>
      <w:r w:rsidRPr="00F80588">
        <w:rPr>
          <w:bCs/>
        </w:rPr>
        <w:t>at p</w:t>
      </w:r>
      <w:r>
        <w:rPr>
          <w:bCs/>
        </w:rPr>
        <w:t>p</w:t>
      </w:r>
      <w:r w:rsidRPr="00F80588">
        <w:rPr>
          <w:bCs/>
        </w:rPr>
        <w:t>. 92</w:t>
      </w:r>
      <w:r>
        <w:rPr>
          <w:bCs/>
        </w:rPr>
        <w:t>-93</w:t>
      </w:r>
      <w:r w:rsidRPr="00F80588">
        <w:rPr>
          <w:bCs/>
        </w:rPr>
        <w:t xml:space="preserve">; </w:t>
      </w:r>
      <w:r>
        <w:rPr>
          <w:bCs/>
        </w:rPr>
        <w:t xml:space="preserve">accord, </w:t>
      </w:r>
      <w:r w:rsidRPr="00F80588">
        <w:rPr>
          <w:bCs/>
          <w:i/>
          <w:iCs/>
        </w:rPr>
        <w:t>Jones</w:t>
      </w:r>
      <w:r w:rsidRPr="00F80588">
        <w:rPr>
          <w:bCs/>
        </w:rPr>
        <w:t xml:space="preserve">, at p. 484; </w:t>
      </w:r>
      <w:r w:rsidRPr="00F80588">
        <w:rPr>
          <w:bCs/>
          <w:i/>
          <w:iCs/>
        </w:rPr>
        <w:t>Allison</w:t>
      </w:r>
      <w:r w:rsidRPr="00F80588">
        <w:rPr>
          <w:bCs/>
        </w:rPr>
        <w:t>, at pp. 458-459.)  Thus, these courts fo</w:t>
      </w:r>
      <w:r w:rsidRPr="00F80588">
        <w:rPr>
          <w:bCs/>
        </w:rPr>
        <w:t>u</w:t>
      </w:r>
      <w:r>
        <w:rPr>
          <w:bCs/>
        </w:rPr>
        <w:t xml:space="preserve">nd </w:t>
      </w:r>
      <w:r w:rsidRPr="00FE5166">
        <w:rPr>
          <w:bCs/>
        </w:rPr>
        <w:t>“no basis to conclude as a general matter that a pre-</w:t>
      </w:r>
      <w:r w:rsidRPr="00D11A54">
        <w:rPr>
          <w:bCs/>
          <w:i/>
          <w:iCs/>
        </w:rPr>
        <w:t>Banks</w:t>
      </w:r>
      <w:r w:rsidRPr="00FE5166">
        <w:rPr>
          <w:bCs/>
        </w:rPr>
        <w:t xml:space="preserve"> and </w:t>
      </w:r>
      <w:r w:rsidRPr="00D11A54">
        <w:rPr>
          <w:bCs/>
          <w:i/>
          <w:iCs/>
        </w:rPr>
        <w:t>Clark</w:t>
      </w:r>
      <w:r w:rsidRPr="00FE5166">
        <w:rPr>
          <w:bCs/>
        </w:rPr>
        <w:t xml:space="preserve"> jury was instructed differently than a post-</w:t>
      </w:r>
      <w:r w:rsidRPr="00D11A54">
        <w:rPr>
          <w:bCs/>
          <w:i/>
          <w:iCs/>
        </w:rPr>
        <w:t>Banks</w:t>
      </w:r>
      <w:r w:rsidRPr="00FE5166">
        <w:rPr>
          <w:bCs/>
        </w:rPr>
        <w:t xml:space="preserve"> and </w:t>
      </w:r>
      <w:r w:rsidRPr="00D11A54">
        <w:rPr>
          <w:bCs/>
          <w:i/>
          <w:iCs/>
        </w:rPr>
        <w:t>Clark</w:t>
      </w:r>
      <w:r w:rsidRPr="00FE5166">
        <w:rPr>
          <w:bCs/>
        </w:rPr>
        <w:t xml:space="preserve"> jury, or resolved different factual issues, answered different questions, or applied different standards</w:t>
      </w:r>
      <w:r w:rsidRPr="00F80588">
        <w:rPr>
          <w:bCs/>
        </w:rPr>
        <w:t>.”  (</w:t>
      </w:r>
      <w:r w:rsidRPr="00F80588">
        <w:rPr>
          <w:bCs/>
          <w:i/>
          <w:iCs/>
        </w:rPr>
        <w:t>Nunez</w:t>
      </w:r>
      <w:r w:rsidRPr="00F80588">
        <w:rPr>
          <w:bCs/>
        </w:rPr>
        <w:t>, at p. 94.)</w:t>
      </w:r>
      <w:r>
        <w:rPr>
          <w:bCs/>
        </w:rPr>
        <w:t xml:space="preserve">  </w:t>
      </w:r>
    </w:p>
    <w:p w14:paraId="25F912BA" w14:textId="77777777" w:rsidR="00361A95" w:rsidRDefault="00845A1D" w:rsidP="00590074">
      <w:pPr>
        <w:ind w:firstLine="720"/>
        <w:rPr>
          <w:bCs/>
        </w:rPr>
      </w:pPr>
      <w:r>
        <w:rPr>
          <w:bCs/>
        </w:rPr>
        <w:t xml:space="preserve">These courts have also held that an </w:t>
      </w:r>
      <w:r w:rsidRPr="00F80588">
        <w:rPr>
          <w:bCs/>
        </w:rPr>
        <w:t>attack on a special circumstance finding in a section 1170.95 proceeding effectively const</w:t>
      </w:r>
      <w:r w:rsidRPr="00F80588">
        <w:rPr>
          <w:bCs/>
        </w:rPr>
        <w:t>itutes a collateral attack on the judgment.  (</w:t>
      </w:r>
      <w:r w:rsidRPr="00F80588">
        <w:rPr>
          <w:bCs/>
          <w:i/>
          <w:iCs/>
        </w:rPr>
        <w:t xml:space="preserve">People v. Galvan </w:t>
      </w:r>
      <w:r w:rsidRPr="00F80588">
        <w:rPr>
          <w:bCs/>
        </w:rPr>
        <w:t>(2020)</w:t>
      </w:r>
      <w:r w:rsidRPr="00F80588">
        <w:rPr>
          <w:bCs/>
          <w:i/>
          <w:iCs/>
        </w:rPr>
        <w:t xml:space="preserve"> </w:t>
      </w:r>
      <w:r w:rsidRPr="00F80588">
        <w:rPr>
          <w:bCs/>
        </w:rPr>
        <w:t>52</w:t>
      </w:r>
      <w:r w:rsidRPr="0089141E">
        <w:rPr>
          <w:bCs/>
        </w:rPr>
        <w:t xml:space="preserve"> </w:t>
      </w:r>
      <w:r w:rsidRPr="00F80588">
        <w:rPr>
          <w:bCs/>
        </w:rPr>
        <w:t>Cal.App.5th 1134, 1142, review granted Oct. 14, 2020, S264284</w:t>
      </w:r>
      <w:r>
        <w:rPr>
          <w:bCs/>
        </w:rPr>
        <w:t xml:space="preserve">; </w:t>
      </w:r>
      <w:r w:rsidRPr="00F80588">
        <w:rPr>
          <w:bCs/>
          <w:i/>
          <w:iCs/>
        </w:rPr>
        <w:t>Gomez</w:t>
      </w:r>
      <w:r w:rsidRPr="00F80588">
        <w:rPr>
          <w:bCs/>
        </w:rPr>
        <w:t>,</w:t>
      </w:r>
      <w:r w:rsidRPr="00F80588">
        <w:rPr>
          <w:bCs/>
          <w:i/>
          <w:iCs/>
        </w:rPr>
        <w:t xml:space="preserve"> supra</w:t>
      </w:r>
      <w:r w:rsidRPr="00F80588">
        <w:rPr>
          <w:bCs/>
        </w:rPr>
        <w:t>, 52 Cal.App.5th at p. 16, review granted.)  According to these</w:t>
      </w:r>
      <w:r>
        <w:rPr>
          <w:bCs/>
        </w:rPr>
        <w:t xml:space="preserve"> courts, a petitioner who wishes to argue the</w:t>
      </w:r>
      <w:r>
        <w:rPr>
          <w:bCs/>
        </w:rPr>
        <w:t xml:space="preserve"> special circumstance finding is invalid under current law must first seek to invalidate that finding through a petition for writ of habeas corpus before seeking resentencing pursuant </w:t>
      </w:r>
      <w:r w:rsidRPr="00F80588">
        <w:rPr>
          <w:bCs/>
        </w:rPr>
        <w:t>to section 1170.95.  (</w:t>
      </w:r>
      <w:r w:rsidRPr="00F80588">
        <w:rPr>
          <w:bCs/>
          <w:i/>
          <w:iCs/>
        </w:rPr>
        <w:t>Galvan</w:t>
      </w:r>
      <w:r w:rsidRPr="00F80588">
        <w:rPr>
          <w:bCs/>
        </w:rPr>
        <w:t>,</w:t>
      </w:r>
      <w:r w:rsidRPr="00F80588">
        <w:rPr>
          <w:bCs/>
          <w:i/>
          <w:iCs/>
        </w:rPr>
        <w:t xml:space="preserve"> </w:t>
      </w:r>
      <w:r w:rsidRPr="00F80588">
        <w:rPr>
          <w:bCs/>
        </w:rPr>
        <w:t xml:space="preserve">at p. 1142; </w:t>
      </w:r>
      <w:r w:rsidRPr="00F80588">
        <w:rPr>
          <w:bCs/>
          <w:i/>
          <w:iCs/>
        </w:rPr>
        <w:t>Gomez</w:t>
      </w:r>
      <w:r w:rsidRPr="00F80588">
        <w:rPr>
          <w:bCs/>
        </w:rPr>
        <w:t>,</w:t>
      </w:r>
      <w:r w:rsidRPr="00F80588">
        <w:rPr>
          <w:bCs/>
          <w:i/>
          <w:iCs/>
        </w:rPr>
        <w:t xml:space="preserve"> </w:t>
      </w:r>
      <w:r w:rsidRPr="00F80588">
        <w:rPr>
          <w:bCs/>
        </w:rPr>
        <w:t>at p. 17</w:t>
      </w:r>
      <w:r>
        <w:rPr>
          <w:bCs/>
        </w:rPr>
        <w:t xml:space="preserve">; </w:t>
      </w:r>
      <w:r w:rsidRPr="00F80588">
        <w:rPr>
          <w:bCs/>
          <w:i/>
          <w:iCs/>
        </w:rPr>
        <w:t>Jones</w:t>
      </w:r>
      <w:r w:rsidRPr="00F80588">
        <w:rPr>
          <w:bCs/>
        </w:rPr>
        <w:t>,</w:t>
      </w:r>
      <w:r w:rsidRPr="00F80588">
        <w:rPr>
          <w:bCs/>
          <w:i/>
          <w:iCs/>
        </w:rPr>
        <w:t xml:space="preserve"> supra</w:t>
      </w:r>
      <w:r w:rsidRPr="00F80588">
        <w:rPr>
          <w:bCs/>
        </w:rPr>
        <w:t>,</w:t>
      </w:r>
      <w:r w:rsidRPr="00F80588">
        <w:rPr>
          <w:bCs/>
        </w:rPr>
        <w:t xml:space="preserve"> 56 Cal.App.5th at p. 485, review granted.)  These</w:t>
      </w:r>
      <w:r>
        <w:rPr>
          <w:bCs/>
        </w:rPr>
        <w:t xml:space="preserve"> courts reason that a contrary interpretation “</w:t>
      </w:r>
      <w:r w:rsidRPr="006F3563">
        <w:rPr>
          <w:bCs/>
        </w:rPr>
        <w:t>would read into section 1170.95 a new procedure allowing petitioners to ignore a special circumstance finding—no matter how well supported in the record—as wel</w:t>
      </w:r>
      <w:r w:rsidRPr="006F3563">
        <w:rPr>
          <w:bCs/>
        </w:rPr>
        <w:t xml:space="preserve">l as the recognized method of challenging it. </w:t>
      </w:r>
      <w:r>
        <w:rPr>
          <w:bCs/>
        </w:rPr>
        <w:t xml:space="preserve"> </w:t>
      </w:r>
      <w:r w:rsidRPr="006F3563">
        <w:rPr>
          <w:bCs/>
        </w:rPr>
        <w:t xml:space="preserve">Such petitioners would be allowed to relitigate a prior jury finding at an evidentiary hearing </w:t>
      </w:r>
      <w:r w:rsidRPr="006F3563">
        <w:rPr>
          <w:bCs/>
        </w:rPr>
        <w:lastRenderedPageBreak/>
        <w:t>where the prosecution bears the burden of proving the truth of the finding, beyond a reasonable doubt, a second ti</w:t>
      </w:r>
      <w:r w:rsidRPr="006F3563">
        <w:rPr>
          <w:bCs/>
        </w:rPr>
        <w:t>me</w:t>
      </w:r>
      <w:r w:rsidRPr="00F80588">
        <w:rPr>
          <w:bCs/>
        </w:rPr>
        <w:t>.”  (</w:t>
      </w:r>
      <w:r w:rsidRPr="00F80588">
        <w:rPr>
          <w:bCs/>
          <w:i/>
          <w:iCs/>
        </w:rPr>
        <w:t>Jones</w:t>
      </w:r>
      <w:r w:rsidRPr="00F80588">
        <w:rPr>
          <w:bCs/>
        </w:rPr>
        <w:t>, at p. 485.)</w:t>
      </w:r>
    </w:p>
    <w:p w14:paraId="5F502A3B" w14:textId="77777777" w:rsidR="00361A95" w:rsidRDefault="00845A1D" w:rsidP="006F3563">
      <w:pPr>
        <w:ind w:firstLine="720"/>
        <w:rPr>
          <w:bCs/>
        </w:rPr>
      </w:pPr>
      <w:r>
        <w:rPr>
          <w:bCs/>
        </w:rPr>
        <w:t xml:space="preserve">On the other hand, courts that have found a special circumstance finding insufficient to render a petitioner ineligible for relief have reasoned </w:t>
      </w:r>
      <w:r w:rsidRPr="00F80588">
        <w:rPr>
          <w:bCs/>
        </w:rPr>
        <w:t xml:space="preserve">that </w:t>
      </w:r>
      <w:r w:rsidRPr="00F80588">
        <w:rPr>
          <w:bCs/>
          <w:i/>
          <w:iCs/>
        </w:rPr>
        <w:t>Banks</w:t>
      </w:r>
      <w:r w:rsidRPr="00F80588">
        <w:rPr>
          <w:bCs/>
        </w:rPr>
        <w:t xml:space="preserve"> and </w:t>
      </w:r>
      <w:r w:rsidRPr="00F80588">
        <w:rPr>
          <w:bCs/>
          <w:i/>
          <w:iCs/>
        </w:rPr>
        <w:t>Clark</w:t>
      </w:r>
      <w:r w:rsidRPr="00F80588">
        <w:rPr>
          <w:bCs/>
        </w:rPr>
        <w:t xml:space="preserve"> “construed section 190.2, subdivision (d) in a significantly dif</w:t>
      </w:r>
      <w:r w:rsidRPr="00F80588">
        <w:rPr>
          <w:bCs/>
        </w:rPr>
        <w:t>ferent, and narrower manner than courts had previously construed the statute.”  (</w:t>
      </w:r>
      <w:r w:rsidRPr="00F80588">
        <w:rPr>
          <w:bCs/>
          <w:i/>
          <w:iCs/>
        </w:rPr>
        <w:t xml:space="preserve">People v. Torres </w:t>
      </w:r>
      <w:r w:rsidRPr="00F80588">
        <w:rPr>
          <w:bCs/>
        </w:rPr>
        <w:t xml:space="preserve">(2020) 46 Cal.App.5th 1168, 1179, review granted June 24, 2020, S262011; accord, </w:t>
      </w:r>
      <w:r w:rsidRPr="00F80588">
        <w:rPr>
          <w:bCs/>
          <w:i/>
          <w:iCs/>
        </w:rPr>
        <w:t xml:space="preserve">People v. Harris </w:t>
      </w:r>
      <w:r w:rsidRPr="00F80588">
        <w:rPr>
          <w:bCs/>
        </w:rPr>
        <w:t>(2021) 60 Cal.App.5th 939, 958</w:t>
      </w:r>
      <w:r>
        <w:rPr>
          <w:bCs/>
        </w:rPr>
        <w:t>, review granted Apr. 28, 2021</w:t>
      </w:r>
      <w:r>
        <w:rPr>
          <w:bCs/>
        </w:rPr>
        <w:t>, S267802</w:t>
      </w:r>
      <w:r w:rsidRPr="00F80588">
        <w:rPr>
          <w:bCs/>
        </w:rPr>
        <w:t>.)  Thus, these courts surmised that a petitioner</w:t>
      </w:r>
      <w:r>
        <w:rPr>
          <w:bCs/>
        </w:rPr>
        <w:t xml:space="preserve"> with a pre</w:t>
      </w:r>
      <w:r w:rsidRPr="00F80588">
        <w:rPr>
          <w:bCs/>
        </w:rPr>
        <w:t>-</w:t>
      </w:r>
      <w:r w:rsidRPr="00F80588">
        <w:rPr>
          <w:bCs/>
          <w:i/>
          <w:iCs/>
        </w:rPr>
        <w:t>Banks</w:t>
      </w:r>
      <w:r w:rsidRPr="00F80588">
        <w:rPr>
          <w:bCs/>
        </w:rPr>
        <w:t xml:space="preserve"> and </w:t>
      </w:r>
      <w:r w:rsidRPr="00F80588">
        <w:rPr>
          <w:bCs/>
          <w:i/>
          <w:iCs/>
        </w:rPr>
        <w:t>Clark</w:t>
      </w:r>
      <w:r w:rsidRPr="00F80588">
        <w:rPr>
          <w:bCs/>
        </w:rPr>
        <w:t xml:space="preserve"> special circumstance finding may have been convicted based on “conduct that is not prohibited by section 190.2 as currently understood.”  (</w:t>
      </w:r>
      <w:r w:rsidRPr="00F80588">
        <w:rPr>
          <w:bCs/>
          <w:i/>
          <w:iCs/>
        </w:rPr>
        <w:t>Torres</w:t>
      </w:r>
      <w:r w:rsidRPr="00F80588">
        <w:rPr>
          <w:bCs/>
        </w:rPr>
        <w:t xml:space="preserve">, at p. 1180; accord, </w:t>
      </w:r>
      <w:r w:rsidRPr="00F80588">
        <w:rPr>
          <w:bCs/>
          <w:i/>
          <w:iCs/>
        </w:rPr>
        <w:t>Har</w:t>
      </w:r>
      <w:r w:rsidRPr="00F80588">
        <w:rPr>
          <w:bCs/>
          <w:i/>
          <w:iCs/>
        </w:rPr>
        <w:t>ris</w:t>
      </w:r>
      <w:r w:rsidRPr="00F80588">
        <w:rPr>
          <w:bCs/>
        </w:rPr>
        <w:t>,</w:t>
      </w:r>
      <w:r w:rsidRPr="00F80588">
        <w:rPr>
          <w:bCs/>
          <w:i/>
          <w:iCs/>
        </w:rPr>
        <w:t xml:space="preserve"> </w:t>
      </w:r>
      <w:r w:rsidRPr="00F80588">
        <w:rPr>
          <w:bCs/>
        </w:rPr>
        <w:t xml:space="preserve">at p. 958; </w:t>
      </w:r>
      <w:r w:rsidRPr="00F80588">
        <w:rPr>
          <w:bCs/>
          <w:i/>
          <w:iCs/>
        </w:rPr>
        <w:t>People v. York</w:t>
      </w:r>
      <w:r w:rsidRPr="00F80588">
        <w:rPr>
          <w:bCs/>
        </w:rPr>
        <w:t xml:space="preserve"> (2020) 54 Cal.App.5th 250, 258, review granted Nov. 18, 2020, S264954; </w:t>
      </w:r>
      <w:r w:rsidRPr="00F80588">
        <w:rPr>
          <w:bCs/>
          <w:i/>
          <w:iCs/>
        </w:rPr>
        <w:t>People v. Smith</w:t>
      </w:r>
      <w:r w:rsidRPr="00F80588">
        <w:rPr>
          <w:bCs/>
        </w:rPr>
        <w:t xml:space="preserve"> (2020) 49 Cal.App.5th 85, 93, review granted July 22, 2020, S262835.)  To the extent the jury’s finding on a felony</w:t>
      </w:r>
      <w:r>
        <w:rPr>
          <w:bCs/>
        </w:rPr>
        <w:t>-</w:t>
      </w:r>
      <w:r w:rsidRPr="00F80588">
        <w:rPr>
          <w:bCs/>
        </w:rPr>
        <w:t>murder special circums</w:t>
      </w:r>
      <w:r w:rsidRPr="00F80588">
        <w:rPr>
          <w:bCs/>
        </w:rPr>
        <w:t xml:space="preserve">tance is legally insufficient under </w:t>
      </w:r>
      <w:r w:rsidRPr="00F80588">
        <w:rPr>
          <w:bCs/>
          <w:i/>
          <w:iCs/>
        </w:rPr>
        <w:t xml:space="preserve">Banks </w:t>
      </w:r>
      <w:r w:rsidRPr="00F80588">
        <w:rPr>
          <w:bCs/>
        </w:rPr>
        <w:t xml:space="preserve">and </w:t>
      </w:r>
      <w:r w:rsidRPr="00F80588">
        <w:rPr>
          <w:bCs/>
          <w:i/>
          <w:iCs/>
        </w:rPr>
        <w:t>Clark</w:t>
      </w:r>
      <w:r w:rsidRPr="00F80588">
        <w:rPr>
          <w:bCs/>
        </w:rPr>
        <w:t>,</w:t>
      </w:r>
      <w:r>
        <w:rPr>
          <w:bCs/>
        </w:rPr>
        <w:t xml:space="preserve"> it cannot refute a prima facie showing of entitlement to resentencing relief</w:t>
      </w:r>
      <w:r w:rsidRPr="00F80588">
        <w:rPr>
          <w:bCs/>
        </w:rPr>
        <w:t>.  (</w:t>
      </w:r>
      <w:r w:rsidRPr="00F80588">
        <w:rPr>
          <w:bCs/>
          <w:i/>
          <w:iCs/>
        </w:rPr>
        <w:t>People v. Secrease</w:t>
      </w:r>
      <w:r w:rsidRPr="00F80588">
        <w:rPr>
          <w:bCs/>
        </w:rPr>
        <w:t xml:space="preserve"> </w:t>
      </w:r>
      <w:r w:rsidRPr="00962B04">
        <w:rPr>
          <w:bCs/>
        </w:rPr>
        <w:t xml:space="preserve">(2021) </w:t>
      </w:r>
      <w:r w:rsidR="009A50C2" w:rsidRPr="00962B04">
        <w:rPr>
          <w:bCs/>
        </w:rPr>
        <w:t>63</w:t>
      </w:r>
      <w:r w:rsidRPr="00962B04">
        <w:rPr>
          <w:bCs/>
        </w:rPr>
        <w:t xml:space="preserve"> Cal.App.5th </w:t>
      </w:r>
      <w:r w:rsidR="009A50C2" w:rsidRPr="00962B04">
        <w:rPr>
          <w:bCs/>
        </w:rPr>
        <w:t>231</w:t>
      </w:r>
      <w:r w:rsidRPr="00962B04">
        <w:rPr>
          <w:bCs/>
        </w:rPr>
        <w:t xml:space="preserve">, </w:t>
      </w:r>
      <w:r w:rsidR="009A50C2" w:rsidRPr="00962B04">
        <w:rPr>
          <w:bCs/>
        </w:rPr>
        <w:t>256</w:t>
      </w:r>
      <w:r w:rsidRPr="00962B04">
        <w:rPr>
          <w:bCs/>
        </w:rPr>
        <w:t>.)</w:t>
      </w:r>
      <w:r w:rsidRPr="00F80588">
        <w:rPr>
          <w:bCs/>
        </w:rPr>
        <w:t xml:space="preserve">  Accordingly, in considering whether a petitioner is entitled to relief pursuant to section 1170.95,</w:t>
      </w:r>
      <w:r>
        <w:rPr>
          <w:bCs/>
        </w:rPr>
        <w:t xml:space="preserve"> the trial court must first determine whether “the evidence presented at trial was sufficient to support the felony-murder special-circumstance finding und</w:t>
      </w:r>
      <w:r>
        <w:rPr>
          <w:bCs/>
        </w:rPr>
        <w:t xml:space="preserve">er </w:t>
      </w:r>
      <w:r>
        <w:rPr>
          <w:bCs/>
          <w:i/>
          <w:iCs/>
        </w:rPr>
        <w:t xml:space="preserve">Banks </w:t>
      </w:r>
      <w:r>
        <w:rPr>
          <w:bCs/>
        </w:rPr>
        <w:t xml:space="preserve">and </w:t>
      </w:r>
      <w:r>
        <w:rPr>
          <w:bCs/>
          <w:i/>
          <w:iCs/>
        </w:rPr>
        <w:t>Clark.</w:t>
      </w:r>
      <w:r>
        <w:rPr>
          <w:bCs/>
        </w:rPr>
        <w:t xml:space="preserve">”  </w:t>
      </w:r>
      <w:r w:rsidRPr="00962B04">
        <w:rPr>
          <w:bCs/>
        </w:rPr>
        <w:t>(</w:t>
      </w:r>
      <w:r w:rsidRPr="00962B04">
        <w:rPr>
          <w:bCs/>
          <w:i/>
          <w:iCs/>
        </w:rPr>
        <w:t>Secrease</w:t>
      </w:r>
      <w:r w:rsidRPr="00962B04">
        <w:rPr>
          <w:bCs/>
        </w:rPr>
        <w:t>, at p. </w:t>
      </w:r>
      <w:r w:rsidR="009A50C2" w:rsidRPr="00962B04">
        <w:rPr>
          <w:bCs/>
        </w:rPr>
        <w:t>264</w:t>
      </w:r>
      <w:r w:rsidRPr="00962B04">
        <w:rPr>
          <w:bCs/>
        </w:rPr>
        <w:t>.)</w:t>
      </w:r>
      <w:r>
        <w:rPr>
          <w:bCs/>
        </w:rPr>
        <w:t xml:space="preserve">    </w:t>
      </w:r>
      <w:r w:rsidRPr="00FE5166">
        <w:rPr>
          <w:bCs/>
        </w:rPr>
        <w:t xml:space="preserve"> </w:t>
      </w:r>
      <w:r>
        <w:rPr>
          <w:bCs/>
        </w:rPr>
        <w:t xml:space="preserve"> </w:t>
      </w:r>
    </w:p>
    <w:p w14:paraId="21711046" w14:textId="77777777" w:rsidR="00361A95" w:rsidRPr="008C517D" w:rsidRDefault="00845A1D" w:rsidP="0062280F">
      <w:pPr>
        <w:ind w:firstLine="720"/>
        <w:rPr>
          <w:bCs/>
        </w:rPr>
      </w:pPr>
      <w:r>
        <w:rPr>
          <w:bCs/>
        </w:rPr>
        <w:t>We</w:t>
      </w:r>
      <w:r w:rsidRPr="004E20EF">
        <w:rPr>
          <w:bCs/>
        </w:rPr>
        <w:t xml:space="preserve"> </w:t>
      </w:r>
      <w:r>
        <w:rPr>
          <w:bCs/>
        </w:rPr>
        <w:t xml:space="preserve">find more persuasive those </w:t>
      </w:r>
      <w:r w:rsidRPr="004E20EF">
        <w:rPr>
          <w:bCs/>
        </w:rPr>
        <w:t xml:space="preserve">cases holding that a special circumstance finding precludes relief as a matter of </w:t>
      </w:r>
      <w:r w:rsidRPr="00F80588">
        <w:rPr>
          <w:bCs/>
        </w:rPr>
        <w:t xml:space="preserve">law.  </w:t>
      </w:r>
      <w:r w:rsidRPr="00F80588">
        <w:rPr>
          <w:bCs/>
          <w:i/>
          <w:iCs/>
        </w:rPr>
        <w:t>Banks</w:t>
      </w:r>
      <w:r w:rsidRPr="00F80588">
        <w:rPr>
          <w:bCs/>
        </w:rPr>
        <w:t xml:space="preserve"> and </w:t>
      </w:r>
      <w:r w:rsidRPr="00F80588">
        <w:rPr>
          <w:bCs/>
          <w:i/>
          <w:iCs/>
        </w:rPr>
        <w:t>Clark</w:t>
      </w:r>
      <w:r w:rsidRPr="00F80588">
        <w:rPr>
          <w:bCs/>
        </w:rPr>
        <w:t xml:space="preserve"> did not state a new rule of law. Rather, they relied </w:t>
      </w:r>
      <w:r>
        <w:rPr>
          <w:bCs/>
        </w:rPr>
        <w:t xml:space="preserve">on </w:t>
      </w:r>
      <w:r w:rsidRPr="00F80588">
        <w:rPr>
          <w:bCs/>
        </w:rPr>
        <w:t>the United Stat</w:t>
      </w:r>
      <w:r w:rsidRPr="00F80588">
        <w:rPr>
          <w:bCs/>
        </w:rPr>
        <w:t xml:space="preserve">es Supreme Court’s decisions in </w:t>
      </w:r>
      <w:r w:rsidRPr="00F80588">
        <w:rPr>
          <w:bCs/>
          <w:i/>
          <w:iCs/>
        </w:rPr>
        <w:t xml:space="preserve">Enmund v. Florida </w:t>
      </w:r>
      <w:r w:rsidRPr="00F80588">
        <w:rPr>
          <w:bCs/>
        </w:rPr>
        <w:t xml:space="preserve">(1982) 458 U.S. 782 and </w:t>
      </w:r>
      <w:r w:rsidRPr="00F80588">
        <w:rPr>
          <w:bCs/>
          <w:i/>
          <w:iCs/>
        </w:rPr>
        <w:t xml:space="preserve">Tison v. Arizona </w:t>
      </w:r>
      <w:r w:rsidRPr="00F80588">
        <w:rPr>
          <w:bCs/>
        </w:rPr>
        <w:t xml:space="preserve">(1987) 481 U.S. 137 to clarify principles that had long been in existence at the time petitioner was convicted.  (See </w:t>
      </w:r>
      <w:r w:rsidRPr="00F80588">
        <w:rPr>
          <w:bCs/>
          <w:i/>
          <w:iCs/>
        </w:rPr>
        <w:t>In re Miller</w:t>
      </w:r>
      <w:r w:rsidRPr="00F80588">
        <w:rPr>
          <w:bCs/>
        </w:rPr>
        <w:t xml:space="preserve"> (2017) 14 Cal.App.5th 960, 978; ac</w:t>
      </w:r>
      <w:r w:rsidRPr="00F80588">
        <w:rPr>
          <w:bCs/>
        </w:rPr>
        <w:t xml:space="preserve">cord, </w:t>
      </w:r>
      <w:r w:rsidRPr="00F80588">
        <w:rPr>
          <w:bCs/>
          <w:i/>
          <w:iCs/>
        </w:rPr>
        <w:t>People v. Allison</w:t>
      </w:r>
      <w:r w:rsidRPr="00F80588">
        <w:rPr>
          <w:bCs/>
        </w:rPr>
        <w:t>,</w:t>
      </w:r>
      <w:r w:rsidRPr="00F80588">
        <w:rPr>
          <w:bCs/>
          <w:i/>
          <w:iCs/>
        </w:rPr>
        <w:t xml:space="preserve"> supra</w:t>
      </w:r>
      <w:r w:rsidRPr="00F80588">
        <w:rPr>
          <w:bCs/>
        </w:rPr>
        <w:t xml:space="preserve">, 55 Cal.App.5th at p. 458; </w:t>
      </w:r>
      <w:r w:rsidRPr="00F80588">
        <w:rPr>
          <w:bCs/>
          <w:i/>
          <w:iCs/>
        </w:rPr>
        <w:t>Gomez</w:t>
      </w:r>
      <w:r w:rsidRPr="00F80588">
        <w:rPr>
          <w:bCs/>
        </w:rPr>
        <w:t>,</w:t>
      </w:r>
      <w:r w:rsidRPr="00F80588">
        <w:rPr>
          <w:bCs/>
          <w:i/>
          <w:iCs/>
        </w:rPr>
        <w:t xml:space="preserve"> supra</w:t>
      </w:r>
      <w:r w:rsidRPr="00F80588">
        <w:rPr>
          <w:bCs/>
        </w:rPr>
        <w:t xml:space="preserve">, 52 Cal.App.5th at p. 13, fn. 5, review granted.)  </w:t>
      </w:r>
      <w:r w:rsidRPr="00F80588">
        <w:rPr>
          <w:bCs/>
          <w:i/>
          <w:iCs/>
        </w:rPr>
        <w:t xml:space="preserve">Enmund </w:t>
      </w:r>
      <w:r w:rsidRPr="00F80588">
        <w:rPr>
          <w:bCs/>
        </w:rPr>
        <w:t>prohibited</w:t>
      </w:r>
      <w:r>
        <w:rPr>
          <w:bCs/>
        </w:rPr>
        <w:t xml:space="preserve"> </w:t>
      </w:r>
      <w:r>
        <w:rPr>
          <w:bCs/>
        </w:rPr>
        <w:lastRenderedPageBreak/>
        <w:t>felony-murder liability for a defendant that “</w:t>
      </w:r>
      <w:r w:rsidRPr="0062280F">
        <w:rPr>
          <w:bCs/>
        </w:rPr>
        <w:t>did not commit the homicide, was not present when the killing took pla</w:t>
      </w:r>
      <w:r w:rsidRPr="0062280F">
        <w:rPr>
          <w:bCs/>
        </w:rPr>
        <w:t>ce, and did not participate in a plot or scheme to murder</w:t>
      </w:r>
      <w:r>
        <w:rPr>
          <w:bCs/>
        </w:rPr>
        <w:t>,</w:t>
      </w:r>
      <w:r w:rsidRPr="0062280F">
        <w:rPr>
          <w:bCs/>
        </w:rPr>
        <w:t>”</w:t>
      </w:r>
      <w:r>
        <w:rPr>
          <w:bCs/>
        </w:rPr>
        <w:t xml:space="preserve"> and explained that, to be liable for felony murder, the aider and abettor must himself “kill, attempt to kill, or intend that a killing take place or that lethal force will be employed</w:t>
      </w:r>
      <w:r w:rsidRPr="00F80588">
        <w:rPr>
          <w:bCs/>
        </w:rPr>
        <w:t>.”  (</w:t>
      </w:r>
      <w:r w:rsidRPr="00F80588">
        <w:rPr>
          <w:bCs/>
          <w:i/>
          <w:iCs/>
        </w:rPr>
        <w:t>Enmund</w:t>
      </w:r>
      <w:r w:rsidRPr="00F80588">
        <w:rPr>
          <w:bCs/>
        </w:rPr>
        <w:t>,</w:t>
      </w:r>
      <w:r w:rsidRPr="00F80588">
        <w:rPr>
          <w:bCs/>
        </w:rPr>
        <w:t xml:space="preserve"> at p</w:t>
      </w:r>
      <w:r>
        <w:rPr>
          <w:bCs/>
        </w:rPr>
        <w:t>p</w:t>
      </w:r>
      <w:r w:rsidRPr="00F80588">
        <w:rPr>
          <w:bCs/>
        </w:rPr>
        <w:t xml:space="preserve">. </w:t>
      </w:r>
      <w:r>
        <w:rPr>
          <w:bCs/>
        </w:rPr>
        <w:t xml:space="preserve">795, </w:t>
      </w:r>
      <w:r w:rsidRPr="00F80588">
        <w:rPr>
          <w:bCs/>
        </w:rPr>
        <w:t xml:space="preserve">797.)  </w:t>
      </w:r>
      <w:r w:rsidRPr="00F80588">
        <w:rPr>
          <w:bCs/>
          <w:i/>
          <w:iCs/>
        </w:rPr>
        <w:t xml:space="preserve">Tison </w:t>
      </w:r>
      <w:r w:rsidRPr="00F80588">
        <w:rPr>
          <w:bCs/>
        </w:rPr>
        <w:t>held</w:t>
      </w:r>
      <w:r>
        <w:rPr>
          <w:bCs/>
        </w:rPr>
        <w:t xml:space="preserve"> that, “major participation in the felony committed, combined with reckless indifference to human life, is sufficient to satisfy the </w:t>
      </w:r>
      <w:r>
        <w:rPr>
          <w:bCs/>
          <w:i/>
          <w:iCs/>
        </w:rPr>
        <w:t xml:space="preserve">Enmund </w:t>
      </w:r>
      <w:r>
        <w:rPr>
          <w:bCs/>
        </w:rPr>
        <w:t>culpability requirement</w:t>
      </w:r>
      <w:r w:rsidRPr="00F80588">
        <w:rPr>
          <w:bCs/>
        </w:rPr>
        <w:t>.”  (</w:t>
      </w:r>
      <w:r w:rsidRPr="00F80588">
        <w:rPr>
          <w:bCs/>
          <w:i/>
          <w:iCs/>
        </w:rPr>
        <w:t>Tison</w:t>
      </w:r>
      <w:r w:rsidRPr="00F80588">
        <w:rPr>
          <w:bCs/>
        </w:rPr>
        <w:t>, at pp. 15</w:t>
      </w:r>
      <w:r>
        <w:rPr>
          <w:bCs/>
        </w:rPr>
        <w:t>1</w:t>
      </w:r>
      <w:r w:rsidRPr="00F80588">
        <w:rPr>
          <w:bCs/>
        </w:rPr>
        <w:t xml:space="preserve">, 158.)  As </w:t>
      </w:r>
      <w:r w:rsidRPr="00F80588">
        <w:rPr>
          <w:bCs/>
          <w:i/>
          <w:iCs/>
        </w:rPr>
        <w:t>Banks</w:t>
      </w:r>
      <w:r>
        <w:rPr>
          <w:bCs/>
          <w:i/>
          <w:iCs/>
        </w:rPr>
        <w:t xml:space="preserve"> </w:t>
      </w:r>
      <w:r>
        <w:rPr>
          <w:bCs/>
        </w:rPr>
        <w:t>noted, this language fr</w:t>
      </w:r>
      <w:r>
        <w:rPr>
          <w:bCs/>
        </w:rPr>
        <w:t xml:space="preserve">om </w:t>
      </w:r>
      <w:r>
        <w:rPr>
          <w:bCs/>
          <w:i/>
          <w:iCs/>
        </w:rPr>
        <w:t xml:space="preserve">Tison </w:t>
      </w:r>
      <w:r>
        <w:rPr>
          <w:bCs/>
        </w:rPr>
        <w:t xml:space="preserve">was later codified by the California electorate </w:t>
      </w:r>
      <w:r w:rsidRPr="00F80588">
        <w:rPr>
          <w:bCs/>
        </w:rPr>
        <w:t>in section 190.2, subdivision (d).  (</w:t>
      </w:r>
      <w:r w:rsidRPr="00F80588">
        <w:rPr>
          <w:bCs/>
          <w:i/>
          <w:iCs/>
        </w:rPr>
        <w:t>Banks</w:t>
      </w:r>
      <w:r w:rsidRPr="00F80588">
        <w:rPr>
          <w:bCs/>
        </w:rPr>
        <w:t xml:space="preserve">, </w:t>
      </w:r>
      <w:r w:rsidRPr="00F80588">
        <w:rPr>
          <w:bCs/>
          <w:i/>
          <w:iCs/>
        </w:rPr>
        <w:t>supra</w:t>
      </w:r>
      <w:r w:rsidRPr="00F80588">
        <w:rPr>
          <w:bCs/>
        </w:rPr>
        <w:t>,</w:t>
      </w:r>
      <w:r w:rsidRPr="00F80588">
        <w:rPr>
          <w:bCs/>
          <w:i/>
          <w:iCs/>
        </w:rPr>
        <w:t xml:space="preserve"> </w:t>
      </w:r>
      <w:r w:rsidRPr="00F80588">
        <w:rPr>
          <w:bCs/>
        </w:rPr>
        <w:t xml:space="preserve">61 Cal.4th at p. 800.)  To the extent </w:t>
      </w:r>
      <w:r w:rsidRPr="00F80588">
        <w:rPr>
          <w:bCs/>
          <w:i/>
          <w:iCs/>
        </w:rPr>
        <w:t xml:space="preserve">Banks </w:t>
      </w:r>
      <w:r w:rsidRPr="00F80588">
        <w:rPr>
          <w:bCs/>
        </w:rPr>
        <w:t xml:space="preserve">and </w:t>
      </w:r>
      <w:r w:rsidRPr="00F80588">
        <w:rPr>
          <w:bCs/>
          <w:i/>
          <w:iCs/>
        </w:rPr>
        <w:t>Clark</w:t>
      </w:r>
      <w:r>
        <w:rPr>
          <w:bCs/>
          <w:i/>
          <w:iCs/>
        </w:rPr>
        <w:t xml:space="preserve"> </w:t>
      </w:r>
      <w:r>
        <w:rPr>
          <w:bCs/>
        </w:rPr>
        <w:t xml:space="preserve">illuminated factors a fact finder might consider in determining whether a defendant was a major contributor who acted with reckless indifference to human life, they drew those factors </w:t>
      </w:r>
      <w:r w:rsidRPr="00F80588">
        <w:rPr>
          <w:bCs/>
        </w:rPr>
        <w:t xml:space="preserve">from </w:t>
      </w:r>
      <w:r w:rsidRPr="00F80588">
        <w:rPr>
          <w:bCs/>
          <w:i/>
          <w:iCs/>
        </w:rPr>
        <w:t xml:space="preserve">Edmund </w:t>
      </w:r>
      <w:r w:rsidRPr="00F80588">
        <w:rPr>
          <w:bCs/>
        </w:rPr>
        <w:t xml:space="preserve">and </w:t>
      </w:r>
      <w:r w:rsidRPr="00F80588">
        <w:rPr>
          <w:bCs/>
          <w:i/>
          <w:iCs/>
        </w:rPr>
        <w:t xml:space="preserve">Tison.  </w:t>
      </w:r>
      <w:r w:rsidRPr="00F80588">
        <w:rPr>
          <w:bCs/>
        </w:rPr>
        <w:t xml:space="preserve">(See </w:t>
      </w:r>
      <w:r w:rsidRPr="00F80588">
        <w:rPr>
          <w:bCs/>
          <w:i/>
          <w:iCs/>
        </w:rPr>
        <w:t>Banks</w:t>
      </w:r>
      <w:r w:rsidRPr="00F80588">
        <w:rPr>
          <w:bCs/>
        </w:rPr>
        <w:t>,</w:t>
      </w:r>
      <w:r w:rsidRPr="00F80588">
        <w:rPr>
          <w:bCs/>
          <w:i/>
          <w:iCs/>
        </w:rPr>
        <w:t xml:space="preserve"> </w:t>
      </w:r>
      <w:r w:rsidRPr="00F80588">
        <w:rPr>
          <w:bCs/>
        </w:rPr>
        <w:t xml:space="preserve">at pp. 801, 803; </w:t>
      </w:r>
      <w:r>
        <w:rPr>
          <w:bCs/>
        </w:rPr>
        <w:t xml:space="preserve">see also </w:t>
      </w:r>
      <w:r w:rsidRPr="00F80588">
        <w:rPr>
          <w:bCs/>
          <w:i/>
          <w:iCs/>
        </w:rPr>
        <w:t>Clark</w:t>
      </w:r>
      <w:r w:rsidRPr="00F80588">
        <w:rPr>
          <w:bCs/>
        </w:rPr>
        <w:t>,</w:t>
      </w:r>
      <w:r w:rsidRPr="00F80588">
        <w:rPr>
          <w:bCs/>
          <w:i/>
          <w:iCs/>
        </w:rPr>
        <w:t xml:space="preserve"> sup</w:t>
      </w:r>
      <w:r w:rsidRPr="00F80588">
        <w:rPr>
          <w:bCs/>
          <w:i/>
          <w:iCs/>
        </w:rPr>
        <w:t>ra</w:t>
      </w:r>
      <w:r w:rsidRPr="00F80588">
        <w:rPr>
          <w:bCs/>
        </w:rPr>
        <w:t>, 63 Cal.4th at pp. 615, 618-623.)</w:t>
      </w:r>
      <w:r>
        <w:rPr>
          <w:bCs/>
        </w:rPr>
        <w:t xml:space="preserve">  These principles existed when petitioner was convicted and, absent a determination on direct appeal or in habeas that the evidence was insufficient </w:t>
      </w:r>
      <w:r w:rsidRPr="00FE23C7">
        <w:rPr>
          <w:bCs/>
        </w:rPr>
        <w:t>to</w:t>
      </w:r>
      <w:r>
        <w:rPr>
          <w:bCs/>
        </w:rPr>
        <w:t xml:space="preserve"> support the jury’s finding, there is no basis to conclude petitione</w:t>
      </w:r>
      <w:r>
        <w:rPr>
          <w:bCs/>
        </w:rPr>
        <w:t xml:space="preserve">r’s jury applied different standards than those described </w:t>
      </w:r>
      <w:r w:rsidRPr="00F80588">
        <w:rPr>
          <w:bCs/>
        </w:rPr>
        <w:t xml:space="preserve">in </w:t>
      </w:r>
      <w:r w:rsidRPr="00F80588">
        <w:rPr>
          <w:bCs/>
          <w:i/>
          <w:iCs/>
        </w:rPr>
        <w:t xml:space="preserve">Banks </w:t>
      </w:r>
      <w:r w:rsidRPr="00F80588">
        <w:rPr>
          <w:bCs/>
        </w:rPr>
        <w:t xml:space="preserve">and </w:t>
      </w:r>
      <w:r w:rsidRPr="00F80588">
        <w:rPr>
          <w:bCs/>
          <w:i/>
          <w:iCs/>
        </w:rPr>
        <w:t>Clark.</w:t>
      </w:r>
    </w:p>
    <w:p w14:paraId="098A040E" w14:textId="77777777" w:rsidR="00361A95" w:rsidRPr="00FF74D0" w:rsidRDefault="00845A1D" w:rsidP="005E7945">
      <w:pPr>
        <w:ind w:firstLine="720"/>
        <w:rPr>
          <w:bCs/>
        </w:rPr>
      </w:pPr>
      <w:r w:rsidRPr="004E20EF">
        <w:rPr>
          <w:bCs/>
        </w:rPr>
        <w:t xml:space="preserve">Accordingly, we conclude that </w:t>
      </w:r>
      <w:r>
        <w:rPr>
          <w:bCs/>
        </w:rPr>
        <w:t>petitioner</w:t>
      </w:r>
      <w:r w:rsidRPr="004E20EF">
        <w:rPr>
          <w:bCs/>
        </w:rPr>
        <w:t xml:space="preserve"> is ineligible for relief as a matter of law</w:t>
      </w:r>
      <w:r>
        <w:rPr>
          <w:bCs/>
        </w:rPr>
        <w:t xml:space="preserve">, and any error in failing to appoint counsel or follow the procedures </w:t>
      </w:r>
      <w:r w:rsidRPr="00F80588">
        <w:rPr>
          <w:bCs/>
        </w:rPr>
        <w:t>outlined in section 117</w:t>
      </w:r>
      <w:r w:rsidRPr="00F80588">
        <w:rPr>
          <w:bCs/>
        </w:rPr>
        <w:t>0.95, subdivision (c) was harmless.  (</w:t>
      </w:r>
      <w:r w:rsidRPr="00F80588">
        <w:rPr>
          <w:bCs/>
          <w:i/>
          <w:iCs/>
        </w:rPr>
        <w:t>Daniel</w:t>
      </w:r>
      <w:r w:rsidRPr="00F80588">
        <w:rPr>
          <w:bCs/>
        </w:rPr>
        <w:t>,</w:t>
      </w:r>
      <w:r w:rsidRPr="00F80588">
        <w:rPr>
          <w:bCs/>
          <w:i/>
          <w:iCs/>
        </w:rPr>
        <w:t xml:space="preserve"> supra</w:t>
      </w:r>
      <w:r w:rsidRPr="00F80588">
        <w:rPr>
          <w:bCs/>
        </w:rPr>
        <w:t>,</w:t>
      </w:r>
      <w:r w:rsidRPr="00F80588">
        <w:rPr>
          <w:bCs/>
          <w:i/>
          <w:iCs/>
        </w:rPr>
        <w:t xml:space="preserve"> </w:t>
      </w:r>
      <w:r w:rsidRPr="00F80588">
        <w:rPr>
          <w:bCs/>
        </w:rPr>
        <w:t>57 Cal.App.5th at p. 677, review granted;</w:t>
      </w:r>
      <w:r w:rsidRPr="00F80588">
        <w:rPr>
          <w:bCs/>
          <w:i/>
          <w:iCs/>
        </w:rPr>
        <w:t xml:space="preserve"> </w:t>
      </w:r>
      <w:r w:rsidRPr="00F80588">
        <w:rPr>
          <w:bCs/>
        </w:rPr>
        <w:t xml:space="preserve">accord, </w:t>
      </w:r>
      <w:r w:rsidRPr="00F80588">
        <w:rPr>
          <w:bCs/>
          <w:i/>
          <w:iCs/>
        </w:rPr>
        <w:t>People v. Law</w:t>
      </w:r>
      <w:r w:rsidRPr="00F80588">
        <w:rPr>
          <w:bCs/>
        </w:rPr>
        <w:t xml:space="preserve"> (2020) 48 Cal.App.5th 811, 826, review granted July 8, 2020, S262490 [any</w:t>
      </w:r>
      <w:r w:rsidRPr="005223AA">
        <w:rPr>
          <w:bCs/>
        </w:rPr>
        <w:t xml:space="preserve"> error in failing to appoint counsel was harmless because counsel </w:t>
      </w:r>
      <w:r w:rsidRPr="005223AA">
        <w:rPr>
          <w:bCs/>
        </w:rPr>
        <w:t xml:space="preserve">would not have been able to demonstrate petitioner was eligible for </w:t>
      </w:r>
      <w:r w:rsidRPr="00F80588">
        <w:rPr>
          <w:bCs/>
        </w:rPr>
        <w:t xml:space="preserve">resentencing]; </w:t>
      </w:r>
      <w:r w:rsidRPr="00F80588">
        <w:rPr>
          <w:bCs/>
          <w:i/>
          <w:iCs/>
        </w:rPr>
        <w:t>People v. Edwards</w:t>
      </w:r>
      <w:r w:rsidRPr="00F80588">
        <w:rPr>
          <w:bCs/>
        </w:rPr>
        <w:t xml:space="preserve"> (2020) 48 Cal.App.5th 666, 67</w:t>
      </w:r>
      <w:r>
        <w:rPr>
          <w:bCs/>
        </w:rPr>
        <w:t>5</w:t>
      </w:r>
      <w:r w:rsidRPr="00F80588">
        <w:rPr>
          <w:bCs/>
        </w:rPr>
        <w:t>, review granted July 8, 2020, S262481 [</w:t>
      </w:r>
      <w:r w:rsidRPr="005223AA">
        <w:rPr>
          <w:bCs/>
        </w:rPr>
        <w:t xml:space="preserve">any error in failing to appoint counsel was harmless because petitioner did not fall </w:t>
      </w:r>
      <w:r w:rsidRPr="005223AA">
        <w:rPr>
          <w:bCs/>
        </w:rPr>
        <w:t xml:space="preserve">within the provisions </w:t>
      </w:r>
      <w:r w:rsidRPr="00F80588">
        <w:rPr>
          <w:bCs/>
        </w:rPr>
        <w:t>of § 1170.95 as a</w:t>
      </w:r>
      <w:r w:rsidRPr="005223AA">
        <w:rPr>
          <w:bCs/>
        </w:rPr>
        <w:t xml:space="preserve"> matter of law].)</w:t>
      </w:r>
    </w:p>
    <w:p w14:paraId="0ECA5086" w14:textId="77777777" w:rsidR="00361A95" w:rsidRDefault="00845A1D" w:rsidP="00E77D29">
      <w:pPr>
        <w:keepNext/>
        <w:keepLines/>
        <w:jc w:val="center"/>
        <w:rPr>
          <w:b/>
          <w:u w:val="single"/>
        </w:rPr>
      </w:pPr>
      <w:r w:rsidRPr="003E062A">
        <w:rPr>
          <w:b/>
          <w:u w:val="single"/>
        </w:rPr>
        <w:lastRenderedPageBreak/>
        <w:t>DISPOSITION</w:t>
      </w:r>
    </w:p>
    <w:p w14:paraId="027FEA71" w14:textId="77777777" w:rsidR="00361A95" w:rsidRPr="009C26CC" w:rsidRDefault="00845A1D" w:rsidP="00E77D29">
      <w:pPr>
        <w:keepNext/>
        <w:keepLines/>
        <w:rPr>
          <w:bCs/>
        </w:rPr>
      </w:pPr>
      <w:r>
        <w:rPr>
          <w:b/>
        </w:rPr>
        <w:tab/>
      </w:r>
      <w:r>
        <w:rPr>
          <w:bCs/>
        </w:rPr>
        <w:t xml:space="preserve">The order is affirmed.  </w:t>
      </w:r>
    </w:p>
    <w:p w14:paraId="0051A8A7" w14:textId="77777777" w:rsidR="006811D4" w:rsidRDefault="006811D4" w:rsidP="006811D4"/>
    <w:p w14:paraId="57BFB99A" w14:textId="77777777" w:rsidR="007D214A" w:rsidRDefault="00845A1D" w:rsidP="007D214A">
      <w:pPr>
        <w:keepNext/>
        <w:tabs>
          <w:tab w:val="left" w:pos="6480"/>
          <w:tab w:val="left" w:pos="9360"/>
        </w:tabs>
        <w:spacing w:line="240" w:lineRule="auto"/>
      </w:pPr>
      <w:r>
        <w:tab/>
      </w:r>
      <w:r>
        <w:tab/>
      </w:r>
    </w:p>
    <w:p w14:paraId="71403CDA" w14:textId="77777777" w:rsidR="007D214A" w:rsidRDefault="00845A1D" w:rsidP="007D214A">
      <w:pPr>
        <w:keepNext/>
        <w:tabs>
          <w:tab w:val="left" w:pos="6480"/>
          <w:tab w:val="left" w:pos="9360"/>
        </w:tabs>
        <w:spacing w:line="240" w:lineRule="auto"/>
        <w:jc w:val="right"/>
      </w:pPr>
      <w:r>
        <w:t>DETJEN, J.</w:t>
      </w:r>
    </w:p>
    <w:p w14:paraId="486B6710" w14:textId="77777777" w:rsidR="007D214A" w:rsidRDefault="00845A1D" w:rsidP="007D214A">
      <w:pPr>
        <w:keepNext/>
        <w:tabs>
          <w:tab w:val="left" w:pos="2880"/>
        </w:tabs>
        <w:spacing w:line="240" w:lineRule="auto"/>
      </w:pPr>
      <w:r>
        <w:t>WE CONCUR:</w:t>
      </w:r>
    </w:p>
    <w:p w14:paraId="5B5DB1FE" w14:textId="77777777" w:rsidR="007D214A" w:rsidRDefault="007D214A" w:rsidP="007D214A">
      <w:pPr>
        <w:keepNext/>
        <w:tabs>
          <w:tab w:val="left" w:pos="2880"/>
        </w:tabs>
        <w:spacing w:line="240" w:lineRule="auto"/>
      </w:pPr>
    </w:p>
    <w:p w14:paraId="34824DAB" w14:textId="77777777" w:rsidR="007D214A" w:rsidRDefault="007D214A" w:rsidP="007D214A">
      <w:pPr>
        <w:keepNext/>
        <w:tabs>
          <w:tab w:val="left" w:pos="2880"/>
        </w:tabs>
        <w:spacing w:line="240" w:lineRule="auto"/>
      </w:pPr>
    </w:p>
    <w:p w14:paraId="05EA5E49" w14:textId="77777777" w:rsidR="007D214A" w:rsidRDefault="00845A1D" w:rsidP="007D214A">
      <w:pPr>
        <w:keepNext/>
        <w:tabs>
          <w:tab w:val="left" w:pos="2880"/>
        </w:tabs>
        <w:spacing w:line="240" w:lineRule="auto"/>
      </w:pPr>
      <w:r>
        <w:tab/>
      </w:r>
    </w:p>
    <w:p w14:paraId="0B2FBCBD" w14:textId="77777777" w:rsidR="007D214A" w:rsidRDefault="00845A1D" w:rsidP="007D214A">
      <w:pPr>
        <w:keepNext/>
        <w:tabs>
          <w:tab w:val="left" w:pos="2880"/>
        </w:tabs>
        <w:spacing w:line="240" w:lineRule="auto"/>
      </w:pPr>
      <w:r>
        <w:t>HILL, P.J.</w:t>
      </w:r>
    </w:p>
    <w:p w14:paraId="41684433" w14:textId="77777777" w:rsidR="007D214A" w:rsidRDefault="007D214A" w:rsidP="007D214A">
      <w:pPr>
        <w:keepNext/>
        <w:tabs>
          <w:tab w:val="left" w:pos="2880"/>
        </w:tabs>
        <w:spacing w:line="240" w:lineRule="auto"/>
      </w:pPr>
    </w:p>
    <w:p w14:paraId="580D3271" w14:textId="77777777" w:rsidR="007D214A" w:rsidRDefault="007D214A" w:rsidP="007D214A">
      <w:pPr>
        <w:keepNext/>
        <w:tabs>
          <w:tab w:val="left" w:pos="2880"/>
        </w:tabs>
        <w:spacing w:line="240" w:lineRule="auto"/>
      </w:pPr>
    </w:p>
    <w:p w14:paraId="0D54F1B2" w14:textId="77777777" w:rsidR="007D214A" w:rsidRDefault="00845A1D" w:rsidP="007D214A">
      <w:pPr>
        <w:keepNext/>
        <w:tabs>
          <w:tab w:val="left" w:pos="2880"/>
        </w:tabs>
        <w:spacing w:line="240" w:lineRule="auto"/>
      </w:pPr>
      <w:r>
        <w:tab/>
      </w:r>
    </w:p>
    <w:p w14:paraId="0EC8E893" w14:textId="77777777" w:rsidR="007D214A" w:rsidRDefault="00845A1D" w:rsidP="007D214A">
      <w:pPr>
        <w:keepNext/>
        <w:tabs>
          <w:tab w:val="left" w:pos="2880"/>
        </w:tabs>
        <w:spacing w:line="240" w:lineRule="auto"/>
      </w:pPr>
      <w:r>
        <w:t>PEÑA, J.</w:t>
      </w:r>
    </w:p>
    <w:sectPr w:rsidR="007D214A" w:rsidSect="006811D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A3A78" w14:textId="77777777" w:rsidR="00000000" w:rsidRDefault="00845A1D">
      <w:pPr>
        <w:spacing w:line="240" w:lineRule="auto"/>
      </w:pPr>
      <w:r>
        <w:separator/>
      </w:r>
    </w:p>
  </w:endnote>
  <w:endnote w:type="continuationSeparator" w:id="0">
    <w:p w14:paraId="33D6DF00" w14:textId="77777777" w:rsidR="00000000" w:rsidRDefault="00845A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629EB" w14:textId="77777777" w:rsidR="008D0654" w:rsidRDefault="008D06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A5CD4" w14:textId="77777777" w:rsidR="006811D4" w:rsidRDefault="00845A1D" w:rsidP="006811D4">
    <w:pPr>
      <w:pStyle w:val="Footer"/>
      <w:jc w:val="center"/>
    </w:pPr>
    <w:r>
      <w:fldChar w:fldCharType="begin"/>
    </w:r>
    <w:r>
      <w:instrText xml:space="preserve"> PAGE   \* MERGEFORMAT </w:instrText>
    </w:r>
    <w:r>
      <w:fldChar w:fldCharType="separate"/>
    </w:r>
    <w:r>
      <w:rPr>
        <w:noProof/>
      </w:rPr>
      <w:t>2</w:t>
    </w:r>
    <w: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23A82" w14:textId="77777777" w:rsidR="008D0654" w:rsidRDefault="008D06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A50378" w14:textId="77777777" w:rsidR="002003D5" w:rsidRDefault="00845A1D" w:rsidP="006811D4">
      <w:pPr>
        <w:spacing w:line="240" w:lineRule="auto"/>
      </w:pPr>
      <w:r>
        <w:separator/>
      </w:r>
    </w:p>
  </w:footnote>
  <w:footnote w:type="continuationSeparator" w:id="0">
    <w:p w14:paraId="00BDFB1F" w14:textId="77777777" w:rsidR="002003D5" w:rsidRDefault="00845A1D" w:rsidP="006811D4">
      <w:pPr>
        <w:spacing w:line="240" w:lineRule="auto"/>
      </w:pPr>
      <w:r>
        <w:continuationSeparator/>
      </w:r>
    </w:p>
  </w:footnote>
  <w:footnote w:id="1">
    <w:p w14:paraId="4C8EF7A3" w14:textId="77777777" w:rsidR="00361A95" w:rsidRPr="0035616E" w:rsidRDefault="00845A1D" w:rsidP="0035616E">
      <w:pPr>
        <w:pStyle w:val="FootnoteText"/>
      </w:pPr>
      <w:r>
        <w:rPr>
          <w:rStyle w:val="FootnoteReference"/>
        </w:rPr>
        <w:footnoteRef/>
      </w:r>
      <w:r>
        <w:t xml:space="preserve"> </w:t>
      </w:r>
      <w:r>
        <w:tab/>
      </w:r>
      <w:r w:rsidRPr="0035616E">
        <w:t xml:space="preserve">Undesignated statutory references are to </w:t>
      </w:r>
      <w:r w:rsidRPr="0035616E">
        <w:t>the Penal Code</w:t>
      </w:r>
      <w:r>
        <w:t>.</w:t>
      </w:r>
    </w:p>
  </w:footnote>
  <w:footnote w:id="2">
    <w:p w14:paraId="23BF16D0" w14:textId="77777777" w:rsidR="00361A95" w:rsidRPr="0035616E" w:rsidRDefault="00845A1D" w:rsidP="0035616E">
      <w:pPr>
        <w:pStyle w:val="FootnoteText"/>
      </w:pPr>
      <w:r>
        <w:rPr>
          <w:rStyle w:val="FootnoteReference"/>
        </w:rPr>
        <w:footnoteRef/>
      </w:r>
      <w:r>
        <w:t xml:space="preserve"> </w:t>
      </w:r>
      <w:r>
        <w:tab/>
        <w:t>Petitioner also was convicted of additional offenses, as described below.</w:t>
      </w:r>
    </w:p>
  </w:footnote>
  <w:footnote w:id="3">
    <w:p w14:paraId="74DAE0EE" w14:textId="77777777" w:rsidR="00361A95" w:rsidRPr="002B49BD" w:rsidRDefault="00845A1D" w:rsidP="002B49BD">
      <w:pPr>
        <w:pStyle w:val="FootnoteText"/>
      </w:pPr>
      <w:r>
        <w:rPr>
          <w:rStyle w:val="FootnoteReference"/>
        </w:rPr>
        <w:footnoteRef/>
      </w:r>
      <w:r>
        <w:t xml:space="preserve"> </w:t>
      </w:r>
      <w:r>
        <w:tab/>
        <w:t xml:space="preserve">Due to the age of the case, the court reporter was unable to prepare transcripts of petitioner’s trial for the record on appeal.  The People represent that the </w:t>
      </w:r>
      <w:r>
        <w:t xml:space="preserve">convictions arose out of an incident in which petitioner and two others attempted to rob a liquor store, during which petitioner’s partner fatally shot a customer and also shot a store clerk.  Petitioner’s submissions in the trial court suggest the same.  </w:t>
      </w:r>
    </w:p>
  </w:footnote>
  <w:footnote w:id="4">
    <w:p w14:paraId="0BF41395" w14:textId="77777777" w:rsidR="00361A95" w:rsidRPr="008F0F6A" w:rsidRDefault="00845A1D" w:rsidP="008F0F6A">
      <w:pPr>
        <w:pStyle w:val="FootnoteText"/>
      </w:pPr>
      <w:r>
        <w:rPr>
          <w:rStyle w:val="FootnoteReference"/>
        </w:rPr>
        <w:footnoteRef/>
      </w:r>
      <w:r>
        <w:t xml:space="preserve"> </w:t>
      </w:r>
      <w:r>
        <w:tab/>
        <w:t>Additionally</w:t>
      </w:r>
      <w:r w:rsidRPr="00F80588">
        <w:t xml:space="preserve">, section 189 was amended to allow for felony-murder liability where the victim is a peace officer.  (§ 189, subd. (f); accord, </w:t>
      </w:r>
      <w:r w:rsidRPr="00F80588">
        <w:rPr>
          <w:i/>
          <w:iCs/>
        </w:rPr>
        <w:t>Daniel</w:t>
      </w:r>
      <w:r w:rsidRPr="00F80588">
        <w:t xml:space="preserve">, </w:t>
      </w:r>
      <w:r w:rsidRPr="00F80588">
        <w:rPr>
          <w:i/>
          <w:iCs/>
        </w:rPr>
        <w:t>supra</w:t>
      </w:r>
      <w:r w:rsidRPr="00F80588">
        <w:t xml:space="preserve">, </w:t>
      </w:r>
      <w:r w:rsidRPr="00F80588">
        <w:rPr>
          <w:bCs/>
        </w:rPr>
        <w:t>57 Cal.App.5th</w:t>
      </w:r>
      <w:r w:rsidRPr="00F80588">
        <w:rPr>
          <w:i/>
          <w:iCs/>
        </w:rPr>
        <w:t xml:space="preserve"> </w:t>
      </w:r>
      <w:r w:rsidRPr="00F80588">
        <w:t>at p. 672, review granted.)</w:t>
      </w:r>
    </w:p>
  </w:footnote>
  <w:footnote w:id="5">
    <w:p w14:paraId="2D9FFE31" w14:textId="77777777" w:rsidR="00361A95" w:rsidRPr="00E16FA2" w:rsidRDefault="00845A1D" w:rsidP="00E16FA2">
      <w:pPr>
        <w:pStyle w:val="FootnoteText"/>
      </w:pPr>
      <w:r>
        <w:rPr>
          <w:rStyle w:val="FootnoteReference"/>
        </w:rPr>
        <w:footnoteRef/>
      </w:r>
      <w:r>
        <w:t xml:space="preserve"> </w:t>
      </w:r>
      <w:r>
        <w:tab/>
      </w:r>
      <w:r w:rsidRPr="005E76A3">
        <w:t xml:space="preserve">To the extent </w:t>
      </w:r>
      <w:r>
        <w:t>a petitioner has a right to counsel p</w:t>
      </w:r>
      <w:r>
        <w:t xml:space="preserve">rior to the issuance of an order to show cause, that right is statutory, </w:t>
      </w:r>
      <w:r w:rsidRPr="005E76A3">
        <w:t xml:space="preserve">not constitutional, and is susceptible to review for prejudice.  </w:t>
      </w:r>
      <w:r w:rsidRPr="00F80588">
        <w:t>(</w:t>
      </w:r>
      <w:r w:rsidRPr="00F80588">
        <w:rPr>
          <w:i/>
          <w:iCs/>
        </w:rPr>
        <w:t>Daniel</w:t>
      </w:r>
      <w:r w:rsidRPr="00F80588">
        <w:t>,</w:t>
      </w:r>
      <w:r w:rsidRPr="00F80588">
        <w:rPr>
          <w:i/>
          <w:iCs/>
        </w:rPr>
        <w:t xml:space="preserve"> supra</w:t>
      </w:r>
      <w:r w:rsidRPr="00F80588">
        <w:t>,</w:t>
      </w:r>
      <w:r w:rsidRPr="00F80588">
        <w:rPr>
          <w:i/>
          <w:iCs/>
        </w:rPr>
        <w:t xml:space="preserve"> </w:t>
      </w:r>
      <w:r w:rsidRPr="00F80588">
        <w:t xml:space="preserve">57 Cal.App.5th at pp. 674-676, review granted; accord, </w:t>
      </w:r>
      <w:r w:rsidRPr="00F80588">
        <w:rPr>
          <w:i/>
          <w:iCs/>
        </w:rPr>
        <w:t>People v. Lopez</w:t>
      </w:r>
      <w:r w:rsidRPr="00F80588">
        <w:t xml:space="preserve"> (2019) 38 Cal.App.5th 1087, 1114-1115, review granted Nov. 13, 2019, S258175 [the</w:t>
      </w:r>
      <w:r w:rsidRPr="007D766C">
        <w:t xml:space="preserve"> retroactive relief afforded </w:t>
      </w:r>
      <w:r w:rsidRPr="00F80588">
        <w:t xml:space="preserve">by Senate Bill No. 1437 (2017-2018 Reg. Sess.) “ ‘is not subject to Sixth Amendment analysis’ ”]; see </w:t>
      </w:r>
      <w:r w:rsidRPr="00F80588">
        <w:rPr>
          <w:i/>
          <w:iCs/>
        </w:rPr>
        <w:t>People v. Perez</w:t>
      </w:r>
      <w:r w:rsidRPr="00F80588">
        <w:t xml:space="preserve"> (2018) 4 Cal.5th 1055, 1063</w:t>
      </w:r>
      <w:r w:rsidRPr="00F80588">
        <w:t>-1064.)</w:t>
      </w:r>
    </w:p>
  </w:footnote>
  <w:footnote w:id="6">
    <w:p w14:paraId="6DE76714" w14:textId="77777777" w:rsidR="00361A95" w:rsidRPr="006A3B82" w:rsidRDefault="00845A1D" w:rsidP="006A3B82">
      <w:pPr>
        <w:pStyle w:val="FootnoteText"/>
      </w:pPr>
      <w:r>
        <w:rPr>
          <w:rStyle w:val="FootnoteReference"/>
        </w:rPr>
        <w:footnoteRef/>
      </w:r>
      <w:r>
        <w:t xml:space="preserve"> </w:t>
      </w:r>
      <w:r>
        <w:tab/>
        <w:t>Because petitioner</w:t>
      </w:r>
      <w:r w:rsidRPr="006A3B82">
        <w:t xml:space="preserve"> did not present a developed argument on this point until his reply brief</w:t>
      </w:r>
      <w:r>
        <w:t>, the</w:t>
      </w:r>
      <w:r w:rsidRPr="006A3B82">
        <w:t xml:space="preserve"> argument is untimely.  </w:t>
      </w:r>
      <w:r w:rsidRPr="00F80588">
        <w:t>(</w:t>
      </w:r>
      <w:r w:rsidRPr="00F80588">
        <w:rPr>
          <w:i/>
          <w:iCs/>
        </w:rPr>
        <w:t>Donorovich-Odonnell v. Harris</w:t>
      </w:r>
      <w:r w:rsidRPr="00F80588">
        <w:t xml:space="preserve"> (2015) 241 Cal.App.4th 1118, 1141; </w:t>
      </w:r>
      <w:r w:rsidRPr="00F80588">
        <w:rPr>
          <w:i/>
          <w:iCs/>
        </w:rPr>
        <w:t>In re Luke H.</w:t>
      </w:r>
      <w:r w:rsidRPr="00F80588">
        <w:t xml:space="preserve"> (2013) 221 Cal.App.4th 1082, 1090.)</w:t>
      </w:r>
      <w:r>
        <w:t xml:space="preserve">  In any e</w:t>
      </w:r>
      <w:r>
        <w:t>vent, as we explain, it is without merit.</w:t>
      </w:r>
      <w:r w:rsidRPr="006A3B82">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D4856" w14:textId="77777777" w:rsidR="008D0654" w:rsidRDefault="008D06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8C8E4" w14:textId="77777777" w:rsidR="008D0654" w:rsidRDefault="008D06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39905" w14:textId="77777777" w:rsidR="008D0654" w:rsidRDefault="008D06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EDBE1CCE"/>
    <w:lvl w:ilvl="0">
      <w:start w:val="1"/>
      <w:numFmt w:val="decimal"/>
      <w:pStyle w:val="ListNumber3"/>
      <w:lvlText w:val="%1."/>
      <w:lvlJc w:val="left"/>
      <w:pPr>
        <w:tabs>
          <w:tab w:val="num" w:pos="1080"/>
        </w:tabs>
        <w:ind w:left="10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1D4"/>
    <w:rsid w:val="000135F4"/>
    <w:rsid w:val="0006745D"/>
    <w:rsid w:val="00092F39"/>
    <w:rsid w:val="000D0A60"/>
    <w:rsid w:val="000D5803"/>
    <w:rsid w:val="0010561D"/>
    <w:rsid w:val="001C2CB2"/>
    <w:rsid w:val="002003D5"/>
    <w:rsid w:val="002270DD"/>
    <w:rsid w:val="00261D14"/>
    <w:rsid w:val="00272578"/>
    <w:rsid w:val="00296825"/>
    <w:rsid w:val="002B49BD"/>
    <w:rsid w:val="003114D5"/>
    <w:rsid w:val="0035616E"/>
    <w:rsid w:val="00357488"/>
    <w:rsid w:val="00361A95"/>
    <w:rsid w:val="003C61D9"/>
    <w:rsid w:val="003D4B0E"/>
    <w:rsid w:val="003E062A"/>
    <w:rsid w:val="003F0232"/>
    <w:rsid w:val="003F5E74"/>
    <w:rsid w:val="004E20EF"/>
    <w:rsid w:val="004F1EF5"/>
    <w:rsid w:val="004F5638"/>
    <w:rsid w:val="005223AA"/>
    <w:rsid w:val="00526391"/>
    <w:rsid w:val="00583E1C"/>
    <w:rsid w:val="00590074"/>
    <w:rsid w:val="005E76A3"/>
    <w:rsid w:val="005E7945"/>
    <w:rsid w:val="005F479F"/>
    <w:rsid w:val="0062280F"/>
    <w:rsid w:val="00663BA8"/>
    <w:rsid w:val="006811D4"/>
    <w:rsid w:val="006A3B82"/>
    <w:rsid w:val="006C2071"/>
    <w:rsid w:val="006C3662"/>
    <w:rsid w:val="006E09D5"/>
    <w:rsid w:val="006F3563"/>
    <w:rsid w:val="007003A3"/>
    <w:rsid w:val="00777B13"/>
    <w:rsid w:val="00794259"/>
    <w:rsid w:val="007D214A"/>
    <w:rsid w:val="007D32AD"/>
    <w:rsid w:val="007D766C"/>
    <w:rsid w:val="008033D1"/>
    <w:rsid w:val="0082545A"/>
    <w:rsid w:val="00845A1D"/>
    <w:rsid w:val="008748A0"/>
    <w:rsid w:val="0089141E"/>
    <w:rsid w:val="008941FA"/>
    <w:rsid w:val="008B4499"/>
    <w:rsid w:val="008C517D"/>
    <w:rsid w:val="008D0654"/>
    <w:rsid w:val="008D2938"/>
    <w:rsid w:val="008F0F6A"/>
    <w:rsid w:val="00960CD8"/>
    <w:rsid w:val="00962B04"/>
    <w:rsid w:val="009A50C2"/>
    <w:rsid w:val="009C26CC"/>
    <w:rsid w:val="009D0401"/>
    <w:rsid w:val="00B22063"/>
    <w:rsid w:val="00BD5A36"/>
    <w:rsid w:val="00BF39DE"/>
    <w:rsid w:val="00C61B9D"/>
    <w:rsid w:val="00CA0B81"/>
    <w:rsid w:val="00CA42DC"/>
    <w:rsid w:val="00CD0F63"/>
    <w:rsid w:val="00D11A54"/>
    <w:rsid w:val="00D50A04"/>
    <w:rsid w:val="00D726A8"/>
    <w:rsid w:val="00E16FA2"/>
    <w:rsid w:val="00E77D29"/>
    <w:rsid w:val="00E83A18"/>
    <w:rsid w:val="00ED6DE7"/>
    <w:rsid w:val="00EE24B2"/>
    <w:rsid w:val="00EE25E5"/>
    <w:rsid w:val="00F80588"/>
    <w:rsid w:val="00F81997"/>
    <w:rsid w:val="00FE23C7"/>
    <w:rsid w:val="00FE3AA3"/>
    <w:rsid w:val="00FE5166"/>
    <w:rsid w:val="00FF7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803"/>
    <w:pPr>
      <w:spacing w:line="480" w:lineRule="atLeast"/>
    </w:pPr>
    <w:rPr>
      <w:rFonts w:ascii="Times New Roman" w:hAnsi="Times New Roman"/>
      <w:szCs w:val="20"/>
    </w:rPr>
  </w:style>
  <w:style w:type="paragraph" w:styleId="Heading1">
    <w:name w:val="heading 1"/>
    <w:basedOn w:val="Normal"/>
    <w:next w:val="Normal"/>
    <w:link w:val="Heading1Char"/>
    <w:qFormat/>
    <w:rsid w:val="000D5803"/>
    <w:pPr>
      <w:keepNext/>
      <w:keepLines/>
      <w:spacing w:before="200" w:line="240" w:lineRule="atLeast"/>
      <w:ind w:left="720" w:hanging="720"/>
      <w:outlineLvl w:val="0"/>
    </w:pPr>
    <w:rPr>
      <w:b/>
    </w:rPr>
  </w:style>
  <w:style w:type="paragraph" w:styleId="Heading2">
    <w:name w:val="heading 2"/>
    <w:basedOn w:val="Normal"/>
    <w:next w:val="Normal"/>
    <w:link w:val="Heading2Char"/>
    <w:qFormat/>
    <w:rsid w:val="000D5803"/>
    <w:pPr>
      <w:keepNext/>
      <w:keepLines/>
      <w:spacing w:before="200" w:line="240" w:lineRule="atLeast"/>
      <w:ind w:left="1440" w:hanging="720"/>
      <w:outlineLvl w:val="1"/>
    </w:pPr>
    <w:rPr>
      <w:b/>
    </w:rPr>
  </w:style>
  <w:style w:type="paragraph" w:styleId="Heading3">
    <w:name w:val="heading 3"/>
    <w:basedOn w:val="Normal"/>
    <w:next w:val="Normal"/>
    <w:link w:val="Heading3Char"/>
    <w:qFormat/>
    <w:rsid w:val="000D5803"/>
    <w:pPr>
      <w:keepNext/>
      <w:spacing w:before="240" w:after="60"/>
      <w:outlineLvl w:val="2"/>
    </w:pPr>
    <w:rPr>
      <w:b/>
    </w:rPr>
  </w:style>
  <w:style w:type="paragraph" w:styleId="Heading4">
    <w:name w:val="heading 4"/>
    <w:basedOn w:val="Normal"/>
    <w:next w:val="Normal"/>
    <w:link w:val="Heading4Char"/>
    <w:qFormat/>
    <w:rsid w:val="000D5803"/>
    <w:pPr>
      <w:keepNext/>
      <w:keepLines/>
      <w:spacing w:before="200" w:line="240" w:lineRule="auto"/>
      <w:ind w:left="2880" w:hanging="720"/>
      <w:outlineLvl w:val="3"/>
    </w:pPr>
    <w:rPr>
      <w:b/>
    </w:rPr>
  </w:style>
  <w:style w:type="paragraph" w:styleId="Heading5">
    <w:name w:val="heading 5"/>
    <w:basedOn w:val="Normal"/>
    <w:next w:val="Normal"/>
    <w:link w:val="Heading5Char"/>
    <w:qFormat/>
    <w:rsid w:val="000D5803"/>
    <w:pPr>
      <w:spacing w:before="240" w:after="60"/>
      <w:outlineLvl w:val="4"/>
    </w:pPr>
    <w:rPr>
      <w:sz w:val="22"/>
    </w:rPr>
  </w:style>
  <w:style w:type="paragraph" w:styleId="Heading6">
    <w:name w:val="heading 6"/>
    <w:basedOn w:val="Normal"/>
    <w:next w:val="Normal"/>
    <w:link w:val="Heading6Char"/>
    <w:uiPriority w:val="9"/>
    <w:semiHidden/>
    <w:unhideWhenUsed/>
    <w:qFormat/>
    <w:rsid w:val="000D5803"/>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0D5803"/>
    <w:pPr>
      <w:spacing w:before="240" w:after="60"/>
      <w:outlineLvl w:val="6"/>
    </w:pPr>
    <w:rPr>
      <w:sz w:val="24"/>
    </w:rPr>
  </w:style>
  <w:style w:type="paragraph" w:styleId="Heading8">
    <w:name w:val="heading 8"/>
    <w:basedOn w:val="Normal"/>
    <w:next w:val="Normal"/>
    <w:link w:val="Heading8Char"/>
    <w:uiPriority w:val="9"/>
    <w:semiHidden/>
    <w:unhideWhenUsed/>
    <w:qFormat/>
    <w:rsid w:val="000D5803"/>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0D5803"/>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5803"/>
    <w:rPr>
      <w:rFonts w:ascii="Times New Roman" w:eastAsia="Times New Roman" w:hAnsi="Times New Roman"/>
      <w:b/>
      <w:szCs w:val="20"/>
    </w:rPr>
  </w:style>
  <w:style w:type="character" w:customStyle="1" w:styleId="Heading2Char">
    <w:name w:val="Heading 2 Char"/>
    <w:basedOn w:val="DefaultParagraphFont"/>
    <w:link w:val="Heading2"/>
    <w:rsid w:val="000D5803"/>
    <w:rPr>
      <w:rFonts w:ascii="Times New Roman" w:eastAsia="Times New Roman" w:hAnsi="Times New Roman"/>
      <w:b/>
      <w:szCs w:val="20"/>
    </w:rPr>
  </w:style>
  <w:style w:type="character" w:customStyle="1" w:styleId="Heading3Char">
    <w:name w:val="Heading 3 Char"/>
    <w:basedOn w:val="DefaultParagraphFont"/>
    <w:link w:val="Heading3"/>
    <w:rsid w:val="000D5803"/>
    <w:rPr>
      <w:rFonts w:ascii="Times New Roman" w:eastAsia="Times New Roman" w:hAnsi="Times New Roman"/>
      <w:b/>
      <w:szCs w:val="20"/>
    </w:rPr>
  </w:style>
  <w:style w:type="character" w:customStyle="1" w:styleId="Heading4Char">
    <w:name w:val="Heading 4 Char"/>
    <w:basedOn w:val="DefaultParagraphFont"/>
    <w:link w:val="Heading4"/>
    <w:rsid w:val="000D5803"/>
    <w:rPr>
      <w:rFonts w:ascii="Times New Roman" w:eastAsia="Times New Roman" w:hAnsi="Times New Roman"/>
      <w:b/>
      <w:szCs w:val="20"/>
    </w:rPr>
  </w:style>
  <w:style w:type="character" w:customStyle="1" w:styleId="Heading5Char">
    <w:name w:val="Heading 5 Char"/>
    <w:basedOn w:val="DefaultParagraphFont"/>
    <w:link w:val="Heading5"/>
    <w:rsid w:val="000D5803"/>
    <w:rPr>
      <w:rFonts w:ascii="Times New Roman" w:eastAsia="Times New Roman" w:hAnsi="Times New Roman"/>
      <w:sz w:val="22"/>
      <w:szCs w:val="20"/>
    </w:rPr>
  </w:style>
  <w:style w:type="character" w:customStyle="1" w:styleId="Heading6Char">
    <w:name w:val="Heading 6 Char"/>
    <w:basedOn w:val="DefaultParagraphFont"/>
    <w:link w:val="Heading6"/>
    <w:uiPriority w:val="9"/>
    <w:semiHidden/>
    <w:rsid w:val="000D5803"/>
    <w:rPr>
      <w:rFonts w:ascii="Times New Roman" w:eastAsia="Times New Roman" w:hAnsi="Times New Roman"/>
      <w:b/>
      <w:bCs/>
    </w:rPr>
  </w:style>
  <w:style w:type="character" w:customStyle="1" w:styleId="Heading7Char">
    <w:name w:val="Heading 7 Char"/>
    <w:basedOn w:val="DefaultParagraphFont"/>
    <w:link w:val="Heading7"/>
    <w:uiPriority w:val="9"/>
    <w:semiHidden/>
    <w:rsid w:val="000D5803"/>
    <w:rPr>
      <w:rFonts w:ascii="Times New Roman" w:eastAsia="Times New Roman" w:hAnsi="Times New Roman"/>
      <w:sz w:val="24"/>
      <w:szCs w:val="20"/>
    </w:rPr>
  </w:style>
  <w:style w:type="character" w:customStyle="1" w:styleId="Heading8Char">
    <w:name w:val="Heading 8 Char"/>
    <w:basedOn w:val="DefaultParagraphFont"/>
    <w:link w:val="Heading8"/>
    <w:uiPriority w:val="9"/>
    <w:semiHidden/>
    <w:rsid w:val="000D5803"/>
    <w:rPr>
      <w:rFonts w:ascii="Times New Roman" w:eastAsia="Times New Roman" w:hAnsi="Times New Roman"/>
      <w:i/>
      <w:iCs/>
      <w:sz w:val="24"/>
      <w:szCs w:val="20"/>
    </w:rPr>
  </w:style>
  <w:style w:type="character" w:customStyle="1" w:styleId="Heading9Char">
    <w:name w:val="Heading 9 Char"/>
    <w:basedOn w:val="DefaultParagraphFont"/>
    <w:link w:val="Heading9"/>
    <w:uiPriority w:val="9"/>
    <w:semiHidden/>
    <w:rsid w:val="000D5803"/>
    <w:rPr>
      <w:rFonts w:asciiTheme="majorHAnsi" w:eastAsiaTheme="majorEastAsia" w:hAnsiTheme="majorHAnsi"/>
    </w:rPr>
  </w:style>
  <w:style w:type="paragraph" w:styleId="Title">
    <w:name w:val="Title"/>
    <w:basedOn w:val="Normal"/>
    <w:link w:val="TitleChar"/>
    <w:qFormat/>
    <w:rsid w:val="000D5803"/>
    <w:pPr>
      <w:keepNext/>
      <w:keepLines/>
      <w:jc w:val="center"/>
      <w:outlineLvl w:val="0"/>
    </w:pPr>
    <w:rPr>
      <w:b/>
      <w:caps/>
    </w:rPr>
  </w:style>
  <w:style w:type="character" w:customStyle="1" w:styleId="TitleChar">
    <w:name w:val="Title Char"/>
    <w:basedOn w:val="DefaultParagraphFont"/>
    <w:link w:val="Title"/>
    <w:rsid w:val="000D5803"/>
    <w:rPr>
      <w:rFonts w:ascii="Times New Roman" w:eastAsia="Times New Roman" w:hAnsi="Times New Roman"/>
      <w:b/>
      <w:caps/>
      <w:szCs w:val="20"/>
    </w:rPr>
  </w:style>
  <w:style w:type="paragraph" w:styleId="Subtitle">
    <w:name w:val="Subtitle"/>
    <w:basedOn w:val="Normal"/>
    <w:next w:val="Normal"/>
    <w:link w:val="SubtitleChar"/>
    <w:uiPriority w:val="11"/>
    <w:qFormat/>
    <w:rsid w:val="000D5803"/>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0D5803"/>
    <w:rPr>
      <w:rFonts w:asciiTheme="majorHAnsi" w:eastAsiaTheme="majorEastAsia" w:hAnsiTheme="majorHAnsi"/>
      <w:sz w:val="24"/>
      <w:szCs w:val="20"/>
    </w:rPr>
  </w:style>
  <w:style w:type="paragraph" w:styleId="TOCHeading">
    <w:name w:val="TOC Heading"/>
    <w:basedOn w:val="Heading1"/>
    <w:next w:val="Normal"/>
    <w:uiPriority w:val="39"/>
    <w:semiHidden/>
    <w:unhideWhenUsed/>
    <w:qFormat/>
    <w:rsid w:val="000D5803"/>
    <w:pPr>
      <w:outlineLvl w:val="9"/>
    </w:pPr>
  </w:style>
  <w:style w:type="character" w:styleId="Strong">
    <w:name w:val="Strong"/>
    <w:basedOn w:val="DefaultParagraphFont"/>
    <w:uiPriority w:val="22"/>
    <w:rsid w:val="000D5803"/>
    <w:rPr>
      <w:b/>
      <w:bCs/>
    </w:rPr>
  </w:style>
  <w:style w:type="character" w:styleId="Emphasis">
    <w:name w:val="Emphasis"/>
    <w:basedOn w:val="DefaultParagraphFont"/>
    <w:uiPriority w:val="20"/>
    <w:rsid w:val="000D5803"/>
    <w:rPr>
      <w:rFonts w:asciiTheme="minorHAnsi" w:hAnsiTheme="minorHAnsi"/>
      <w:b/>
      <w:i/>
      <w:iCs/>
    </w:rPr>
  </w:style>
  <w:style w:type="paragraph" w:styleId="NoSpacing">
    <w:name w:val="No Spacing"/>
    <w:basedOn w:val="Normal"/>
    <w:uiPriority w:val="1"/>
    <w:rsid w:val="000D5803"/>
    <w:rPr>
      <w:szCs w:val="32"/>
    </w:rPr>
  </w:style>
  <w:style w:type="paragraph" w:styleId="ListParagraph">
    <w:name w:val="List Paragraph"/>
    <w:basedOn w:val="Normal"/>
    <w:uiPriority w:val="34"/>
    <w:rsid w:val="000D5803"/>
    <w:pPr>
      <w:ind w:left="720"/>
      <w:contextualSpacing/>
    </w:pPr>
  </w:style>
  <w:style w:type="paragraph" w:styleId="Quote">
    <w:name w:val="Quote"/>
    <w:basedOn w:val="Normal"/>
    <w:next w:val="Normal"/>
    <w:link w:val="QuoteChar"/>
    <w:uiPriority w:val="29"/>
    <w:rsid w:val="000D5803"/>
    <w:rPr>
      <w:i/>
    </w:rPr>
  </w:style>
  <w:style w:type="character" w:customStyle="1" w:styleId="QuoteChar">
    <w:name w:val="Quote Char"/>
    <w:basedOn w:val="DefaultParagraphFont"/>
    <w:link w:val="Quote"/>
    <w:uiPriority w:val="29"/>
    <w:rsid w:val="000D5803"/>
    <w:rPr>
      <w:rFonts w:ascii="Times New Roman" w:eastAsia="Times New Roman" w:hAnsi="Times New Roman"/>
      <w:i/>
      <w:szCs w:val="20"/>
    </w:rPr>
  </w:style>
  <w:style w:type="paragraph" w:styleId="IntenseQuote">
    <w:name w:val="Intense Quote"/>
    <w:basedOn w:val="Normal"/>
    <w:next w:val="Normal"/>
    <w:link w:val="IntenseQuoteChar"/>
    <w:uiPriority w:val="30"/>
    <w:rsid w:val="000D5803"/>
    <w:pPr>
      <w:ind w:left="720" w:right="720"/>
    </w:pPr>
    <w:rPr>
      <w:b/>
      <w:i/>
      <w:szCs w:val="22"/>
    </w:rPr>
  </w:style>
  <w:style w:type="character" w:customStyle="1" w:styleId="IntenseQuoteChar">
    <w:name w:val="Intense Quote Char"/>
    <w:basedOn w:val="DefaultParagraphFont"/>
    <w:link w:val="IntenseQuote"/>
    <w:uiPriority w:val="30"/>
    <w:rsid w:val="000D5803"/>
    <w:rPr>
      <w:rFonts w:ascii="Times New Roman" w:eastAsia="Times New Roman" w:hAnsi="Times New Roman"/>
      <w:b/>
      <w:i/>
      <w:szCs w:val="22"/>
    </w:rPr>
  </w:style>
  <w:style w:type="character" w:styleId="SubtleEmphasis">
    <w:name w:val="Subtle Emphasis"/>
    <w:uiPriority w:val="19"/>
    <w:rsid w:val="000D5803"/>
    <w:rPr>
      <w:i/>
      <w:color w:val="5A5A5A" w:themeColor="text1" w:themeTint="A5"/>
    </w:rPr>
  </w:style>
  <w:style w:type="character" w:styleId="IntenseEmphasis">
    <w:name w:val="Intense Emphasis"/>
    <w:basedOn w:val="DefaultParagraphFont"/>
    <w:uiPriority w:val="21"/>
    <w:rsid w:val="000D5803"/>
    <w:rPr>
      <w:b/>
      <w:i/>
      <w:sz w:val="24"/>
      <w:szCs w:val="24"/>
      <w:u w:val="single"/>
    </w:rPr>
  </w:style>
  <w:style w:type="character" w:styleId="SubtleReference">
    <w:name w:val="Subtle Reference"/>
    <w:basedOn w:val="DefaultParagraphFont"/>
    <w:uiPriority w:val="31"/>
    <w:rsid w:val="000D5803"/>
    <w:rPr>
      <w:sz w:val="24"/>
      <w:szCs w:val="24"/>
      <w:u w:val="single"/>
    </w:rPr>
  </w:style>
  <w:style w:type="character" w:styleId="IntenseReference">
    <w:name w:val="Intense Reference"/>
    <w:basedOn w:val="DefaultParagraphFont"/>
    <w:uiPriority w:val="32"/>
    <w:rsid w:val="000D5803"/>
    <w:rPr>
      <w:b/>
      <w:sz w:val="24"/>
      <w:u w:val="single"/>
    </w:rPr>
  </w:style>
  <w:style w:type="character" w:styleId="BookTitle">
    <w:name w:val="Book Title"/>
    <w:basedOn w:val="DefaultParagraphFont"/>
    <w:uiPriority w:val="33"/>
    <w:rsid w:val="000D5803"/>
    <w:rPr>
      <w:rFonts w:asciiTheme="majorHAnsi" w:eastAsiaTheme="majorEastAsia" w:hAnsiTheme="majorHAnsi"/>
      <w:b/>
      <w:i/>
      <w:sz w:val="24"/>
      <w:szCs w:val="24"/>
    </w:rPr>
  </w:style>
  <w:style w:type="paragraph" w:styleId="EnvelopeAddress">
    <w:name w:val="envelope address"/>
    <w:basedOn w:val="Normal"/>
    <w:rsid w:val="000D5803"/>
    <w:pPr>
      <w:framePr w:w="7920" w:h="1980" w:hRule="exact" w:hSpace="180" w:wrap="auto" w:hAnchor="page" w:xAlign="center" w:yAlign="bottom"/>
      <w:spacing w:line="240" w:lineRule="auto"/>
      <w:ind w:left="2880"/>
    </w:pPr>
    <w:rPr>
      <w:sz w:val="24"/>
    </w:rPr>
  </w:style>
  <w:style w:type="paragraph" w:styleId="EnvelopeReturn">
    <w:name w:val="envelope return"/>
    <w:basedOn w:val="Normal"/>
    <w:rsid w:val="000D5803"/>
    <w:pPr>
      <w:spacing w:line="240" w:lineRule="atLeast"/>
    </w:pPr>
    <w:rPr>
      <w:rFonts w:ascii="Arial" w:hAnsi="Arial"/>
      <w:sz w:val="20"/>
    </w:rPr>
  </w:style>
  <w:style w:type="paragraph" w:styleId="Footer">
    <w:name w:val="footer"/>
    <w:basedOn w:val="Normal"/>
    <w:link w:val="FooterChar"/>
    <w:rsid w:val="000D5803"/>
    <w:pPr>
      <w:tabs>
        <w:tab w:val="center" w:pos="4320"/>
        <w:tab w:val="right" w:pos="8640"/>
      </w:tabs>
    </w:pPr>
  </w:style>
  <w:style w:type="character" w:customStyle="1" w:styleId="FooterChar">
    <w:name w:val="Footer Char"/>
    <w:basedOn w:val="DefaultParagraphFont"/>
    <w:link w:val="Footer"/>
    <w:rsid w:val="000D5803"/>
    <w:rPr>
      <w:rFonts w:ascii="Times New Roman" w:eastAsia="Times New Roman" w:hAnsi="Times New Roman"/>
      <w:szCs w:val="20"/>
    </w:rPr>
  </w:style>
  <w:style w:type="character" w:styleId="FootnoteReference">
    <w:name w:val="footnote reference"/>
    <w:basedOn w:val="DefaultParagraphFont"/>
    <w:rsid w:val="000D5803"/>
    <w:rPr>
      <w:b/>
      <w:position w:val="8"/>
      <w:sz w:val="20"/>
      <w:vertAlign w:val="baseline"/>
    </w:rPr>
  </w:style>
  <w:style w:type="paragraph" w:styleId="FootnoteText">
    <w:name w:val="footnote text"/>
    <w:basedOn w:val="Normal"/>
    <w:link w:val="FootnoteTextChar"/>
    <w:rsid w:val="000D5803"/>
    <w:pPr>
      <w:spacing w:after="120" w:line="240" w:lineRule="auto"/>
    </w:pPr>
  </w:style>
  <w:style w:type="character" w:customStyle="1" w:styleId="FootnoteTextChar">
    <w:name w:val="Footnote Text Char"/>
    <w:basedOn w:val="DefaultParagraphFont"/>
    <w:link w:val="FootnoteText"/>
    <w:rsid w:val="000D5803"/>
    <w:rPr>
      <w:rFonts w:ascii="Times New Roman" w:eastAsia="Times New Roman" w:hAnsi="Times New Roman"/>
      <w:szCs w:val="20"/>
    </w:rPr>
  </w:style>
  <w:style w:type="paragraph" w:styleId="Header">
    <w:name w:val="header"/>
    <w:basedOn w:val="Normal"/>
    <w:link w:val="HeaderChar"/>
    <w:rsid w:val="000D5803"/>
    <w:pPr>
      <w:tabs>
        <w:tab w:val="center" w:pos="4320"/>
        <w:tab w:val="right" w:pos="8640"/>
      </w:tabs>
    </w:pPr>
  </w:style>
  <w:style w:type="character" w:customStyle="1" w:styleId="HeaderChar">
    <w:name w:val="Header Char"/>
    <w:basedOn w:val="DefaultParagraphFont"/>
    <w:link w:val="Header"/>
    <w:rsid w:val="000D5803"/>
    <w:rPr>
      <w:rFonts w:ascii="Times New Roman" w:eastAsia="Times New Roman" w:hAnsi="Times New Roman"/>
      <w:szCs w:val="20"/>
    </w:rPr>
  </w:style>
  <w:style w:type="paragraph" w:customStyle="1" w:styleId="IndentedQuote">
    <w:name w:val="IndentedQuote"/>
    <w:basedOn w:val="Normal"/>
    <w:rsid w:val="000D5803"/>
    <w:pPr>
      <w:spacing w:line="260" w:lineRule="exact"/>
      <w:ind w:left="1080" w:right="1080"/>
    </w:pPr>
  </w:style>
  <w:style w:type="paragraph" w:styleId="MacroText">
    <w:name w:val="macro"/>
    <w:link w:val="MacroTextChar"/>
    <w:semiHidden/>
    <w:rsid w:val="000D5803"/>
    <w:pPr>
      <w:tabs>
        <w:tab w:val="left" w:pos="480"/>
        <w:tab w:val="left" w:pos="960"/>
        <w:tab w:val="left" w:pos="1440"/>
        <w:tab w:val="left" w:pos="1920"/>
        <w:tab w:val="left" w:pos="2400"/>
        <w:tab w:val="left" w:pos="2880"/>
        <w:tab w:val="left" w:pos="3360"/>
        <w:tab w:val="left" w:pos="3840"/>
        <w:tab w:val="left" w:pos="4320"/>
      </w:tabs>
      <w:spacing w:before="60"/>
    </w:pPr>
    <w:rPr>
      <w:rFonts w:ascii="Courier New" w:hAnsi="Courier New"/>
      <w:sz w:val="20"/>
      <w:szCs w:val="20"/>
    </w:rPr>
  </w:style>
  <w:style w:type="character" w:customStyle="1" w:styleId="MacroTextChar">
    <w:name w:val="Macro Text Char"/>
    <w:basedOn w:val="DefaultParagraphFont"/>
    <w:link w:val="MacroText"/>
    <w:semiHidden/>
    <w:rsid w:val="000D5803"/>
    <w:rPr>
      <w:rFonts w:ascii="Courier New" w:eastAsia="Times New Roman" w:hAnsi="Courier New"/>
      <w:sz w:val="20"/>
      <w:szCs w:val="20"/>
    </w:rPr>
  </w:style>
  <w:style w:type="character" w:styleId="PageNumber">
    <w:name w:val="page number"/>
    <w:basedOn w:val="DefaultParagraphFont"/>
    <w:rsid w:val="000D5803"/>
  </w:style>
  <w:style w:type="paragraph" w:styleId="BodyText">
    <w:name w:val="Body Text"/>
    <w:basedOn w:val="Normal"/>
    <w:link w:val="BodyTextChar"/>
    <w:rsid w:val="000D5803"/>
    <w:pPr>
      <w:spacing w:after="120"/>
    </w:pPr>
  </w:style>
  <w:style w:type="character" w:customStyle="1" w:styleId="BodyTextChar">
    <w:name w:val="Body Text Char"/>
    <w:basedOn w:val="DefaultParagraphFont"/>
    <w:link w:val="BodyText"/>
    <w:rsid w:val="000D5803"/>
    <w:rPr>
      <w:rFonts w:ascii="Times New Roman" w:eastAsia="Times New Roman" w:hAnsi="Times New Roman"/>
      <w:szCs w:val="20"/>
    </w:rPr>
  </w:style>
  <w:style w:type="paragraph" w:styleId="Closing">
    <w:name w:val="Closing"/>
    <w:basedOn w:val="BodyText"/>
    <w:link w:val="ClosingChar"/>
    <w:rsid w:val="000D5803"/>
    <w:pPr>
      <w:keepNext/>
      <w:spacing w:after="160" w:line="240" w:lineRule="auto"/>
      <w:ind w:left="5040"/>
    </w:pPr>
    <w:rPr>
      <w:sz w:val="24"/>
    </w:rPr>
  </w:style>
  <w:style w:type="character" w:customStyle="1" w:styleId="ClosingChar">
    <w:name w:val="Closing Char"/>
    <w:basedOn w:val="DefaultParagraphFont"/>
    <w:link w:val="Closing"/>
    <w:rsid w:val="000D5803"/>
    <w:rPr>
      <w:rFonts w:ascii="Times New Roman" w:eastAsia="Times New Roman" w:hAnsi="Times New Roman"/>
      <w:sz w:val="24"/>
      <w:szCs w:val="20"/>
    </w:rPr>
  </w:style>
  <w:style w:type="paragraph" w:styleId="CommentText">
    <w:name w:val="annotation text"/>
    <w:basedOn w:val="Normal"/>
    <w:link w:val="CommentTextChar"/>
    <w:semiHidden/>
    <w:rsid w:val="000D5803"/>
    <w:rPr>
      <w:sz w:val="20"/>
    </w:rPr>
  </w:style>
  <w:style w:type="character" w:customStyle="1" w:styleId="CommentTextChar">
    <w:name w:val="Comment Text Char"/>
    <w:basedOn w:val="DefaultParagraphFont"/>
    <w:link w:val="CommentText"/>
    <w:semiHidden/>
    <w:rsid w:val="000D5803"/>
    <w:rPr>
      <w:rFonts w:ascii="Times New Roman" w:eastAsia="Times New Roman" w:hAnsi="Times New Roman"/>
      <w:sz w:val="20"/>
      <w:szCs w:val="20"/>
    </w:rPr>
  </w:style>
  <w:style w:type="paragraph" w:customStyle="1" w:styleId="CoSigners">
    <w:name w:val="CoSigners"/>
    <w:basedOn w:val="Normal"/>
    <w:rsid w:val="000D5803"/>
    <w:pPr>
      <w:tabs>
        <w:tab w:val="left" w:pos="5760"/>
      </w:tabs>
      <w:spacing w:line="240" w:lineRule="auto"/>
    </w:pPr>
  </w:style>
  <w:style w:type="paragraph" w:customStyle="1" w:styleId="CourierNormal">
    <w:name w:val="CourierNormal"/>
    <w:basedOn w:val="Normal"/>
    <w:rsid w:val="000D5803"/>
  </w:style>
  <w:style w:type="paragraph" w:customStyle="1" w:styleId="DateNameAttySec">
    <w:name w:val="Date/Name/Atty/Sec"/>
    <w:basedOn w:val="Normal"/>
    <w:rsid w:val="000D5803"/>
    <w:pPr>
      <w:spacing w:line="240" w:lineRule="auto"/>
      <w:ind w:left="5760" w:hanging="360"/>
    </w:pPr>
  </w:style>
  <w:style w:type="paragraph" w:styleId="DocumentMap">
    <w:name w:val="Document Map"/>
    <w:basedOn w:val="Normal"/>
    <w:link w:val="DocumentMapChar"/>
    <w:semiHidden/>
    <w:rsid w:val="000D5803"/>
    <w:pPr>
      <w:shd w:val="clear" w:color="auto" w:fill="000080"/>
    </w:pPr>
    <w:rPr>
      <w:rFonts w:ascii="Tahoma" w:hAnsi="Tahoma"/>
    </w:rPr>
  </w:style>
  <w:style w:type="character" w:customStyle="1" w:styleId="DocumentMapChar">
    <w:name w:val="Document Map Char"/>
    <w:basedOn w:val="DefaultParagraphFont"/>
    <w:link w:val="DocumentMap"/>
    <w:semiHidden/>
    <w:rsid w:val="000D5803"/>
    <w:rPr>
      <w:rFonts w:ascii="Tahoma" w:eastAsia="Times New Roman" w:hAnsi="Tahoma"/>
      <w:szCs w:val="20"/>
      <w:shd w:val="clear" w:color="auto" w:fill="000080"/>
    </w:rPr>
  </w:style>
  <w:style w:type="paragraph" w:customStyle="1" w:styleId="Enclosure">
    <w:name w:val="Enclosure"/>
    <w:basedOn w:val="BodyText"/>
    <w:next w:val="Normal"/>
    <w:rsid w:val="000D5803"/>
    <w:pPr>
      <w:keepLines/>
      <w:spacing w:after="160" w:line="240" w:lineRule="auto"/>
    </w:pPr>
    <w:rPr>
      <w:rFonts w:ascii="Garamond" w:hAnsi="Garamond"/>
      <w:sz w:val="24"/>
    </w:rPr>
  </w:style>
  <w:style w:type="paragraph" w:customStyle="1" w:styleId="IndentedQuote0">
    <w:name w:val="Indented Quote"/>
    <w:basedOn w:val="Normal"/>
    <w:rsid w:val="000D5803"/>
    <w:pPr>
      <w:spacing w:before="240" w:line="240" w:lineRule="auto"/>
      <w:ind w:left="720" w:right="720"/>
    </w:pPr>
  </w:style>
  <w:style w:type="paragraph" w:customStyle="1" w:styleId="InsideAddress">
    <w:name w:val="InsideAddress"/>
    <w:basedOn w:val="Normal"/>
    <w:rsid w:val="000D5803"/>
    <w:pPr>
      <w:spacing w:before="360"/>
    </w:pPr>
    <w:rPr>
      <w:sz w:val="24"/>
    </w:rPr>
  </w:style>
  <w:style w:type="paragraph" w:styleId="List3">
    <w:name w:val="List 3"/>
    <w:basedOn w:val="Normal"/>
    <w:rsid w:val="000D5803"/>
    <w:pPr>
      <w:spacing w:line="240" w:lineRule="atLeast"/>
      <w:ind w:left="1080" w:hanging="360"/>
    </w:pPr>
  </w:style>
  <w:style w:type="paragraph" w:styleId="ListNumber3">
    <w:name w:val="List Number 3"/>
    <w:basedOn w:val="Normal"/>
    <w:rsid w:val="000D5803"/>
    <w:pPr>
      <w:numPr>
        <w:numId w:val="1"/>
      </w:numPr>
      <w:spacing w:line="240" w:lineRule="atLeast"/>
    </w:pPr>
  </w:style>
  <w:style w:type="paragraph" w:styleId="PlainText">
    <w:name w:val="Plain Text"/>
    <w:basedOn w:val="Normal"/>
    <w:link w:val="PlainTextChar"/>
    <w:rsid w:val="000D5803"/>
    <w:pPr>
      <w:spacing w:line="240" w:lineRule="atLeast"/>
    </w:pPr>
    <w:rPr>
      <w:rFonts w:ascii="Arial" w:hAnsi="Arial"/>
      <w:sz w:val="20"/>
    </w:rPr>
  </w:style>
  <w:style w:type="character" w:customStyle="1" w:styleId="PlainTextChar">
    <w:name w:val="Plain Text Char"/>
    <w:basedOn w:val="DefaultParagraphFont"/>
    <w:link w:val="PlainText"/>
    <w:rsid w:val="000D5803"/>
    <w:rPr>
      <w:rFonts w:ascii="Arial" w:eastAsia="Times New Roman" w:hAnsi="Arial"/>
      <w:sz w:val="20"/>
      <w:szCs w:val="20"/>
    </w:rPr>
  </w:style>
  <w:style w:type="paragraph" w:customStyle="1" w:styleId="Separator">
    <w:name w:val="Separator"/>
    <w:basedOn w:val="Normal"/>
    <w:rsid w:val="000D5803"/>
    <w:pPr>
      <w:spacing w:line="240" w:lineRule="atLeast"/>
    </w:pPr>
    <w:rPr>
      <w:sz w:val="24"/>
    </w:rPr>
  </w:style>
  <w:style w:type="paragraph" w:customStyle="1" w:styleId="Sidehead">
    <w:name w:val="Sidehead"/>
    <w:basedOn w:val="Normal"/>
    <w:rsid w:val="000D5803"/>
    <w:pPr>
      <w:keepNext/>
    </w:pPr>
    <w:rPr>
      <w:b/>
      <w:smallCaps/>
    </w:rPr>
  </w:style>
  <w:style w:type="paragraph" w:styleId="Signature">
    <w:name w:val="Signature"/>
    <w:basedOn w:val="Normal"/>
    <w:link w:val="SignatureChar"/>
    <w:rsid w:val="000D5803"/>
    <w:pPr>
      <w:ind w:left="4320"/>
    </w:pPr>
  </w:style>
  <w:style w:type="character" w:customStyle="1" w:styleId="SignatureChar">
    <w:name w:val="Signature Char"/>
    <w:basedOn w:val="DefaultParagraphFont"/>
    <w:link w:val="Signature"/>
    <w:rsid w:val="000D5803"/>
    <w:rPr>
      <w:rFonts w:ascii="Times New Roman" w:eastAsia="Times New Roman" w:hAnsi="Times New Roman"/>
      <w:szCs w:val="20"/>
    </w:rPr>
  </w:style>
  <w:style w:type="paragraph" w:customStyle="1" w:styleId="SignatureName">
    <w:name w:val="Signature Name"/>
    <w:basedOn w:val="Signature"/>
    <w:next w:val="Normal"/>
    <w:rsid w:val="000D5803"/>
  </w:style>
  <w:style w:type="paragraph" w:customStyle="1" w:styleId="ToJustices">
    <w:name w:val="ToJustices"/>
    <w:basedOn w:val="Normal"/>
    <w:rsid w:val="000D5803"/>
    <w:pPr>
      <w:tabs>
        <w:tab w:val="left" w:pos="5400"/>
      </w:tabs>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3759</Words>
  <Characters>19934</Characters>
  <Application>Microsoft Office Word</Application>
  <DocSecurity>0</DocSecurity>
  <Lines>335</Lines>
  <Paragraphs>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23835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2021-09-08T17:49:00Z</dcterms:created>
  <dcterms:modified xsi:type="dcterms:W3CDTF">2021-09-08T17:49:00Z</dcterms:modified>
  <cp:category/>
</cp:coreProperties>
</file>