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F4E4" w14:textId="30C03B96" w:rsidR="008F51CD" w:rsidRPr="00EA433E" w:rsidRDefault="00432A9A" w:rsidP="007A4391">
      <w:pPr>
        <w:jc w:val="center"/>
        <w:rPr>
          <w:sz w:val="20"/>
        </w:rPr>
      </w:pPr>
      <w:r w:rsidRPr="00EA433E">
        <w:rPr>
          <w:sz w:val="20"/>
        </w:rPr>
        <w:t>Filed 3/23/22</w:t>
      </w:r>
      <w:bookmarkStart w:id="0" w:name="_Hlk91684443"/>
      <w:r w:rsidR="007A4391" w:rsidRPr="000D157E">
        <w:rPr>
          <w:sz w:val="20"/>
        </w:rPr>
        <w:t>; REVIEW GRANTED.  See Cal. Rules of Court, rules 8.1105 and 8.1115 (and corresponding Comment, par. 2, concerning rule 8.1115(e)(3)).</w:t>
      </w:r>
      <w:bookmarkEnd w:id="0"/>
    </w:p>
    <w:p w14:paraId="2F3D58D1" w14:textId="77777777" w:rsidR="008F51CD" w:rsidRDefault="008F51CD" w:rsidP="008F51CD"/>
    <w:p w14:paraId="5F850D49" w14:textId="77777777" w:rsidR="008F51CD" w:rsidRDefault="008F51CD" w:rsidP="008F51CD"/>
    <w:p w14:paraId="32F89F71" w14:textId="77777777" w:rsidR="00022BBB" w:rsidRDefault="00022BBB" w:rsidP="00F55929"/>
    <w:p w14:paraId="475A8EA5" w14:textId="77777777" w:rsidR="00C03548" w:rsidRPr="00585434" w:rsidRDefault="00432A9A" w:rsidP="00C03548">
      <w:pPr>
        <w:jc w:val="center"/>
        <w:rPr>
          <w:b/>
          <w:bCs/>
        </w:rPr>
      </w:pPr>
      <w:r w:rsidRPr="00585434">
        <w:rPr>
          <w:b/>
          <w:bCs/>
        </w:rPr>
        <w:t>CERTIFIED FOR PUBLICATION</w:t>
      </w:r>
    </w:p>
    <w:p w14:paraId="4DF6EF8F" w14:textId="77777777" w:rsidR="00275127" w:rsidRDefault="00275127" w:rsidP="008F51CD">
      <w:pPr>
        <w:jc w:val="center"/>
      </w:pPr>
    </w:p>
    <w:p w14:paraId="3565980D" w14:textId="77777777" w:rsidR="008F51CD" w:rsidRDefault="00432A9A" w:rsidP="008F51CD">
      <w:pPr>
        <w:jc w:val="center"/>
      </w:pPr>
      <w:r>
        <w:t>IN THE COURT OF APPEAL OF THE STATE OF CALIFORNIA</w:t>
      </w:r>
    </w:p>
    <w:p w14:paraId="1586F38E" w14:textId="77777777" w:rsidR="008F51CD" w:rsidRDefault="008F51CD" w:rsidP="008F51CD">
      <w:pPr>
        <w:jc w:val="center"/>
      </w:pPr>
    </w:p>
    <w:p w14:paraId="753A5757" w14:textId="77777777" w:rsidR="008F51CD" w:rsidRDefault="00432A9A" w:rsidP="008F51CD">
      <w:pPr>
        <w:jc w:val="center"/>
      </w:pPr>
      <w:r>
        <w:t>FOURTH APPELLATE DISTRICT</w:t>
      </w:r>
    </w:p>
    <w:p w14:paraId="5A358CC1" w14:textId="77777777" w:rsidR="008F51CD" w:rsidRDefault="008F51CD" w:rsidP="008F51CD">
      <w:pPr>
        <w:jc w:val="center"/>
      </w:pPr>
    </w:p>
    <w:p w14:paraId="5365B489" w14:textId="77777777" w:rsidR="008F51CD" w:rsidRDefault="00432A9A" w:rsidP="008F51CD">
      <w:pPr>
        <w:jc w:val="center"/>
      </w:pPr>
      <w:r>
        <w:t>DIVISION THREE</w:t>
      </w:r>
    </w:p>
    <w:p w14:paraId="7FCBBF3C" w14:textId="77777777" w:rsidR="008F51CD" w:rsidRDefault="008F51CD" w:rsidP="008F51CD">
      <w:pPr>
        <w:jc w:val="center"/>
      </w:pPr>
    </w:p>
    <w:p w14:paraId="46746E56" w14:textId="77777777" w:rsidR="008F51CD" w:rsidRDefault="008F51CD" w:rsidP="008F51CD">
      <w:pPr>
        <w:jc w:val="center"/>
      </w:pPr>
    </w:p>
    <w:tbl>
      <w:tblPr>
        <w:tblW w:w="0" w:type="auto"/>
        <w:tblLayout w:type="fixed"/>
        <w:tblLook w:val="0000" w:firstRow="0" w:lastRow="0" w:firstColumn="0" w:lastColumn="0" w:noHBand="0" w:noVBand="0"/>
      </w:tblPr>
      <w:tblGrid>
        <w:gridCol w:w="4788"/>
        <w:gridCol w:w="4788"/>
      </w:tblGrid>
      <w:tr w:rsidR="00402B92" w14:paraId="6EAA9BE4" w14:textId="77777777" w:rsidTr="008F51CD">
        <w:tc>
          <w:tcPr>
            <w:tcW w:w="4788" w:type="dxa"/>
            <w:tcBorders>
              <w:bottom w:val="single" w:sz="4" w:space="0" w:color="auto"/>
              <w:right w:val="single" w:sz="4" w:space="0" w:color="auto"/>
            </w:tcBorders>
            <w:shd w:val="clear" w:color="auto" w:fill="auto"/>
          </w:tcPr>
          <w:p w14:paraId="7BB9B7B9" w14:textId="77777777" w:rsidR="008F51CD" w:rsidRPr="003278CB" w:rsidRDefault="00432A9A" w:rsidP="008F51CD">
            <w:pPr>
              <w:rPr>
                <w:lang w:val="es-MX"/>
              </w:rPr>
            </w:pPr>
            <w:r w:rsidRPr="003278CB">
              <w:rPr>
                <w:lang w:val="es-MX"/>
              </w:rPr>
              <w:t>JORGE LUIS ESTRADA et al.,</w:t>
            </w:r>
          </w:p>
          <w:p w14:paraId="1ECA3649" w14:textId="77777777" w:rsidR="008F51CD" w:rsidRPr="003278CB" w:rsidRDefault="008F51CD" w:rsidP="008F51CD">
            <w:pPr>
              <w:rPr>
                <w:lang w:val="es-MX"/>
              </w:rPr>
            </w:pPr>
          </w:p>
          <w:p w14:paraId="4E914E95" w14:textId="77777777" w:rsidR="008F51CD" w:rsidRDefault="00432A9A" w:rsidP="008F51CD">
            <w:r w:rsidRPr="003278CB">
              <w:rPr>
                <w:lang w:val="es-MX"/>
              </w:rPr>
              <w:t xml:space="preserve">      </w:t>
            </w:r>
            <w:r>
              <w:t>Plaintiffs and Appellants,</w:t>
            </w:r>
          </w:p>
          <w:p w14:paraId="37808F95" w14:textId="77777777" w:rsidR="008F51CD" w:rsidRDefault="008F51CD" w:rsidP="008F51CD"/>
          <w:p w14:paraId="5A111EB8" w14:textId="77777777" w:rsidR="008F51CD" w:rsidRDefault="00432A9A" w:rsidP="008F51CD">
            <w:r>
              <w:tab/>
              <w:t>v.</w:t>
            </w:r>
          </w:p>
          <w:p w14:paraId="5DD45FA5" w14:textId="77777777" w:rsidR="008F51CD" w:rsidRDefault="008F51CD" w:rsidP="008F51CD"/>
          <w:p w14:paraId="37661EE0" w14:textId="77777777" w:rsidR="008F51CD" w:rsidRDefault="00432A9A" w:rsidP="008F51CD">
            <w:r>
              <w:t>ROYALTY CARPET MILLS, INC.,</w:t>
            </w:r>
          </w:p>
          <w:p w14:paraId="63BB3A5C" w14:textId="77777777" w:rsidR="008F51CD" w:rsidRDefault="008F51CD" w:rsidP="008F51CD"/>
          <w:p w14:paraId="20BAC419" w14:textId="553B31B1" w:rsidR="008F51CD" w:rsidRDefault="00432A9A" w:rsidP="008F51CD">
            <w:r>
              <w:t xml:space="preserve">      Defendant and </w:t>
            </w:r>
            <w:r w:rsidR="00C7302D">
              <w:t>Appellant</w:t>
            </w:r>
            <w:r>
              <w:t>.</w:t>
            </w:r>
          </w:p>
          <w:p w14:paraId="3801C368" w14:textId="77777777" w:rsidR="008F51CD" w:rsidRDefault="008F51CD" w:rsidP="008F51CD"/>
        </w:tc>
        <w:tc>
          <w:tcPr>
            <w:tcW w:w="4788" w:type="dxa"/>
            <w:tcBorders>
              <w:left w:val="single" w:sz="4" w:space="0" w:color="auto"/>
            </w:tcBorders>
            <w:shd w:val="clear" w:color="auto" w:fill="auto"/>
          </w:tcPr>
          <w:p w14:paraId="36B23BD5" w14:textId="77777777" w:rsidR="008F51CD" w:rsidRDefault="008F51CD" w:rsidP="008F51CD"/>
          <w:p w14:paraId="6EAE260E" w14:textId="77777777" w:rsidR="008F51CD" w:rsidRDefault="008F51CD" w:rsidP="008F51CD"/>
          <w:p w14:paraId="29F6D276" w14:textId="71639379" w:rsidR="008F51CD" w:rsidRDefault="00432A9A" w:rsidP="008F51CD">
            <w:r>
              <w:t xml:space="preserve">         G058397</w:t>
            </w:r>
            <w:r w:rsidR="004B143A">
              <w:t>, G058969</w:t>
            </w:r>
          </w:p>
          <w:p w14:paraId="7CF4B794" w14:textId="77777777" w:rsidR="008F51CD" w:rsidRDefault="008F51CD" w:rsidP="008F51CD"/>
          <w:p w14:paraId="5333AA3E" w14:textId="77777777" w:rsidR="008F51CD" w:rsidRDefault="00432A9A" w:rsidP="008F51CD">
            <w:r>
              <w:t xml:space="preserve">         (Super. Ct. No. 30-2013-00692890)</w:t>
            </w:r>
          </w:p>
          <w:p w14:paraId="0016E192" w14:textId="77777777" w:rsidR="008F51CD" w:rsidRDefault="008F51CD" w:rsidP="008F51CD"/>
          <w:p w14:paraId="08D857BD" w14:textId="537B4BBA" w:rsidR="008F51CD" w:rsidRDefault="00432A9A" w:rsidP="008F51CD">
            <w:r>
              <w:t xml:space="preserve">         </w:t>
            </w:r>
            <w:r w:rsidR="0038488C">
              <w:t>O P I N I O N</w:t>
            </w:r>
          </w:p>
        </w:tc>
      </w:tr>
    </w:tbl>
    <w:p w14:paraId="222B6419" w14:textId="77777777" w:rsidR="008F51CD" w:rsidRDefault="008F51CD" w:rsidP="008F51CD">
      <w:pPr>
        <w:tabs>
          <w:tab w:val="left" w:pos="1440"/>
          <w:tab w:val="left" w:pos="2880"/>
          <w:tab w:val="left" w:pos="4320"/>
          <w:tab w:val="left" w:pos="5760"/>
          <w:tab w:val="left" w:pos="7200"/>
          <w:tab w:val="left" w:pos="8640"/>
        </w:tabs>
        <w:spacing w:line="480" w:lineRule="atLeast"/>
      </w:pPr>
    </w:p>
    <w:p w14:paraId="75ABD47E" w14:textId="4F88E05A" w:rsidR="008F51CD" w:rsidRDefault="00432A9A" w:rsidP="008F51CD">
      <w:pPr>
        <w:tabs>
          <w:tab w:val="left" w:pos="1440"/>
          <w:tab w:val="left" w:pos="2880"/>
          <w:tab w:val="left" w:pos="4320"/>
          <w:tab w:val="left" w:pos="5760"/>
          <w:tab w:val="left" w:pos="7200"/>
          <w:tab w:val="left" w:pos="8640"/>
        </w:tabs>
        <w:spacing w:line="480" w:lineRule="atLeast"/>
      </w:pPr>
      <w:r>
        <w:tab/>
        <w:t xml:space="preserve">Appeal from </w:t>
      </w:r>
      <w:r w:rsidR="00132C4E">
        <w:t>an order and</w:t>
      </w:r>
      <w:r>
        <w:t xml:space="preserve"> judgment of the Superior Court of Orange County, Randall J. Sherman, Judge.  Affirmed</w:t>
      </w:r>
      <w:r w:rsidR="001119A5">
        <w:t xml:space="preserve"> in part</w:t>
      </w:r>
      <w:r w:rsidR="000A2670">
        <w:t xml:space="preserve">, </w:t>
      </w:r>
      <w:r w:rsidR="001119A5">
        <w:t>reversed in part</w:t>
      </w:r>
      <w:r w:rsidR="000A2670">
        <w:t xml:space="preserve"> and remanded with </w:t>
      </w:r>
      <w:r w:rsidR="00C7302D">
        <w:t>direct</w:t>
      </w:r>
      <w:r w:rsidR="000A2670">
        <w:t>ions</w:t>
      </w:r>
      <w:r>
        <w:t>.</w:t>
      </w:r>
    </w:p>
    <w:p w14:paraId="6DE36FC5" w14:textId="5113B1BD" w:rsidR="008F51CD" w:rsidRDefault="00432A9A" w:rsidP="008F51CD">
      <w:pPr>
        <w:tabs>
          <w:tab w:val="left" w:pos="1440"/>
          <w:tab w:val="left" w:pos="2880"/>
          <w:tab w:val="left" w:pos="4320"/>
          <w:tab w:val="left" w:pos="5760"/>
          <w:tab w:val="left" w:pos="7200"/>
          <w:tab w:val="left" w:pos="8640"/>
        </w:tabs>
        <w:spacing w:line="480" w:lineRule="atLeast"/>
      </w:pPr>
      <w:r>
        <w:tab/>
        <w:t>Ginez, Steinmetz &amp; Assoc., Rudy Ginez, Jr.; CE Smith Law Firm</w:t>
      </w:r>
      <w:r w:rsidR="001263A9">
        <w:t xml:space="preserve"> </w:t>
      </w:r>
      <w:r w:rsidR="001D481F">
        <w:t xml:space="preserve">and </w:t>
      </w:r>
      <w:r>
        <w:t xml:space="preserve">Clifton E. Smith for Plaintiffs and </w:t>
      </w:r>
      <w:r>
        <w:t>Appellants.</w:t>
      </w:r>
    </w:p>
    <w:p w14:paraId="742DC48F" w14:textId="7904D4FA" w:rsidR="008F51CD" w:rsidRDefault="00432A9A" w:rsidP="008F51CD">
      <w:pPr>
        <w:tabs>
          <w:tab w:val="left" w:pos="1440"/>
          <w:tab w:val="left" w:pos="2880"/>
          <w:tab w:val="left" w:pos="4320"/>
          <w:tab w:val="left" w:pos="5760"/>
          <w:tab w:val="left" w:pos="7200"/>
          <w:tab w:val="left" w:pos="8640"/>
        </w:tabs>
        <w:spacing w:line="480" w:lineRule="atLeast"/>
      </w:pPr>
      <w:r>
        <w:tab/>
        <w:t>Baker &amp; Hostetler</w:t>
      </w:r>
      <w:r w:rsidR="00946F76">
        <w:t xml:space="preserve">, </w:t>
      </w:r>
      <w:r>
        <w:t xml:space="preserve">Daniel F. Lula, Vartan S. Madoyan and Joseph S. Persoff for Defendant and </w:t>
      </w:r>
      <w:r w:rsidR="00C7302D">
        <w:t>Appellant</w:t>
      </w:r>
      <w:r>
        <w:t>.</w:t>
      </w:r>
    </w:p>
    <w:p w14:paraId="496B6152" w14:textId="77777777" w:rsidR="00B8622E" w:rsidRDefault="00B8622E" w:rsidP="008F51CD">
      <w:pPr>
        <w:tabs>
          <w:tab w:val="left" w:pos="1440"/>
          <w:tab w:val="left" w:pos="2880"/>
          <w:tab w:val="left" w:pos="4320"/>
          <w:tab w:val="left" w:pos="5760"/>
          <w:tab w:val="left" w:pos="7200"/>
          <w:tab w:val="left" w:pos="8640"/>
        </w:tabs>
        <w:spacing w:line="480" w:lineRule="atLeast"/>
      </w:pPr>
    </w:p>
    <w:p w14:paraId="039B7CA8" w14:textId="630E1992" w:rsidR="004B143A" w:rsidRDefault="00432A9A">
      <w:pPr>
        <w:tabs>
          <w:tab w:val="left" w:pos="1440"/>
          <w:tab w:val="left" w:leader="underscore" w:pos="5040"/>
        </w:tabs>
        <w:spacing w:line="480" w:lineRule="atLeast"/>
        <w:jc w:val="center"/>
      </w:pPr>
      <w:r>
        <w:t>*                *                *</w:t>
      </w:r>
    </w:p>
    <w:p w14:paraId="2EF7D2F4" w14:textId="77777777" w:rsidR="004B143A" w:rsidRDefault="00432A9A">
      <w:r>
        <w:br w:type="page"/>
      </w:r>
    </w:p>
    <w:p w14:paraId="6DA115DC" w14:textId="081CE3F1" w:rsidR="00FC6C03" w:rsidRDefault="00432A9A" w:rsidP="00FC6C03">
      <w:pPr>
        <w:tabs>
          <w:tab w:val="left" w:pos="1440"/>
          <w:tab w:val="left" w:pos="2880"/>
          <w:tab w:val="left" w:pos="4320"/>
          <w:tab w:val="left" w:pos="5760"/>
          <w:tab w:val="left" w:pos="7200"/>
          <w:tab w:val="left" w:pos="8640"/>
        </w:tabs>
        <w:spacing w:line="480" w:lineRule="atLeast"/>
      </w:pPr>
      <w:r>
        <w:lastRenderedPageBreak/>
        <w:tab/>
        <w:t>The plaintiffs in this case were employees at three separate carpet manufacturing facilities operat</w:t>
      </w:r>
      <w:r>
        <w:t xml:space="preserve">ed by defendant Royalty Carpet Mills, </w:t>
      </w:r>
      <w:r w:rsidR="00F55929">
        <w:t>Inc.</w:t>
      </w:r>
      <w:r>
        <w:t xml:space="preserve"> (Royalty)</w:t>
      </w:r>
      <w:r w:rsidR="00BE4A1E">
        <w:t>, which is now known as Royalty Carpet Mills, LLC</w:t>
      </w:r>
      <w:r>
        <w:t>.  They alleged representative claims under the Private Attorneys General Act (PAGA; Lab. Code § 2698 et seq.)</w:t>
      </w:r>
      <w:r w:rsidR="00F55929">
        <w:t>,</w:t>
      </w:r>
      <w:r>
        <w:rPr>
          <w:rStyle w:val="FootnoteReference"/>
        </w:rPr>
        <w:footnoteReference w:id="2"/>
      </w:r>
      <w:r>
        <w:t xml:space="preserve"> </w:t>
      </w:r>
      <w:r w:rsidR="00332924">
        <w:t xml:space="preserve">and class claims </w:t>
      </w:r>
      <w:r>
        <w:t>primarily based on purported meal and rest period violations.  They sought premium pay under section 226.7 for these violations and asserted derivative claims for waiting time and wage statement penalties, among others.  The trial court initially certified</w:t>
      </w:r>
      <w:r>
        <w:t xml:space="preserve"> two classes:  one for employees that worked at a facility in Porterville (the Porterville class) and another for employees that worked in two separate facilities in Orange County (the Dyer/Derian class).  Following the presentation of evidence at trial, t</w:t>
      </w:r>
      <w:r>
        <w:t xml:space="preserve">he court decertified the Dyer/Derian class </w:t>
      </w:r>
      <w:r w:rsidR="007A61FD">
        <w:t xml:space="preserve">and </w:t>
      </w:r>
      <w:r>
        <w:t>then entered judgment.  The results were mixed and both sides appeal.</w:t>
      </w:r>
    </w:p>
    <w:p w14:paraId="57D07FA6" w14:textId="4EC883E5" w:rsidR="00FC6C03" w:rsidRDefault="00432A9A" w:rsidP="00FC6C03">
      <w:pPr>
        <w:tabs>
          <w:tab w:val="left" w:pos="1440"/>
          <w:tab w:val="left" w:pos="2880"/>
          <w:tab w:val="left" w:pos="4320"/>
          <w:tab w:val="left" w:pos="5760"/>
          <w:tab w:val="left" w:pos="7200"/>
          <w:tab w:val="left" w:pos="8640"/>
        </w:tabs>
        <w:spacing w:line="480" w:lineRule="atLeast"/>
        <w:rPr>
          <w:color w:val="FF0000"/>
        </w:rPr>
      </w:pPr>
      <w:r>
        <w:tab/>
        <w:t xml:space="preserve">Plaintiffs make several contentions on appeal:  (1) certain releases in settlement agreements that Royalty </w:t>
      </w:r>
      <w:r w:rsidR="003E3C8D">
        <w:t>made</w:t>
      </w:r>
      <w:r>
        <w:t xml:space="preserve"> with individual class memb</w:t>
      </w:r>
      <w:r>
        <w:t xml:space="preserve">ers </w:t>
      </w:r>
      <w:r w:rsidR="003E3C8D">
        <w:t xml:space="preserve">prior to trial </w:t>
      </w:r>
      <w:r>
        <w:t>are invalid; (2) the court erred in finding the Porterville class’s meal period claim, which was added in an amended complaint, did not relate back to any prior complaint; (3) the court abused its discretion by decertifying the Dyer/Deri</w:t>
      </w:r>
      <w:r>
        <w:t xml:space="preserve">an class; (4) the court incorrectly applied a seven percent prejudgment interest rate </w:t>
      </w:r>
      <w:r w:rsidR="00B41A46">
        <w:t xml:space="preserve">to premium pay awarded under section 226.7 </w:t>
      </w:r>
      <w:r>
        <w:t>rather than a 10 percent rate; (5) the court’s judgment for Royalty on the Porterville class’s derivative waiting time and wage</w:t>
      </w:r>
      <w:r>
        <w:t xml:space="preserve"> statement claims was wrong; and (6) the court </w:t>
      </w:r>
      <w:r w:rsidR="00391C85">
        <w:t>mistakenly</w:t>
      </w:r>
      <w:r w:rsidR="003836E9">
        <w:t xml:space="preserve"> dismissed </w:t>
      </w:r>
      <w:r>
        <w:t xml:space="preserve">the PAGA meal period </w:t>
      </w:r>
      <w:r w:rsidRPr="00BB63AB">
        <w:t xml:space="preserve">claims of the Dyer/Derian employees on unmanageability grounds.  As explained in this opinion, we </w:t>
      </w:r>
      <w:r w:rsidR="00275127" w:rsidRPr="00BB63AB">
        <w:t xml:space="preserve">agree with three </w:t>
      </w:r>
      <w:r w:rsidR="00352DBC" w:rsidRPr="00BB63AB">
        <w:t xml:space="preserve">of </w:t>
      </w:r>
      <w:r w:rsidR="00275127" w:rsidRPr="00BB63AB">
        <w:t xml:space="preserve">these contentions.  We </w:t>
      </w:r>
      <w:r w:rsidR="00B60827" w:rsidRPr="00BB63AB">
        <w:t xml:space="preserve">find </w:t>
      </w:r>
      <w:r w:rsidR="00275127" w:rsidRPr="00BB63AB">
        <w:t xml:space="preserve">the </w:t>
      </w:r>
      <w:r w:rsidRPr="00BB63AB">
        <w:t xml:space="preserve">court erred </w:t>
      </w:r>
      <w:r w:rsidR="00A41439" w:rsidRPr="00BB63AB">
        <w:t xml:space="preserve">in </w:t>
      </w:r>
      <w:r w:rsidRPr="00BB63AB">
        <w:t>fa</w:t>
      </w:r>
      <w:r w:rsidRPr="00BB63AB">
        <w:t>iling to apply the relation back doctrine</w:t>
      </w:r>
      <w:r w:rsidR="00352DBC" w:rsidRPr="00BB63AB">
        <w:t xml:space="preserve">, </w:t>
      </w:r>
      <w:r w:rsidR="008A6BF0" w:rsidRPr="00BB63AB">
        <w:t xml:space="preserve">in </w:t>
      </w:r>
      <w:r w:rsidR="00352DBC" w:rsidRPr="00BB63AB">
        <w:t>de</w:t>
      </w:r>
      <w:r w:rsidR="00A41439" w:rsidRPr="00BB63AB">
        <w:t xml:space="preserve">certifying the </w:t>
      </w:r>
      <w:r w:rsidR="008A6BF0" w:rsidRPr="00BB63AB">
        <w:t xml:space="preserve">Dyer/Derian </w:t>
      </w:r>
      <w:r w:rsidR="00A41439" w:rsidRPr="00BB63AB">
        <w:t xml:space="preserve">class, </w:t>
      </w:r>
      <w:r w:rsidR="00C20BB1" w:rsidRPr="00BB63AB">
        <w:t xml:space="preserve">and </w:t>
      </w:r>
      <w:r w:rsidR="00B86807" w:rsidRPr="00BB63AB">
        <w:t>dismissing the PAGA claims as unmanageable.</w:t>
      </w:r>
    </w:p>
    <w:p w14:paraId="0FDD66F4" w14:textId="5B1B715B" w:rsidR="00B86807" w:rsidRPr="00BB63AB" w:rsidRDefault="00432A9A" w:rsidP="00FC6C03">
      <w:pPr>
        <w:tabs>
          <w:tab w:val="left" w:pos="1440"/>
          <w:tab w:val="left" w:pos="2880"/>
          <w:tab w:val="left" w:pos="4320"/>
          <w:tab w:val="left" w:pos="5760"/>
          <w:tab w:val="left" w:pos="7200"/>
          <w:tab w:val="left" w:pos="8640"/>
        </w:tabs>
        <w:spacing w:line="480" w:lineRule="atLeast"/>
      </w:pPr>
      <w:r>
        <w:rPr>
          <w:color w:val="FF0000"/>
        </w:rPr>
        <w:lastRenderedPageBreak/>
        <w:tab/>
      </w:r>
      <w:r w:rsidRPr="00BB63AB">
        <w:t xml:space="preserve">We publish this opinion </w:t>
      </w:r>
      <w:r w:rsidR="00DB77CC" w:rsidRPr="00BB63AB">
        <w:t xml:space="preserve">primarily </w:t>
      </w:r>
      <w:r w:rsidRPr="00BB63AB">
        <w:t xml:space="preserve">due </w:t>
      </w:r>
      <w:r w:rsidR="00964B69" w:rsidRPr="00BB63AB">
        <w:t xml:space="preserve">to our discussion </w:t>
      </w:r>
      <w:r w:rsidR="00952823" w:rsidRPr="00BB63AB">
        <w:t xml:space="preserve">concerning unmanageable </w:t>
      </w:r>
      <w:r w:rsidR="00B4136E" w:rsidRPr="00BB63AB">
        <w:t>PAGA claims</w:t>
      </w:r>
      <w:r w:rsidRPr="00BB63AB">
        <w:t xml:space="preserve">.  </w:t>
      </w:r>
      <w:r w:rsidR="00DD6690" w:rsidRPr="00BB63AB">
        <w:t xml:space="preserve">Currently, only </w:t>
      </w:r>
      <w:r w:rsidR="007E20EA" w:rsidRPr="00BB63AB">
        <w:t xml:space="preserve">one </w:t>
      </w:r>
      <w:r w:rsidR="00DD6690" w:rsidRPr="00BB63AB">
        <w:t xml:space="preserve">published California </w:t>
      </w:r>
      <w:r w:rsidR="002078E0" w:rsidRPr="00BB63AB">
        <w:t>opinion</w:t>
      </w:r>
      <w:r w:rsidR="007E20EA" w:rsidRPr="00BB63AB">
        <w:t xml:space="preserve">, </w:t>
      </w:r>
      <w:r w:rsidR="007E20EA" w:rsidRPr="00BB63AB">
        <w:rPr>
          <w:i/>
          <w:iCs/>
        </w:rPr>
        <w:t xml:space="preserve">Wesson v. Staples the Office Superstore, LLC </w:t>
      </w:r>
      <w:r w:rsidR="007E20EA" w:rsidRPr="00BB63AB">
        <w:t>(2021) 68 Cal.App.5th 746</w:t>
      </w:r>
      <w:r w:rsidR="00F55929">
        <w:t xml:space="preserve"> (</w:t>
      </w:r>
      <w:r w:rsidR="00F55929">
        <w:rPr>
          <w:i/>
          <w:iCs/>
        </w:rPr>
        <w:t>Wesson</w:t>
      </w:r>
      <w:r w:rsidR="00F55929">
        <w:t>)</w:t>
      </w:r>
      <w:r w:rsidR="007E20EA" w:rsidRPr="00BB63AB">
        <w:t xml:space="preserve">, addresses </w:t>
      </w:r>
      <w:r w:rsidR="00BC67C7" w:rsidRPr="00BB63AB">
        <w:t xml:space="preserve">this issue.  It concluded courts have inherent authority to </w:t>
      </w:r>
      <w:r w:rsidR="000F135D" w:rsidRPr="00BB63AB">
        <w:t>strike unmanageable PAGA claims.  (</w:t>
      </w:r>
      <w:r w:rsidR="000F135D" w:rsidRPr="00BB63AB">
        <w:rPr>
          <w:i/>
          <w:iCs/>
        </w:rPr>
        <w:t>Id</w:t>
      </w:r>
      <w:r w:rsidR="000F135D" w:rsidRPr="00BB63AB">
        <w:t xml:space="preserve">. at pp. 766-767.)  While we understand the concerns expressed in </w:t>
      </w:r>
      <w:r w:rsidR="000F135D" w:rsidRPr="00BB63AB">
        <w:rPr>
          <w:i/>
          <w:iCs/>
        </w:rPr>
        <w:t>Wesson</w:t>
      </w:r>
      <w:r w:rsidR="000F135D" w:rsidRPr="00BB63AB">
        <w:t xml:space="preserve">, we </w:t>
      </w:r>
      <w:r w:rsidR="008C2C30" w:rsidRPr="00BB63AB">
        <w:t xml:space="preserve">reach </w:t>
      </w:r>
      <w:r w:rsidR="00B13522" w:rsidRPr="00BB63AB">
        <w:t xml:space="preserve">the opposite </w:t>
      </w:r>
      <w:r w:rsidR="008C2C30" w:rsidRPr="00BB63AB">
        <w:t>conclusion.  Based on our reading of</w:t>
      </w:r>
      <w:r w:rsidR="00877B0E" w:rsidRPr="00BB63AB">
        <w:t xml:space="preserve"> </w:t>
      </w:r>
      <w:r w:rsidR="00774F7D" w:rsidRPr="00BB63AB">
        <w:t xml:space="preserve">pertinent </w:t>
      </w:r>
      <w:r w:rsidR="00877B0E" w:rsidRPr="00BB63AB">
        <w:t xml:space="preserve">Supreme Court authority, </w:t>
      </w:r>
      <w:r w:rsidR="002A26A6" w:rsidRPr="00BB63AB">
        <w:t>chiefly</w:t>
      </w:r>
      <w:r w:rsidR="008C2C30" w:rsidRPr="00BB63AB">
        <w:t xml:space="preserve"> </w:t>
      </w:r>
      <w:r w:rsidR="008C2C30" w:rsidRPr="00BB63AB">
        <w:rPr>
          <w:i/>
          <w:iCs/>
        </w:rPr>
        <w:t>Arias v. Superior Court</w:t>
      </w:r>
      <w:r w:rsidR="008C2C30" w:rsidRPr="00BB63AB">
        <w:t xml:space="preserve"> (2009) 46 Cal.4th 969</w:t>
      </w:r>
      <w:r w:rsidR="00F55929">
        <w:t>,</w:t>
      </w:r>
      <w:r w:rsidR="00B13522" w:rsidRPr="00BB63AB">
        <w:t xml:space="preserve"> and </w:t>
      </w:r>
      <w:r w:rsidR="00B13522" w:rsidRPr="00BB63AB">
        <w:rPr>
          <w:i/>
          <w:iCs/>
        </w:rPr>
        <w:t>Kim v. Reins International California, Inc.</w:t>
      </w:r>
      <w:r w:rsidR="00B13522" w:rsidRPr="00BB63AB">
        <w:t xml:space="preserve"> (2020) 9 Cal.5th 73, we find a court cannot strike a PAGA claim </w:t>
      </w:r>
      <w:r w:rsidR="006053AD" w:rsidRPr="00BB63AB">
        <w:t>based on manageability.</w:t>
      </w:r>
      <w:r w:rsidR="002E7FAD" w:rsidRPr="00BB63AB">
        <w:t xml:space="preserve">  </w:t>
      </w:r>
      <w:r w:rsidR="00BD18E4" w:rsidRPr="00BB63AB">
        <w:t>These cases have made clear that PAGA claims are unlike conventional civil suits</w:t>
      </w:r>
      <w:r w:rsidR="00F8458A" w:rsidRPr="00BB63AB">
        <w:t xml:space="preserve"> and</w:t>
      </w:r>
      <w:r w:rsidR="00B06920" w:rsidRPr="00BB63AB">
        <w:t xml:space="preserve">, </w:t>
      </w:r>
      <w:r w:rsidR="00843768" w:rsidRPr="00BB63AB">
        <w:t>in particular</w:t>
      </w:r>
      <w:r w:rsidR="00B06920" w:rsidRPr="00BB63AB">
        <w:t>,</w:t>
      </w:r>
      <w:r w:rsidR="00F8458A" w:rsidRPr="00BB63AB">
        <w:t xml:space="preserve"> </w:t>
      </w:r>
      <w:r w:rsidR="00843768" w:rsidRPr="00BB63AB">
        <w:t xml:space="preserve">are not </w:t>
      </w:r>
      <w:r w:rsidR="00F8458A" w:rsidRPr="00BB63AB">
        <w:t>class actions</w:t>
      </w:r>
      <w:r w:rsidR="00BD18E4" w:rsidRPr="00BB63AB">
        <w:t xml:space="preserve">.  </w:t>
      </w:r>
      <w:r w:rsidR="001A4BD0" w:rsidRPr="00BB63AB">
        <w:t>A</w:t>
      </w:r>
      <w:r w:rsidR="00087ADF" w:rsidRPr="00BB63AB">
        <w:t xml:space="preserve">llowing dismissal of unmanageable PAGA claims would </w:t>
      </w:r>
      <w:r w:rsidR="00852BC2" w:rsidRPr="00BB63AB">
        <w:t>effectively</w:t>
      </w:r>
      <w:r w:rsidR="0055383A" w:rsidRPr="00BB63AB">
        <w:t xml:space="preserve"> </w:t>
      </w:r>
      <w:r w:rsidR="00087ADF" w:rsidRPr="00BB63AB">
        <w:t>graft a class action requirement onto PAG</w:t>
      </w:r>
      <w:r w:rsidR="0055383A" w:rsidRPr="00BB63AB">
        <w:t>A claims, undermining a core principl</w:t>
      </w:r>
      <w:r w:rsidR="007D4E06" w:rsidRPr="00BB63AB">
        <w:t>e</w:t>
      </w:r>
      <w:r w:rsidR="0055383A" w:rsidRPr="00BB63AB">
        <w:t xml:space="preserve"> of </w:t>
      </w:r>
      <w:r w:rsidR="00263BBF" w:rsidRPr="00BB63AB">
        <w:t>these authorities</w:t>
      </w:r>
      <w:r w:rsidR="0055383A" w:rsidRPr="00BB63AB">
        <w:t xml:space="preserve">.  </w:t>
      </w:r>
      <w:r w:rsidR="00852BC2" w:rsidRPr="00BB63AB">
        <w:t>I</w:t>
      </w:r>
      <w:r w:rsidR="00AD4236" w:rsidRPr="00BB63AB">
        <w:t xml:space="preserve">t would </w:t>
      </w:r>
      <w:r w:rsidR="00852BC2" w:rsidRPr="00BB63AB">
        <w:t xml:space="preserve">also </w:t>
      </w:r>
      <w:r w:rsidR="00AD4236" w:rsidRPr="00BB63AB">
        <w:t>interfere with PAGA’s purpose as a law enforcement mechanism</w:t>
      </w:r>
      <w:r w:rsidR="00F80FA3" w:rsidRPr="00BB63AB">
        <w:t xml:space="preserve"> by placing an extra hurdle on PAGA plaintiffs that is not placed on the </w:t>
      </w:r>
      <w:r w:rsidR="00F55929">
        <w:t>s</w:t>
      </w:r>
      <w:r w:rsidR="00F80FA3" w:rsidRPr="00BB63AB">
        <w:t>tate</w:t>
      </w:r>
      <w:r w:rsidR="00AD4236" w:rsidRPr="00BB63AB">
        <w:t xml:space="preserve">.  </w:t>
      </w:r>
      <w:r w:rsidR="00870F60" w:rsidRPr="00BB63AB">
        <w:t xml:space="preserve">That said, courts are not powerless </w:t>
      </w:r>
      <w:r w:rsidR="004576F1" w:rsidRPr="00BB63AB">
        <w:t xml:space="preserve">when facing </w:t>
      </w:r>
      <w:r w:rsidR="00BB4B86" w:rsidRPr="00BB63AB">
        <w:t xml:space="preserve">unwieldy PAGA claims.  </w:t>
      </w:r>
      <w:r w:rsidR="00961CB8" w:rsidRPr="00BB63AB">
        <w:t xml:space="preserve">Courts may still, where appropriate and within reason, </w:t>
      </w:r>
      <w:r w:rsidR="000521F9" w:rsidRPr="00BB63AB">
        <w:t xml:space="preserve">limit </w:t>
      </w:r>
      <w:r w:rsidR="00961CB8" w:rsidRPr="00BB63AB">
        <w:t xml:space="preserve">the amount </w:t>
      </w:r>
      <w:r w:rsidR="004E3124" w:rsidRPr="00BB63AB">
        <w:t>of evidence PAGA plaintiffs m</w:t>
      </w:r>
      <w:r w:rsidR="00F55929">
        <w:t>a</w:t>
      </w:r>
      <w:r w:rsidR="004E3124" w:rsidRPr="00BB63AB">
        <w:t>y introduce at trial</w:t>
      </w:r>
      <w:r w:rsidR="000521F9" w:rsidRPr="00BB63AB">
        <w:t xml:space="preserve"> to prove alleged violations to other unrepresented employees</w:t>
      </w:r>
      <w:r w:rsidR="00257A70" w:rsidRPr="00BB63AB">
        <w:t xml:space="preserve">.  If plaintiffs are unable to show widespread violations in an </w:t>
      </w:r>
      <w:r w:rsidR="00AB657A" w:rsidRPr="00BB63AB">
        <w:t>efficient</w:t>
      </w:r>
      <w:r w:rsidR="00257A70" w:rsidRPr="00BB63AB">
        <w:t xml:space="preserve"> </w:t>
      </w:r>
      <w:r w:rsidR="002967EF" w:rsidRPr="00BB63AB">
        <w:t xml:space="preserve">and reasonable </w:t>
      </w:r>
      <w:r w:rsidR="00257A70" w:rsidRPr="00BB63AB">
        <w:t xml:space="preserve">manner, that will </w:t>
      </w:r>
      <w:r w:rsidR="008B77E8" w:rsidRPr="00BB63AB">
        <w:t>just</w:t>
      </w:r>
      <w:r w:rsidR="00257A70" w:rsidRPr="00BB63AB">
        <w:t xml:space="preserve"> reduce the amount of penalties awarded rather than </w:t>
      </w:r>
      <w:r w:rsidR="00C21F63" w:rsidRPr="00BB63AB">
        <w:t xml:space="preserve">lead to </w:t>
      </w:r>
      <w:r w:rsidR="00CC1A9B" w:rsidRPr="00BB63AB">
        <w:t>dismissal.</w:t>
      </w:r>
    </w:p>
    <w:p w14:paraId="74BDDE57" w14:textId="7F3CEB0C" w:rsidR="00FC6C03" w:rsidRDefault="00432A9A" w:rsidP="00FC6C03">
      <w:pPr>
        <w:tabs>
          <w:tab w:val="left" w:pos="1440"/>
          <w:tab w:val="left" w:pos="2880"/>
          <w:tab w:val="left" w:pos="4320"/>
          <w:tab w:val="left" w:pos="5760"/>
          <w:tab w:val="left" w:pos="7200"/>
          <w:tab w:val="left" w:pos="8640"/>
        </w:tabs>
        <w:spacing w:line="480" w:lineRule="atLeast"/>
      </w:pPr>
      <w:r>
        <w:tab/>
      </w:r>
      <w:r w:rsidR="006053AD">
        <w:t xml:space="preserve">As for </w:t>
      </w:r>
      <w:r>
        <w:t>Royal</w:t>
      </w:r>
      <w:r>
        <w:t>ty</w:t>
      </w:r>
      <w:r w:rsidR="006053AD">
        <w:t>, it</w:t>
      </w:r>
      <w:r>
        <w:t xml:space="preserve"> makes two arguments in its cross-appeal.  First, it asserts the trial court incorrectly found it liable to the Porterville class for meal period </w:t>
      </w:r>
      <w:r w:rsidR="000C538E">
        <w:t>vi</w:t>
      </w:r>
      <w:r w:rsidR="00462701">
        <w:t>o</w:t>
      </w:r>
      <w:r w:rsidR="000C538E">
        <w:t>lations</w:t>
      </w:r>
      <w:r>
        <w:t xml:space="preserve">.  We </w:t>
      </w:r>
      <w:r w:rsidR="00462701">
        <w:t xml:space="preserve">find </w:t>
      </w:r>
      <w:r>
        <w:t xml:space="preserve">the court correctly ruled </w:t>
      </w:r>
      <w:r w:rsidR="007146FD">
        <w:t xml:space="preserve">that </w:t>
      </w:r>
      <w:r>
        <w:t>the meal policy at Porterville, which required emplo</w:t>
      </w:r>
      <w:r>
        <w:t xml:space="preserve">yees to remain at the facility during meal breaks, violated governing law.  Second, </w:t>
      </w:r>
      <w:r w:rsidR="00CE4A54">
        <w:t xml:space="preserve">while </w:t>
      </w:r>
      <w:r>
        <w:t xml:space="preserve">the court </w:t>
      </w:r>
      <w:r w:rsidR="00004515">
        <w:t xml:space="preserve">dismissed </w:t>
      </w:r>
      <w:r>
        <w:t xml:space="preserve">the Dyer/Derian employees’ PAGA meal period </w:t>
      </w:r>
      <w:r w:rsidR="00004515">
        <w:t xml:space="preserve">claim as </w:t>
      </w:r>
      <w:r>
        <w:t>unmanageable, it awarded the named plaintiffs individual PAGA penalties.  Royalty contends co</w:t>
      </w:r>
      <w:r>
        <w:t xml:space="preserve">urts cannot award PAGA penalties to individual plaintiffs because such claims can only be brought in a representative capacity.  </w:t>
      </w:r>
      <w:r w:rsidR="003D03C9">
        <w:t xml:space="preserve">We need not </w:t>
      </w:r>
      <w:r w:rsidR="003D03C9" w:rsidRPr="003D03C9">
        <w:t xml:space="preserve">address this </w:t>
      </w:r>
      <w:r w:rsidR="00D87CBA" w:rsidRPr="003D03C9">
        <w:lastRenderedPageBreak/>
        <w:t xml:space="preserve">argument </w:t>
      </w:r>
      <w:r w:rsidR="003D03C9" w:rsidRPr="003D03C9">
        <w:t xml:space="preserve">given </w:t>
      </w:r>
      <w:r w:rsidR="00D87CBA" w:rsidRPr="003D03C9">
        <w:t xml:space="preserve">our </w:t>
      </w:r>
      <w:r w:rsidR="00CF3085" w:rsidRPr="003D03C9">
        <w:t xml:space="preserve">finding that </w:t>
      </w:r>
      <w:r w:rsidR="00D87CBA" w:rsidRPr="003D03C9">
        <w:t>the court erred by dismissing the PAGA claim</w:t>
      </w:r>
      <w:r w:rsidR="00200649" w:rsidRPr="003D03C9">
        <w:t xml:space="preserve"> as unmanageable.</w:t>
      </w:r>
    </w:p>
    <w:p w14:paraId="3307A40C" w14:textId="470A939A" w:rsidR="00FC6C03" w:rsidRPr="00032857" w:rsidRDefault="00432A9A" w:rsidP="00FC6C03">
      <w:pPr>
        <w:tabs>
          <w:tab w:val="left" w:pos="1440"/>
          <w:tab w:val="left" w:pos="2880"/>
          <w:tab w:val="left" w:pos="4320"/>
          <w:tab w:val="left" w:pos="5760"/>
          <w:tab w:val="left" w:pos="7200"/>
          <w:tab w:val="left" w:pos="8640"/>
        </w:tabs>
        <w:spacing w:line="480" w:lineRule="atLeast"/>
      </w:pPr>
      <w:r w:rsidRPr="00032857">
        <w:tab/>
        <w:t xml:space="preserve">For these reasons, we </w:t>
      </w:r>
      <w:r w:rsidR="00CA3C40" w:rsidRPr="00032857">
        <w:t>reverse</w:t>
      </w:r>
      <w:r w:rsidRPr="00032857">
        <w:t xml:space="preserve"> the trial court</w:t>
      </w:r>
      <w:r w:rsidR="006D39E0" w:rsidRPr="00032857">
        <w:t>’s order</w:t>
      </w:r>
      <w:r w:rsidRPr="00032857">
        <w:t xml:space="preserve"> </w:t>
      </w:r>
      <w:r w:rsidR="00B6204D" w:rsidRPr="00032857">
        <w:t xml:space="preserve">decertifying the Dyer/Derian class and dismissing </w:t>
      </w:r>
      <w:r w:rsidR="005923D3" w:rsidRPr="00032857">
        <w:t>the related</w:t>
      </w:r>
      <w:r w:rsidR="00B6204D" w:rsidRPr="00032857">
        <w:t xml:space="preserve"> PAGA claim</w:t>
      </w:r>
      <w:r w:rsidR="005923D3" w:rsidRPr="00032857">
        <w:t xml:space="preserve"> as unmanageable</w:t>
      </w:r>
      <w:r w:rsidR="00B6204D" w:rsidRPr="00032857">
        <w:t xml:space="preserve">, </w:t>
      </w:r>
      <w:r w:rsidRPr="00032857">
        <w:t xml:space="preserve">and </w:t>
      </w:r>
      <w:r w:rsidR="00B6204D" w:rsidRPr="00032857">
        <w:t xml:space="preserve">we </w:t>
      </w:r>
      <w:r w:rsidRPr="00032857">
        <w:t>affirm and reverse various aspects of the court’s judgment.</w:t>
      </w:r>
    </w:p>
    <w:p w14:paraId="5C03D591" w14:textId="472D1E53" w:rsidR="008F51CD" w:rsidRDefault="00432A9A" w:rsidP="00FC6C03">
      <w:pPr>
        <w:tabs>
          <w:tab w:val="left" w:pos="1440"/>
          <w:tab w:val="left" w:pos="2880"/>
          <w:tab w:val="left" w:pos="4320"/>
          <w:tab w:val="left" w:pos="5760"/>
          <w:tab w:val="left" w:pos="7200"/>
          <w:tab w:val="left" w:pos="8640"/>
        </w:tabs>
        <w:spacing w:before="480" w:line="480" w:lineRule="atLeast"/>
        <w:jc w:val="center"/>
      </w:pPr>
      <w:r>
        <w:t>I</w:t>
      </w:r>
    </w:p>
    <w:p w14:paraId="0A05A3CA" w14:textId="4344D742" w:rsidR="008C5390" w:rsidRDefault="00432A9A" w:rsidP="002D7930">
      <w:pPr>
        <w:keepNext/>
        <w:tabs>
          <w:tab w:val="left" w:pos="1440"/>
          <w:tab w:val="left" w:pos="2880"/>
          <w:tab w:val="left" w:pos="4320"/>
          <w:tab w:val="left" w:pos="5760"/>
          <w:tab w:val="left" w:pos="7200"/>
          <w:tab w:val="left" w:pos="8640"/>
        </w:tabs>
        <w:spacing w:line="480" w:lineRule="atLeast"/>
        <w:jc w:val="center"/>
      </w:pPr>
      <w:r>
        <w:t>FACTS AND PROCEDURAL HIS</w:t>
      </w:r>
      <w:r>
        <w:t>TORY</w:t>
      </w:r>
    </w:p>
    <w:p w14:paraId="1A86B67C" w14:textId="46068A70" w:rsidR="008C5390" w:rsidRPr="00F55929" w:rsidRDefault="00432A9A" w:rsidP="00F55929">
      <w:pPr>
        <w:pStyle w:val="ListParagraph"/>
        <w:keepNext/>
        <w:tabs>
          <w:tab w:val="left" w:pos="2880"/>
          <w:tab w:val="left" w:pos="4320"/>
          <w:tab w:val="left" w:pos="5760"/>
          <w:tab w:val="left" w:pos="7200"/>
          <w:tab w:val="left" w:pos="8640"/>
        </w:tabs>
        <w:spacing w:line="480" w:lineRule="atLeast"/>
        <w:ind w:hanging="720"/>
        <w:rPr>
          <w:i/>
          <w:iCs/>
        </w:rPr>
      </w:pPr>
      <w:r>
        <w:rPr>
          <w:i/>
          <w:iCs/>
        </w:rPr>
        <w:t xml:space="preserve">A.  </w:t>
      </w:r>
      <w:r w:rsidR="00F752DD" w:rsidRPr="00F55929">
        <w:rPr>
          <w:i/>
          <w:iCs/>
        </w:rPr>
        <w:t>The Complaint</w:t>
      </w:r>
      <w:r w:rsidR="00CF66D7" w:rsidRPr="00F55929">
        <w:rPr>
          <w:i/>
          <w:iCs/>
        </w:rPr>
        <w:t>s</w:t>
      </w:r>
    </w:p>
    <w:p w14:paraId="5451E81B" w14:textId="35935D20" w:rsidR="00F752DD" w:rsidRPr="005A05F5" w:rsidRDefault="00432A9A" w:rsidP="00F752DD">
      <w:pPr>
        <w:tabs>
          <w:tab w:val="left" w:pos="1440"/>
          <w:tab w:val="left" w:pos="2880"/>
          <w:tab w:val="left" w:pos="4320"/>
          <w:tab w:val="left" w:pos="5760"/>
          <w:tab w:val="left" w:pos="7200"/>
          <w:tab w:val="left" w:pos="8640"/>
        </w:tabs>
        <w:spacing w:line="480" w:lineRule="atLeast"/>
      </w:pPr>
      <w:r>
        <w:tab/>
      </w:r>
      <w:r w:rsidR="00D62442">
        <w:t xml:space="preserve">Royalty </w:t>
      </w:r>
      <w:r w:rsidR="007E3889">
        <w:t xml:space="preserve">operated warehouses and carpet manufacturing facilities </w:t>
      </w:r>
      <w:r w:rsidR="00CA6EA4">
        <w:t xml:space="preserve">at </w:t>
      </w:r>
      <w:r w:rsidR="00C46283">
        <w:t xml:space="preserve">various </w:t>
      </w:r>
      <w:r w:rsidR="007E3889">
        <w:t>locations in California</w:t>
      </w:r>
      <w:r w:rsidR="004A1182">
        <w:t xml:space="preserve"> until June </w:t>
      </w:r>
      <w:r w:rsidR="000B5D65">
        <w:t xml:space="preserve">14, </w:t>
      </w:r>
      <w:r w:rsidR="004A1182">
        <w:t xml:space="preserve">2017, when it ceased operations. </w:t>
      </w:r>
      <w:r w:rsidR="0060118F">
        <w:t xml:space="preserve"> </w:t>
      </w:r>
      <w:r w:rsidR="00C46283">
        <w:t xml:space="preserve">Three </w:t>
      </w:r>
      <w:r w:rsidR="007C30B3">
        <w:t xml:space="preserve">facilities </w:t>
      </w:r>
      <w:r w:rsidR="00C46283">
        <w:t xml:space="preserve">are relevant to this appeal.  </w:t>
      </w:r>
      <w:r w:rsidR="000919A3">
        <w:t>The first facility was in Porterville, California (Porterville), which is part of Tulare County.  The t</w:t>
      </w:r>
      <w:r w:rsidR="00393233">
        <w:t xml:space="preserve">wo </w:t>
      </w:r>
      <w:r w:rsidR="007C30B3">
        <w:t xml:space="preserve">other </w:t>
      </w:r>
      <w:r w:rsidR="000919A3">
        <w:t xml:space="preserve">facilities </w:t>
      </w:r>
      <w:r w:rsidR="0020040A">
        <w:t>were in Orange County</w:t>
      </w:r>
      <w:r w:rsidR="00CE13EB">
        <w:t xml:space="preserve"> </w:t>
      </w:r>
      <w:r w:rsidR="00393233">
        <w:t xml:space="preserve">on Dyer Road </w:t>
      </w:r>
      <w:r w:rsidR="009004DD">
        <w:t xml:space="preserve">in Santa Ana </w:t>
      </w:r>
      <w:r w:rsidR="0020040A">
        <w:t>(Dyer</w:t>
      </w:r>
      <w:r w:rsidR="009004DD">
        <w:t>)</w:t>
      </w:r>
      <w:r w:rsidR="0020040A">
        <w:t xml:space="preserve"> and </w:t>
      </w:r>
      <w:r w:rsidR="009004DD">
        <w:t>Derian Avenue in Irvine (</w:t>
      </w:r>
      <w:r w:rsidR="0020040A">
        <w:t>Derian)</w:t>
      </w:r>
      <w:r w:rsidR="0067089E">
        <w:t>.</w:t>
      </w:r>
      <w:r>
        <w:rPr>
          <w:rStyle w:val="FootnoteReference"/>
        </w:rPr>
        <w:footnoteReference w:id="3"/>
      </w:r>
    </w:p>
    <w:p w14:paraId="70EAD47F" w14:textId="07BF52F4" w:rsidR="00F752DD" w:rsidRDefault="00432A9A" w:rsidP="00F752DD">
      <w:pPr>
        <w:tabs>
          <w:tab w:val="left" w:pos="1440"/>
          <w:tab w:val="left" w:pos="2880"/>
          <w:tab w:val="left" w:pos="4320"/>
          <w:tab w:val="left" w:pos="5760"/>
          <w:tab w:val="left" w:pos="7200"/>
          <w:tab w:val="left" w:pos="8640"/>
        </w:tabs>
        <w:spacing w:line="480" w:lineRule="atLeast"/>
      </w:pPr>
      <w:r>
        <w:tab/>
      </w:r>
      <w:r w:rsidR="00823CA6">
        <w:t>P</w:t>
      </w:r>
      <w:r w:rsidR="00F80BB0">
        <w:t>laintiff Jorge Estrada</w:t>
      </w:r>
      <w:r w:rsidR="00C60513">
        <w:t xml:space="preserve"> </w:t>
      </w:r>
      <w:r w:rsidR="00F80BB0">
        <w:t>was a dye weigher at Derian</w:t>
      </w:r>
      <w:r w:rsidR="00823CA6">
        <w:t xml:space="preserve">.  </w:t>
      </w:r>
      <w:r w:rsidR="00FD29C0">
        <w:t xml:space="preserve">On </w:t>
      </w:r>
      <w:r w:rsidR="00823CA6">
        <w:t xml:space="preserve">December </w:t>
      </w:r>
      <w:r w:rsidR="00FD29C0">
        <w:t xml:space="preserve">13, </w:t>
      </w:r>
      <w:r w:rsidR="00823CA6">
        <w:t>2013, he</w:t>
      </w:r>
      <w:r w:rsidR="00F80BB0">
        <w:t xml:space="preserve"> filed a complaint against Royalty </w:t>
      </w:r>
      <w:r w:rsidR="00483D2B">
        <w:t xml:space="preserve">alleging </w:t>
      </w:r>
      <w:r w:rsidR="00860EBB">
        <w:t>causes of action</w:t>
      </w:r>
      <w:r w:rsidR="00BE7603">
        <w:t xml:space="preserve"> </w:t>
      </w:r>
      <w:r w:rsidR="00140ADC">
        <w:t xml:space="preserve">for </w:t>
      </w:r>
      <w:r w:rsidR="009E3EC6">
        <w:t>(1) meal period violations</w:t>
      </w:r>
      <w:r w:rsidR="008E43ED">
        <w:t xml:space="preserve"> (§§ 226.7</w:t>
      </w:r>
      <w:r w:rsidR="00D505D1">
        <w:t>,</w:t>
      </w:r>
      <w:r w:rsidR="008E43ED">
        <w:t xml:space="preserve"> 512, subd. (a))</w:t>
      </w:r>
      <w:r w:rsidR="00D95F87">
        <w:t>;</w:t>
      </w:r>
      <w:r w:rsidR="009E3EC6">
        <w:t xml:space="preserve"> (2) rest period violations</w:t>
      </w:r>
      <w:r w:rsidR="00D95F87">
        <w:t xml:space="preserve"> (§</w:t>
      </w:r>
      <w:r w:rsidR="002B3C69">
        <w:t xml:space="preserve"> </w:t>
      </w:r>
      <w:r w:rsidR="00D95F87">
        <w:t>226.7);</w:t>
      </w:r>
      <w:r w:rsidR="009E3EC6">
        <w:t xml:space="preserve"> (3) waiting time penalties</w:t>
      </w:r>
      <w:r w:rsidR="005B384D">
        <w:t xml:space="preserve"> (§</w:t>
      </w:r>
      <w:r w:rsidR="001E15C8">
        <w:t> </w:t>
      </w:r>
      <w:r w:rsidR="005B384D">
        <w:t>203)</w:t>
      </w:r>
      <w:r w:rsidR="00973C72">
        <w:t>;</w:t>
      </w:r>
      <w:r w:rsidR="009E3EC6">
        <w:t xml:space="preserve"> (4) wage statement penalties</w:t>
      </w:r>
      <w:r w:rsidR="007E662E">
        <w:t xml:space="preserve"> (§ 226, subd. (e))</w:t>
      </w:r>
      <w:r w:rsidR="00BB037D">
        <w:t>;</w:t>
      </w:r>
      <w:r w:rsidR="009E3EC6">
        <w:t xml:space="preserve"> (5) unlawful business practices</w:t>
      </w:r>
      <w:r w:rsidR="000347EB">
        <w:t xml:space="preserve"> (Bus. &amp; Prof. Code, § 17200</w:t>
      </w:r>
      <w:r w:rsidR="00A04599">
        <w:t>; UCL</w:t>
      </w:r>
      <w:r w:rsidR="000347EB">
        <w:t>)</w:t>
      </w:r>
      <w:r w:rsidR="00D505D1">
        <w:t>;</w:t>
      </w:r>
      <w:r w:rsidR="009E3EC6">
        <w:t xml:space="preserve"> and (6) </w:t>
      </w:r>
      <w:r w:rsidR="00DB4157">
        <w:t xml:space="preserve">PAGA </w:t>
      </w:r>
      <w:r w:rsidR="009E3EC6">
        <w:t xml:space="preserve">penalties (§ 2698, et seq.).  </w:t>
      </w:r>
      <w:r w:rsidR="008C0072">
        <w:t>A</w:t>
      </w:r>
      <w:r w:rsidR="00FF4E3D">
        <w:t xml:space="preserve">ll </w:t>
      </w:r>
      <w:r w:rsidR="004057EB">
        <w:t xml:space="preserve">these </w:t>
      </w:r>
      <w:r w:rsidR="008C0072">
        <w:t xml:space="preserve">claims were </w:t>
      </w:r>
      <w:r w:rsidR="007E5C3F">
        <w:t>asserted individually</w:t>
      </w:r>
      <w:r w:rsidR="00FD7F03">
        <w:t>, except for the PAGA claim</w:t>
      </w:r>
      <w:r w:rsidR="007E5C3F">
        <w:t xml:space="preserve">.  </w:t>
      </w:r>
      <w:r w:rsidR="00220D31">
        <w:t xml:space="preserve">He </w:t>
      </w:r>
      <w:r w:rsidR="00CF2D1B">
        <w:t xml:space="preserve">later filed a first amended complaint, </w:t>
      </w:r>
      <w:r w:rsidR="00AA34C3">
        <w:t xml:space="preserve">which </w:t>
      </w:r>
      <w:r w:rsidR="00BA1E1F">
        <w:t xml:space="preserve">is </w:t>
      </w:r>
      <w:r w:rsidR="00596C18">
        <w:t xml:space="preserve">immaterial </w:t>
      </w:r>
      <w:r w:rsidR="00BA1E1F">
        <w:t>to this appeal.</w:t>
      </w:r>
    </w:p>
    <w:p w14:paraId="0E9906C5" w14:textId="5D626ABC" w:rsidR="003C6370" w:rsidRDefault="00432A9A" w:rsidP="00BD3583">
      <w:pPr>
        <w:tabs>
          <w:tab w:val="left" w:pos="1440"/>
          <w:tab w:val="left" w:pos="2880"/>
          <w:tab w:val="left" w:pos="4320"/>
          <w:tab w:val="left" w:pos="5760"/>
          <w:tab w:val="left" w:pos="7200"/>
          <w:tab w:val="left" w:pos="8640"/>
        </w:tabs>
        <w:spacing w:line="480" w:lineRule="atLeast"/>
      </w:pPr>
      <w:r>
        <w:tab/>
      </w:r>
      <w:bookmarkStart w:id="1" w:name="_Hlk90982340"/>
      <w:r w:rsidR="00D31A9A">
        <w:t>A</w:t>
      </w:r>
      <w:r w:rsidR="00BC20C0">
        <w:t xml:space="preserve"> second amended complaint (SAC) </w:t>
      </w:r>
      <w:r w:rsidR="00D31A9A">
        <w:t xml:space="preserve">was filed </w:t>
      </w:r>
      <w:r w:rsidR="001A53A1">
        <w:t>o</w:t>
      </w:r>
      <w:r w:rsidR="00BC20C0">
        <w:t xml:space="preserve">n October </w:t>
      </w:r>
      <w:r w:rsidR="001A53A1">
        <w:t xml:space="preserve">22, </w:t>
      </w:r>
      <w:r w:rsidR="0066012F">
        <w:t>2014,</w:t>
      </w:r>
      <w:r w:rsidR="00D31A9A">
        <w:t xml:space="preserve"> by Estrada and new plaintiff </w:t>
      </w:r>
      <w:r w:rsidR="00C60513">
        <w:t>Paulina Nava Medina</w:t>
      </w:r>
      <w:r w:rsidR="00E3462A">
        <w:t xml:space="preserve">, a mender and creeler at Dyer. </w:t>
      </w:r>
      <w:r w:rsidR="00C60513">
        <w:t xml:space="preserve"> </w:t>
      </w:r>
      <w:r w:rsidR="007F5C86">
        <w:t>T</w:t>
      </w:r>
      <w:r w:rsidR="00DA04C5">
        <w:t xml:space="preserve">he SAC </w:t>
      </w:r>
      <w:r w:rsidR="00577DF8">
        <w:t xml:space="preserve">retained the PAGA claim </w:t>
      </w:r>
      <w:r w:rsidR="004012F8">
        <w:t xml:space="preserve">and </w:t>
      </w:r>
      <w:r w:rsidR="00CD1CE3">
        <w:t xml:space="preserve">realleged </w:t>
      </w:r>
      <w:r w:rsidR="00772F35">
        <w:t xml:space="preserve">Estrada’s </w:t>
      </w:r>
      <w:r w:rsidR="00596A03">
        <w:t xml:space="preserve">individual </w:t>
      </w:r>
      <w:r w:rsidR="00EA4E9F">
        <w:t xml:space="preserve">claims </w:t>
      </w:r>
      <w:r w:rsidR="00CD1CE3">
        <w:t xml:space="preserve">as </w:t>
      </w:r>
      <w:r w:rsidR="00EA4E9F">
        <w:t xml:space="preserve">class claims. </w:t>
      </w:r>
      <w:r w:rsidR="00D4159C">
        <w:t xml:space="preserve"> The </w:t>
      </w:r>
      <w:r w:rsidR="00D4159C">
        <w:lastRenderedPageBreak/>
        <w:t xml:space="preserve">proposed class covered </w:t>
      </w:r>
      <w:r w:rsidR="007852F3">
        <w:t>Royalty’s employees at Dyer, Derian, and Porterville</w:t>
      </w:r>
      <w:r w:rsidR="00BE4A1E">
        <w:t xml:space="preserve">, specifically, </w:t>
      </w:r>
      <w:r w:rsidR="00D4159C">
        <w:t xml:space="preserve">“[a]ll current and former nonexempt employees of </w:t>
      </w:r>
      <w:r w:rsidR="00361C59">
        <w:t>[Royalty]</w:t>
      </w:r>
      <w:r w:rsidR="00D505D1">
        <w:t>,</w:t>
      </w:r>
      <w:r w:rsidR="00361C59">
        <w:t xml:space="preserve"> </w:t>
      </w:r>
      <w:r w:rsidR="00D4159C">
        <w:t>who worked in its carpet manufacturing and</w:t>
      </w:r>
      <w:r w:rsidR="00361C59">
        <w:t xml:space="preserve"> </w:t>
      </w:r>
      <w:r w:rsidR="00D4159C">
        <w:t>warehouse facilities in California at any time from December 13,</w:t>
      </w:r>
      <w:r w:rsidR="006F436D">
        <w:t xml:space="preserve"> </w:t>
      </w:r>
      <w:r w:rsidR="00D4159C">
        <w:t>2009, through the date</w:t>
      </w:r>
      <w:r w:rsidR="00361C59">
        <w:t xml:space="preserve"> </w:t>
      </w:r>
      <w:r w:rsidR="00D4159C">
        <w:t>of</w:t>
      </w:r>
      <w:r w:rsidR="00361C59">
        <w:t xml:space="preserve"> </w:t>
      </w:r>
      <w:r w:rsidR="00D4159C">
        <w:t>judgment.</w:t>
      </w:r>
      <w:r w:rsidR="00361C59">
        <w:t>”</w:t>
      </w:r>
    </w:p>
    <w:p w14:paraId="3966C7D2" w14:textId="4E84DF13" w:rsidR="00895A6B" w:rsidRPr="008966E9" w:rsidRDefault="00432A9A" w:rsidP="00F752DD">
      <w:pPr>
        <w:tabs>
          <w:tab w:val="left" w:pos="1440"/>
          <w:tab w:val="left" w:pos="2880"/>
          <w:tab w:val="left" w:pos="4320"/>
          <w:tab w:val="left" w:pos="5760"/>
          <w:tab w:val="left" w:pos="7200"/>
          <w:tab w:val="left" w:pos="8640"/>
        </w:tabs>
        <w:spacing w:line="480" w:lineRule="atLeast"/>
      </w:pPr>
      <w:r>
        <w:tab/>
      </w:r>
      <w:bookmarkEnd w:id="1"/>
      <w:r w:rsidR="001A7D6A">
        <w:t xml:space="preserve">In 2016, Royalty </w:t>
      </w:r>
      <w:r w:rsidR="006B41BF">
        <w:t xml:space="preserve">made settlement </w:t>
      </w:r>
      <w:r w:rsidR="0048598F">
        <w:t>proposals</w:t>
      </w:r>
      <w:r w:rsidR="006B41BF">
        <w:t xml:space="preserve"> to </w:t>
      </w:r>
      <w:r w:rsidR="00F61F14">
        <w:t xml:space="preserve">individual </w:t>
      </w:r>
      <w:r w:rsidR="00627016">
        <w:t xml:space="preserve">putative </w:t>
      </w:r>
      <w:r w:rsidR="006B41BF">
        <w:t xml:space="preserve">class members, </w:t>
      </w:r>
      <w:r w:rsidR="00B2645D">
        <w:t>offering them payment</w:t>
      </w:r>
      <w:r w:rsidR="008966E9">
        <w:t>s</w:t>
      </w:r>
      <w:r w:rsidR="00B2645D">
        <w:t xml:space="preserve"> </w:t>
      </w:r>
      <w:r w:rsidR="008966E9">
        <w:t xml:space="preserve">of </w:t>
      </w:r>
      <w:r w:rsidR="00B2645D">
        <w:t xml:space="preserve">varying amounts in exchange for </w:t>
      </w:r>
      <w:r w:rsidR="005A157C">
        <w:t>a release of their claims.</w:t>
      </w:r>
      <w:r w:rsidR="000F44E3">
        <w:t xml:space="preserve">  In all, </w:t>
      </w:r>
      <w:r w:rsidR="000E1B4B">
        <w:t xml:space="preserve">232 </w:t>
      </w:r>
      <w:r w:rsidR="00F32B70">
        <w:t xml:space="preserve">out of 388 </w:t>
      </w:r>
      <w:r w:rsidR="00322A78">
        <w:t xml:space="preserve">putative class members </w:t>
      </w:r>
      <w:r w:rsidR="000E1B4B">
        <w:t xml:space="preserve">accepted and entered into settlement </w:t>
      </w:r>
      <w:r w:rsidR="000E1B4B" w:rsidRPr="004266C3">
        <w:t>agreements with Royalty</w:t>
      </w:r>
      <w:r w:rsidR="00ED3930" w:rsidRPr="004266C3">
        <w:t xml:space="preserve"> (</w:t>
      </w:r>
      <w:r w:rsidR="003A3645" w:rsidRPr="004266C3">
        <w:t xml:space="preserve">about </w:t>
      </w:r>
      <w:r w:rsidR="00ED3930" w:rsidRPr="004266C3">
        <w:t>60</w:t>
      </w:r>
      <w:r w:rsidR="00D505D1">
        <w:t xml:space="preserve"> percent </w:t>
      </w:r>
      <w:r w:rsidR="00ED3930" w:rsidRPr="004266C3">
        <w:t>of the putative class)</w:t>
      </w:r>
      <w:r w:rsidR="00322A78" w:rsidRPr="004266C3">
        <w:t>, while</w:t>
      </w:r>
      <w:r w:rsidR="000E1B4B" w:rsidRPr="004266C3">
        <w:t xml:space="preserve"> </w:t>
      </w:r>
      <w:r w:rsidR="0044785D" w:rsidRPr="004266C3">
        <w:t>156 refused</w:t>
      </w:r>
      <w:r w:rsidR="00806A73" w:rsidRPr="004266C3">
        <w:t xml:space="preserve">.  </w:t>
      </w:r>
      <w:r w:rsidR="00527D9F" w:rsidRPr="004266C3">
        <w:t xml:space="preserve">The specific </w:t>
      </w:r>
      <w:r w:rsidR="000B7B01" w:rsidRPr="004266C3">
        <w:t xml:space="preserve">distribution </w:t>
      </w:r>
      <w:r w:rsidR="0069746D" w:rsidRPr="004266C3">
        <w:t xml:space="preserve">among facilities </w:t>
      </w:r>
      <w:r w:rsidR="000B7B01" w:rsidRPr="004266C3">
        <w:t xml:space="preserve">was </w:t>
      </w:r>
      <w:r w:rsidR="00317402" w:rsidRPr="004266C3">
        <w:t xml:space="preserve">(1) </w:t>
      </w:r>
      <w:r w:rsidR="00527D9F" w:rsidRPr="004266C3">
        <w:t>for Dyer, 66 putative class members settled and 59 did not</w:t>
      </w:r>
      <w:r w:rsidR="00317402" w:rsidRPr="004266C3">
        <w:t>; (2) for Derian,</w:t>
      </w:r>
      <w:r w:rsidR="00613F05" w:rsidRPr="004266C3">
        <w:t xml:space="preserve"> 51 putative class members settled and 40 did not; </w:t>
      </w:r>
      <w:r w:rsidR="00D505D1">
        <w:t xml:space="preserve">and </w:t>
      </w:r>
      <w:r w:rsidR="006C7840" w:rsidRPr="004266C3">
        <w:t>(3) for Porterville, 115 class members settled and 57 did not</w:t>
      </w:r>
      <w:r w:rsidR="00527D9F" w:rsidRPr="004266C3">
        <w:t>.</w:t>
      </w:r>
    </w:p>
    <w:p w14:paraId="54A05D54" w14:textId="5BFA3C72" w:rsidR="00E87791" w:rsidRDefault="00432A9A" w:rsidP="00BC47B5">
      <w:pPr>
        <w:tabs>
          <w:tab w:val="left" w:pos="1440"/>
          <w:tab w:val="left" w:pos="2880"/>
          <w:tab w:val="left" w:pos="4320"/>
          <w:tab w:val="left" w:pos="5760"/>
          <w:tab w:val="left" w:pos="7200"/>
          <w:tab w:val="left" w:pos="8640"/>
        </w:tabs>
        <w:spacing w:line="480" w:lineRule="atLeast"/>
      </w:pPr>
      <w:r>
        <w:tab/>
      </w:r>
      <w:r w:rsidR="000B0347">
        <w:t xml:space="preserve">A </w:t>
      </w:r>
      <w:r w:rsidR="009E53C5">
        <w:t>third amended complaint (TAC)</w:t>
      </w:r>
      <w:r w:rsidR="00A93DDC">
        <w:t>, the operative complaint at trial,</w:t>
      </w:r>
      <w:r w:rsidR="003D14C1">
        <w:t xml:space="preserve"> </w:t>
      </w:r>
      <w:r w:rsidR="000B0347">
        <w:t xml:space="preserve">was filed </w:t>
      </w:r>
      <w:r w:rsidR="003D14C1">
        <w:t>on November 17, 2016</w:t>
      </w:r>
      <w:r w:rsidR="00F44283">
        <w:t xml:space="preserve">.  </w:t>
      </w:r>
      <w:r w:rsidR="00E33724">
        <w:t>T</w:t>
      </w:r>
      <w:r w:rsidR="00E33724" w:rsidRPr="00DE36D4">
        <w:t xml:space="preserve">he TAC’s proposed class </w:t>
      </w:r>
      <w:r w:rsidR="00E33724">
        <w:t xml:space="preserve">was virtually the same as the SAC. </w:t>
      </w:r>
      <w:r w:rsidR="00E33724" w:rsidRPr="00DE36D4">
        <w:t xml:space="preserve"> </w:t>
      </w:r>
      <w:r w:rsidR="00E33724">
        <w:t>But, a</w:t>
      </w:r>
      <w:r w:rsidR="00A93DDC">
        <w:t>long with Estrada and M</w:t>
      </w:r>
      <w:r w:rsidR="0039371F">
        <w:t>edina</w:t>
      </w:r>
      <w:r w:rsidR="00A93DDC">
        <w:t>, t</w:t>
      </w:r>
      <w:r w:rsidR="009E53C5">
        <w:t xml:space="preserve">he TAC added </w:t>
      </w:r>
      <w:r w:rsidR="00D505D1">
        <w:t>11</w:t>
      </w:r>
      <w:r w:rsidR="009E53C5">
        <w:t xml:space="preserve"> </w:t>
      </w:r>
      <w:r w:rsidR="0038483C">
        <w:t xml:space="preserve">new </w:t>
      </w:r>
      <w:r w:rsidR="004F54CC">
        <w:t>plaintiffs</w:t>
      </w:r>
      <w:r w:rsidR="006C008D">
        <w:t xml:space="preserve">, </w:t>
      </w:r>
      <w:r w:rsidR="00163884">
        <w:t>several of which worked at Porterville</w:t>
      </w:r>
      <w:r w:rsidR="006C008D">
        <w:t>.</w:t>
      </w:r>
      <w:r w:rsidR="00D505D1">
        <w:t xml:space="preserve"> </w:t>
      </w:r>
      <w:r w:rsidR="006C008D">
        <w:t xml:space="preserve"> </w:t>
      </w:r>
      <w:r w:rsidR="00DB41B1">
        <w:t>In all, t</w:t>
      </w:r>
      <w:r w:rsidR="004448B2">
        <w:t xml:space="preserve">he </w:t>
      </w:r>
      <w:r w:rsidR="009E3EC6">
        <w:t xml:space="preserve">TAC alleged </w:t>
      </w:r>
      <w:r w:rsidR="005824F0">
        <w:t xml:space="preserve">seven class </w:t>
      </w:r>
      <w:r w:rsidR="009E3EC6">
        <w:t>claims</w:t>
      </w:r>
      <w:r w:rsidR="005824F0">
        <w:t xml:space="preserve"> and one representative PAGA claim</w:t>
      </w:r>
      <w:r w:rsidR="00DB41B1">
        <w:t xml:space="preserve">:  </w:t>
      </w:r>
      <w:r w:rsidR="009E3EC6">
        <w:t xml:space="preserve">(1) meal period violations, (2) rest period violations, (3) wage statement penalties, </w:t>
      </w:r>
      <w:r w:rsidR="00587085">
        <w:t xml:space="preserve">(4) waiting time penalties, </w:t>
      </w:r>
      <w:r w:rsidR="009E3EC6">
        <w:t xml:space="preserve">(5) </w:t>
      </w:r>
      <w:r w:rsidR="00587085">
        <w:t>penalties under section</w:t>
      </w:r>
      <w:r w:rsidR="00A64BA3">
        <w:t> </w:t>
      </w:r>
      <w:r w:rsidR="00587085">
        <w:t>558</w:t>
      </w:r>
      <w:r w:rsidR="00D505D1">
        <w:t>,</w:t>
      </w:r>
      <w:r w:rsidR="00587085">
        <w:t xml:space="preserve"> </w:t>
      </w:r>
      <w:r w:rsidR="009E3EC6">
        <w:t xml:space="preserve">(6) </w:t>
      </w:r>
      <w:r w:rsidR="00587085">
        <w:t xml:space="preserve">PAGA </w:t>
      </w:r>
      <w:r w:rsidR="009E3EC6">
        <w:t>penalties</w:t>
      </w:r>
      <w:r w:rsidR="00587085">
        <w:t>, (7) </w:t>
      </w:r>
      <w:r w:rsidR="00A04599">
        <w:t>UCL</w:t>
      </w:r>
      <w:r w:rsidR="009612FA">
        <w:t xml:space="preserve"> violations</w:t>
      </w:r>
      <w:r w:rsidR="007B3C76">
        <w:t xml:space="preserve">, and (8) declaratory relief.  </w:t>
      </w:r>
      <w:bookmarkStart w:id="2" w:name="_Hlk90982363"/>
      <w:r w:rsidR="00837B29">
        <w:t xml:space="preserve">These claims are </w:t>
      </w:r>
      <w:r w:rsidR="00D51382">
        <w:t>summarize</w:t>
      </w:r>
      <w:r w:rsidR="00837B29">
        <w:t>d</w:t>
      </w:r>
      <w:r w:rsidR="00D51382">
        <w:t xml:space="preserve"> below.</w:t>
      </w:r>
    </w:p>
    <w:p w14:paraId="749E1D50" w14:textId="7D424657" w:rsidR="00E87791" w:rsidRPr="00F80F6B" w:rsidRDefault="00432A9A" w:rsidP="00BC47B5">
      <w:pPr>
        <w:tabs>
          <w:tab w:val="left" w:pos="1440"/>
          <w:tab w:val="left" w:pos="2880"/>
          <w:tab w:val="left" w:pos="4320"/>
          <w:tab w:val="left" w:pos="5760"/>
          <w:tab w:val="left" w:pos="7200"/>
          <w:tab w:val="left" w:pos="8640"/>
        </w:tabs>
        <w:spacing w:line="480" w:lineRule="atLeast"/>
      </w:pPr>
      <w:r>
        <w:tab/>
      </w:r>
      <w:r w:rsidR="00962D1F">
        <w:t xml:space="preserve">Of particular relevance on appeal is plaintiffs’ meal period claim.  </w:t>
      </w:r>
      <w:r w:rsidR="00962D1F" w:rsidRPr="007C389E">
        <w:t xml:space="preserve">In the SAC, the meal period claim was </w:t>
      </w:r>
      <w:r w:rsidR="00C94FF2">
        <w:t xml:space="preserve">primarily </w:t>
      </w:r>
      <w:r w:rsidR="00962D1F" w:rsidRPr="007C389E">
        <w:t xml:space="preserve">based on allegations that Royalty </w:t>
      </w:r>
      <w:r w:rsidR="00C94FF2" w:rsidRPr="00DE36D4">
        <w:t xml:space="preserve">failed to provide timely first </w:t>
      </w:r>
      <w:r w:rsidR="00912441">
        <w:t xml:space="preserve">meal periods </w:t>
      </w:r>
      <w:r w:rsidR="00C94FF2" w:rsidRPr="00DE36D4">
        <w:t xml:space="preserve">and </w:t>
      </w:r>
      <w:r w:rsidR="00C94FF2">
        <w:t xml:space="preserve">deprived employees of </w:t>
      </w:r>
      <w:r w:rsidR="00C94FF2" w:rsidRPr="00DE36D4">
        <w:t xml:space="preserve">second meal periods. </w:t>
      </w:r>
      <w:r w:rsidR="00820BED">
        <w:t xml:space="preserve"> The TAC included th</w:t>
      </w:r>
      <w:r w:rsidR="00587D4C">
        <w:t>ese</w:t>
      </w:r>
      <w:r w:rsidR="00820BED">
        <w:t xml:space="preserve"> </w:t>
      </w:r>
      <w:r w:rsidR="00587D4C">
        <w:t xml:space="preserve">theories </w:t>
      </w:r>
      <w:r w:rsidR="00820BED">
        <w:t xml:space="preserve">but </w:t>
      </w:r>
      <w:r w:rsidR="004A0BC0">
        <w:t xml:space="preserve">also alleged </w:t>
      </w:r>
      <w:r w:rsidRPr="00DE36D4">
        <w:t xml:space="preserve">Porterville had a </w:t>
      </w:r>
      <w:r w:rsidR="00B86C6B">
        <w:t xml:space="preserve">unique </w:t>
      </w:r>
      <w:r w:rsidRPr="00DE36D4">
        <w:t xml:space="preserve">policy </w:t>
      </w:r>
      <w:r w:rsidR="00B51179">
        <w:t xml:space="preserve">that prevented </w:t>
      </w:r>
      <w:r w:rsidRPr="00DE36D4">
        <w:t>employees from leaving the facility during meal periods</w:t>
      </w:r>
      <w:r w:rsidR="00912586">
        <w:t xml:space="preserve"> (</w:t>
      </w:r>
      <w:r w:rsidR="00496F35">
        <w:t xml:space="preserve">the </w:t>
      </w:r>
      <w:r w:rsidR="00912586">
        <w:t>on-premises meal policy)</w:t>
      </w:r>
      <w:r w:rsidRPr="00DE36D4">
        <w:t xml:space="preserve">.  Plaintiffs asserted </w:t>
      </w:r>
      <w:r w:rsidR="009311B5">
        <w:t xml:space="preserve">Porterville’s </w:t>
      </w:r>
      <w:r w:rsidRPr="00DE36D4">
        <w:t xml:space="preserve">on-premises meal policy was facially unlawful. </w:t>
      </w:r>
      <w:r w:rsidR="00DF67F6">
        <w:t xml:space="preserve"> </w:t>
      </w:r>
      <w:r w:rsidR="00667BA4">
        <w:t xml:space="preserve">As for the rest break claim, it </w:t>
      </w:r>
      <w:r w:rsidR="00DF67F6">
        <w:t xml:space="preserve">was based on allegations that Royalty </w:t>
      </w:r>
      <w:r w:rsidR="002043BA">
        <w:t xml:space="preserve">did not allow </w:t>
      </w:r>
      <w:r w:rsidR="00FD491C">
        <w:lastRenderedPageBreak/>
        <w:t xml:space="preserve">employees </w:t>
      </w:r>
      <w:r w:rsidR="008466A6">
        <w:t xml:space="preserve">at the </w:t>
      </w:r>
      <w:r w:rsidR="00333CCE">
        <w:t xml:space="preserve">three </w:t>
      </w:r>
      <w:r w:rsidR="008466A6">
        <w:t xml:space="preserve">facilities </w:t>
      </w:r>
      <w:r w:rsidR="00FD491C">
        <w:t>to take their required rest breaks or discouraged them from doing so.</w:t>
      </w:r>
    </w:p>
    <w:p w14:paraId="346C5203" w14:textId="1CC4DC08" w:rsidR="003B3EFD" w:rsidRDefault="00432A9A" w:rsidP="003B3EFD">
      <w:pPr>
        <w:tabs>
          <w:tab w:val="left" w:pos="1440"/>
          <w:tab w:val="left" w:pos="2880"/>
          <w:tab w:val="left" w:pos="4320"/>
          <w:tab w:val="left" w:pos="5760"/>
          <w:tab w:val="left" w:pos="7200"/>
          <w:tab w:val="left" w:pos="8640"/>
        </w:tabs>
        <w:spacing w:line="480" w:lineRule="exact"/>
      </w:pPr>
      <w:r>
        <w:tab/>
        <w:t xml:space="preserve">Plaintiffs’ </w:t>
      </w:r>
      <w:r w:rsidR="0089519C">
        <w:t xml:space="preserve">claims for </w:t>
      </w:r>
      <w:r>
        <w:t xml:space="preserve">wage statement and waiting time penalties were derivative of their meal and rest break claims.  </w:t>
      </w:r>
      <w:r w:rsidR="00874394">
        <w:t>As background, i</w:t>
      </w:r>
      <w:r w:rsidR="00731055">
        <w:t xml:space="preserve">f an employer fails to provide an employee with a lawful meal or rest break, </w:t>
      </w:r>
      <w:r w:rsidR="00DB6D4C">
        <w:t>s</w:t>
      </w:r>
      <w:r w:rsidR="00D66F15" w:rsidRPr="007C389E">
        <w:t>ection 226.7, subdivision (c)</w:t>
      </w:r>
      <w:r w:rsidR="00D66F15">
        <w:t xml:space="preserve"> requires </w:t>
      </w:r>
      <w:r w:rsidR="00DB6D4C">
        <w:t xml:space="preserve">the </w:t>
      </w:r>
      <w:r w:rsidR="00D66F15">
        <w:t>employe</w:t>
      </w:r>
      <w:r w:rsidR="005F67B2">
        <w:t>r</w:t>
      </w:r>
      <w:r w:rsidR="00D66F15">
        <w:t xml:space="preserve"> to pay </w:t>
      </w:r>
      <w:r w:rsidR="00C75184">
        <w:t xml:space="preserve">the </w:t>
      </w:r>
      <w:r w:rsidR="00D66F15">
        <w:t>employee “one additional hour of pay</w:t>
      </w:r>
      <w:r w:rsidR="005F67B2">
        <w:t xml:space="preserve"> at the employee’s regular rate of compensation</w:t>
      </w:r>
      <w:r w:rsidR="00731055">
        <w:t>.</w:t>
      </w:r>
      <w:r w:rsidR="005F67B2">
        <w:t xml:space="preserve">” </w:t>
      </w:r>
      <w:r w:rsidR="00731055">
        <w:t xml:space="preserve"> </w:t>
      </w:r>
      <w:r w:rsidR="00865CC6">
        <w:t xml:space="preserve">This is commonly known as “premium pay.”  (See </w:t>
      </w:r>
      <w:r w:rsidR="00865CC6" w:rsidRPr="00947099">
        <w:rPr>
          <w:i/>
          <w:iCs/>
        </w:rPr>
        <w:t>Donohue v. AMN Services, LLC</w:t>
      </w:r>
      <w:r w:rsidR="00865CC6">
        <w:t xml:space="preserve"> (2021) 11 Cal.5th 58, 67</w:t>
      </w:r>
      <w:r w:rsidR="006B42E8">
        <w:t>-68</w:t>
      </w:r>
      <w:r w:rsidR="00865CC6">
        <w:t>, 78 (</w:t>
      </w:r>
      <w:r w:rsidR="00865CC6" w:rsidRPr="0086722D">
        <w:rPr>
          <w:i/>
          <w:iCs/>
        </w:rPr>
        <w:t>Donohue</w:t>
      </w:r>
      <w:r w:rsidR="00865CC6">
        <w:t xml:space="preserve">).)  Plaintiffs </w:t>
      </w:r>
      <w:r w:rsidR="004F0014">
        <w:t xml:space="preserve">asserted </w:t>
      </w:r>
      <w:r>
        <w:t xml:space="preserve">Royalty failed to </w:t>
      </w:r>
      <w:r w:rsidR="004F0014">
        <w:t xml:space="preserve">provide </w:t>
      </w:r>
      <w:r>
        <w:t xml:space="preserve">premium pay for </w:t>
      </w:r>
      <w:r w:rsidR="002C782C">
        <w:t xml:space="preserve">the </w:t>
      </w:r>
      <w:r>
        <w:t>meal and rest break violations</w:t>
      </w:r>
      <w:r w:rsidRPr="00113AA5">
        <w:t xml:space="preserve"> </w:t>
      </w:r>
      <w:r w:rsidR="009F7D74">
        <w:t xml:space="preserve">alleged in their complaint.  </w:t>
      </w:r>
      <w:r w:rsidR="00B60C34">
        <w:t>Due to this failure</w:t>
      </w:r>
      <w:r>
        <w:t xml:space="preserve">, they </w:t>
      </w:r>
      <w:r w:rsidR="009F7D74">
        <w:t xml:space="preserve">asserted </w:t>
      </w:r>
      <w:r>
        <w:t>their wage statements were inaccurate because the</w:t>
      </w:r>
      <w:r>
        <w:t xml:space="preserve">y </w:t>
      </w:r>
      <w:r w:rsidR="00E82E9A">
        <w:t xml:space="preserve">did not </w:t>
      </w:r>
      <w:r w:rsidR="00A274AA">
        <w:t>include</w:t>
      </w:r>
      <w:r>
        <w:t xml:space="preserve"> the premium pay to which they were entitled. </w:t>
      </w:r>
      <w:r w:rsidR="00F93F51">
        <w:t xml:space="preserve"> Likewise, plaintiffs </w:t>
      </w:r>
      <w:r w:rsidR="00722D94">
        <w:t xml:space="preserve">sought </w:t>
      </w:r>
      <w:r w:rsidR="00F93F51">
        <w:t>waiting time penalties because Royalty failed to</w:t>
      </w:r>
      <w:r w:rsidR="0075498A">
        <w:t xml:space="preserve"> provide </w:t>
      </w:r>
      <w:r w:rsidR="002412EC">
        <w:t xml:space="preserve">this allegedly owed </w:t>
      </w:r>
      <w:r w:rsidR="0075498A">
        <w:t>premium pay to employees upon separation from employment.</w:t>
      </w:r>
    </w:p>
    <w:p w14:paraId="308CF2C2" w14:textId="6C75B422" w:rsidR="00962D1F" w:rsidRPr="002B5EC8" w:rsidRDefault="00432A9A" w:rsidP="003B3EFD">
      <w:pPr>
        <w:tabs>
          <w:tab w:val="left" w:pos="1440"/>
          <w:tab w:val="left" w:pos="2880"/>
          <w:tab w:val="left" w:pos="4320"/>
          <w:tab w:val="left" w:pos="5760"/>
          <w:tab w:val="left" w:pos="7200"/>
          <w:tab w:val="left" w:pos="8640"/>
        </w:tabs>
        <w:spacing w:line="480" w:lineRule="exact"/>
      </w:pPr>
      <w:r>
        <w:tab/>
      </w:r>
      <w:r w:rsidR="00AE13CF">
        <w:t>P</w:t>
      </w:r>
      <w:r w:rsidR="0054319D">
        <w:t xml:space="preserve">laintiffs’ </w:t>
      </w:r>
      <w:r w:rsidR="00B704D5">
        <w:t xml:space="preserve">PAGA claim </w:t>
      </w:r>
      <w:r w:rsidR="005F26F8">
        <w:t xml:space="preserve">was </w:t>
      </w:r>
      <w:r w:rsidR="00B704D5">
        <w:t>based on the alleged violations of the Labor Code</w:t>
      </w:r>
      <w:r w:rsidR="00A04599">
        <w:t xml:space="preserve"> set forth above</w:t>
      </w:r>
      <w:r w:rsidR="005F26F8">
        <w:t xml:space="preserve">, </w:t>
      </w:r>
      <w:r w:rsidR="00AE13CF">
        <w:t>and</w:t>
      </w:r>
      <w:r w:rsidR="00A62383">
        <w:t xml:space="preserve"> </w:t>
      </w:r>
      <w:r w:rsidR="0054319D">
        <w:t xml:space="preserve">their </w:t>
      </w:r>
      <w:r w:rsidR="005F26F8">
        <w:t xml:space="preserve">UCL claim was </w:t>
      </w:r>
      <w:r w:rsidR="00A62383">
        <w:t xml:space="preserve">similarly </w:t>
      </w:r>
      <w:r w:rsidR="005F26F8">
        <w:t xml:space="preserve">based on the </w:t>
      </w:r>
      <w:r w:rsidR="009273AA">
        <w:t xml:space="preserve">alleged </w:t>
      </w:r>
      <w:r w:rsidR="005F26F8">
        <w:t>meal and rest period violations</w:t>
      </w:r>
      <w:r w:rsidR="00B704D5">
        <w:t xml:space="preserve">. </w:t>
      </w:r>
      <w:r>
        <w:t xml:space="preserve"> Finally, the </w:t>
      </w:r>
      <w:r w:rsidR="00E87791">
        <w:t xml:space="preserve">new declaratory relief claim sought to invalidate the </w:t>
      </w:r>
      <w:r w:rsidR="00105B59">
        <w:t xml:space="preserve">releases in the </w:t>
      </w:r>
      <w:r w:rsidR="00E87791">
        <w:t>individual settlement agreements</w:t>
      </w:r>
      <w:r w:rsidR="00AE3587">
        <w:t xml:space="preserve"> </w:t>
      </w:r>
      <w:r w:rsidR="00E87791">
        <w:t>on grounds they were void and unenforceable.</w:t>
      </w:r>
      <w:r>
        <w:rPr>
          <w:rStyle w:val="FootnoteReference"/>
        </w:rPr>
        <w:footnoteReference w:id="4"/>
      </w:r>
    </w:p>
    <w:bookmarkEnd w:id="2"/>
    <w:p w14:paraId="67849D3A" w14:textId="124D7249" w:rsidR="00D30B45" w:rsidRPr="006B42E8" w:rsidRDefault="00432A9A" w:rsidP="006B42E8">
      <w:pPr>
        <w:keepNext/>
        <w:tabs>
          <w:tab w:val="left" w:pos="0"/>
          <w:tab w:val="left" w:pos="2880"/>
          <w:tab w:val="left" w:pos="4320"/>
          <w:tab w:val="left" w:pos="5760"/>
          <w:tab w:val="left" w:pos="7200"/>
          <w:tab w:val="left" w:pos="8640"/>
        </w:tabs>
        <w:spacing w:before="240" w:line="480" w:lineRule="atLeast"/>
        <w:rPr>
          <w:i/>
          <w:iCs/>
        </w:rPr>
      </w:pPr>
      <w:r>
        <w:rPr>
          <w:i/>
          <w:iCs/>
        </w:rPr>
        <w:t xml:space="preserve">B.  </w:t>
      </w:r>
      <w:r w:rsidRPr="006B42E8">
        <w:rPr>
          <w:i/>
          <w:iCs/>
        </w:rPr>
        <w:t>Class Certification</w:t>
      </w:r>
    </w:p>
    <w:p w14:paraId="329981F0" w14:textId="11894045" w:rsidR="00D30B45" w:rsidRDefault="00432A9A" w:rsidP="002F2602">
      <w:pPr>
        <w:tabs>
          <w:tab w:val="left" w:pos="1440"/>
          <w:tab w:val="left" w:pos="2880"/>
          <w:tab w:val="left" w:pos="4320"/>
          <w:tab w:val="left" w:pos="5760"/>
          <w:tab w:val="left" w:pos="7200"/>
          <w:tab w:val="left" w:pos="8640"/>
        </w:tabs>
        <w:spacing w:line="480" w:lineRule="atLeast"/>
      </w:pPr>
      <w:r w:rsidRPr="00CF66D7">
        <w:tab/>
      </w:r>
      <w:r w:rsidR="006A4F76">
        <w:t xml:space="preserve">Nine of the </w:t>
      </w:r>
      <w:r w:rsidR="006B42E8">
        <w:t xml:space="preserve">13 </w:t>
      </w:r>
      <w:r w:rsidR="006A4F76">
        <w:t xml:space="preserve">named plaintiffs </w:t>
      </w:r>
      <w:r w:rsidR="002F4C14" w:rsidRPr="00CF66D7">
        <w:t xml:space="preserve">moved </w:t>
      </w:r>
      <w:r w:rsidR="002F2602" w:rsidRPr="00CF66D7">
        <w:t>for class certification</w:t>
      </w:r>
      <w:r w:rsidR="00FC2C61" w:rsidRPr="00CF66D7">
        <w:t xml:space="preserve"> in June 2017</w:t>
      </w:r>
      <w:r w:rsidR="006A4F76">
        <w:t xml:space="preserve"> (it is </w:t>
      </w:r>
      <w:r w:rsidR="00D70D79">
        <w:t xml:space="preserve">unclear </w:t>
      </w:r>
      <w:r w:rsidR="006A4F76">
        <w:t>why only nine made the motion)</w:t>
      </w:r>
      <w:r w:rsidR="005C655F" w:rsidRPr="00CF66D7">
        <w:t xml:space="preserve">. </w:t>
      </w:r>
      <w:r w:rsidR="00D35CB7">
        <w:t xml:space="preserve"> </w:t>
      </w:r>
      <w:r w:rsidR="005C655F" w:rsidRPr="00CF66D7">
        <w:t xml:space="preserve">They </w:t>
      </w:r>
      <w:r w:rsidR="00BA35EE" w:rsidRPr="00CF66D7">
        <w:t xml:space="preserve">sought </w:t>
      </w:r>
      <w:r w:rsidR="00E6436A" w:rsidRPr="00CF66D7">
        <w:t xml:space="preserve">certification of </w:t>
      </w:r>
      <w:r w:rsidR="001964D0" w:rsidRPr="00CF66D7">
        <w:t xml:space="preserve">two </w:t>
      </w:r>
      <w:r w:rsidR="005C655F" w:rsidRPr="00CF66D7">
        <w:t>separate classes</w:t>
      </w:r>
      <w:r w:rsidR="0097650A">
        <w:t xml:space="preserve">.  Both classes consisted </w:t>
      </w:r>
      <w:r w:rsidR="00C474D7">
        <w:t xml:space="preserve">of nonexempt employees employed by Royalty </w:t>
      </w:r>
      <w:r w:rsidR="004D603D">
        <w:t xml:space="preserve">between </w:t>
      </w:r>
      <w:r w:rsidR="006250D5">
        <w:t>December 13, 2009</w:t>
      </w:r>
      <w:r w:rsidR="0037262F">
        <w:t>,</w:t>
      </w:r>
      <w:r w:rsidR="006250D5">
        <w:t xml:space="preserve"> </w:t>
      </w:r>
      <w:r w:rsidR="005C34E8">
        <w:t xml:space="preserve">and </w:t>
      </w:r>
      <w:r w:rsidR="006250D5">
        <w:t>June 14, 2017</w:t>
      </w:r>
      <w:r w:rsidR="007A3EE1">
        <w:t xml:space="preserve"> (the date </w:t>
      </w:r>
      <w:r w:rsidR="002335D2">
        <w:t>Royalty closed)</w:t>
      </w:r>
      <w:r w:rsidR="004D603D">
        <w:t xml:space="preserve">, </w:t>
      </w:r>
      <w:r w:rsidR="00473595">
        <w:t xml:space="preserve">with </w:t>
      </w:r>
      <w:r w:rsidR="004D603D">
        <w:t xml:space="preserve">one class </w:t>
      </w:r>
      <w:r w:rsidR="00B32D29">
        <w:t xml:space="preserve">of </w:t>
      </w:r>
      <w:r w:rsidR="004D603D">
        <w:lastRenderedPageBreak/>
        <w:t xml:space="preserve">Porterville workers </w:t>
      </w:r>
      <w:r w:rsidR="00F731FE">
        <w:t xml:space="preserve">and </w:t>
      </w:r>
      <w:r w:rsidR="00B32D29">
        <w:t xml:space="preserve">another </w:t>
      </w:r>
      <w:r w:rsidR="0097650A">
        <w:t xml:space="preserve">class </w:t>
      </w:r>
      <w:r w:rsidR="004D603D">
        <w:t xml:space="preserve">of </w:t>
      </w:r>
      <w:r w:rsidR="00E6436A">
        <w:t>Dyer and D</w:t>
      </w:r>
      <w:r w:rsidR="006250D5">
        <w:t>e</w:t>
      </w:r>
      <w:r w:rsidR="00E6436A">
        <w:t>r</w:t>
      </w:r>
      <w:r w:rsidR="006250D5">
        <w:t>i</w:t>
      </w:r>
      <w:r w:rsidR="00E6436A">
        <w:t xml:space="preserve">an </w:t>
      </w:r>
      <w:r w:rsidR="004D603D">
        <w:t>workers</w:t>
      </w:r>
      <w:r w:rsidR="00E6436A">
        <w:t xml:space="preserve">.  </w:t>
      </w:r>
      <w:r w:rsidR="0048783C">
        <w:t xml:space="preserve">Plaintiffs also requested that </w:t>
      </w:r>
      <w:r w:rsidR="00E3797B">
        <w:t xml:space="preserve">each </w:t>
      </w:r>
      <w:r w:rsidR="0048783C">
        <w:t xml:space="preserve">class be divided into </w:t>
      </w:r>
      <w:r w:rsidR="007F3F33">
        <w:t xml:space="preserve">separate </w:t>
      </w:r>
      <w:r w:rsidR="0048783C">
        <w:t>subclasses for each claim.</w:t>
      </w:r>
      <w:r w:rsidR="006B42E8">
        <w:t xml:space="preserve"> </w:t>
      </w:r>
      <w:r w:rsidR="00490D89">
        <w:t xml:space="preserve"> </w:t>
      </w:r>
      <w:r w:rsidR="005E4F75">
        <w:t xml:space="preserve">The motion was heard </w:t>
      </w:r>
      <w:r w:rsidR="00B06EA0">
        <w:t xml:space="preserve">and partially granted </w:t>
      </w:r>
      <w:r w:rsidR="005E4F75">
        <w:t xml:space="preserve">by Judge Kim </w:t>
      </w:r>
      <w:r w:rsidR="006B42E8">
        <w:t xml:space="preserve">G. </w:t>
      </w:r>
      <w:r w:rsidR="005E4F75">
        <w:t>Dunning</w:t>
      </w:r>
      <w:r w:rsidR="00377912">
        <w:t>.</w:t>
      </w:r>
    </w:p>
    <w:p w14:paraId="0C0949FD" w14:textId="105125A5" w:rsidR="00333FDE" w:rsidRDefault="00432A9A" w:rsidP="00C5539A">
      <w:pPr>
        <w:tabs>
          <w:tab w:val="left" w:pos="1440"/>
          <w:tab w:val="left" w:pos="2880"/>
          <w:tab w:val="left" w:pos="4320"/>
          <w:tab w:val="left" w:pos="5760"/>
          <w:tab w:val="left" w:pos="7200"/>
          <w:tab w:val="left" w:pos="8640"/>
        </w:tabs>
        <w:spacing w:line="480" w:lineRule="atLeast"/>
      </w:pPr>
      <w:r>
        <w:tab/>
      </w:r>
      <w:r w:rsidR="00646935">
        <w:t xml:space="preserve">As to </w:t>
      </w:r>
      <w:r w:rsidR="00BF37EF">
        <w:t xml:space="preserve">the </w:t>
      </w:r>
      <w:r w:rsidR="00646935">
        <w:t>Porterville</w:t>
      </w:r>
      <w:r w:rsidR="00BF37EF">
        <w:t xml:space="preserve"> workers</w:t>
      </w:r>
      <w:r w:rsidR="00646935">
        <w:t xml:space="preserve">, the court </w:t>
      </w:r>
      <w:r w:rsidR="006332FF">
        <w:t xml:space="preserve">certified </w:t>
      </w:r>
      <w:r w:rsidR="00646935">
        <w:t xml:space="preserve">a </w:t>
      </w:r>
      <w:r w:rsidR="00042857">
        <w:t xml:space="preserve">Porterville </w:t>
      </w:r>
      <w:r w:rsidR="00646935">
        <w:t xml:space="preserve">class consisting of </w:t>
      </w:r>
      <w:r w:rsidR="002A083A">
        <w:t>“</w:t>
      </w:r>
      <w:r w:rsidR="00501D0D">
        <w:t>‘</w:t>
      </w:r>
      <w:r w:rsidR="002A083A">
        <w:t>[a]ll former nonexempt, hourly employees of [Royalty]</w:t>
      </w:r>
      <w:r w:rsidR="006B42E8">
        <w:t>,</w:t>
      </w:r>
      <w:r w:rsidR="002A083A">
        <w:t xml:space="preserve"> who worked at the Porterville carpet manufacturing and warehouse facility at any time from December 13,</w:t>
      </w:r>
      <w:r w:rsidR="007F0AD5">
        <w:t xml:space="preserve"> </w:t>
      </w:r>
      <w:r w:rsidR="002A083A">
        <w:t>2009 through June 14, 2017</w:t>
      </w:r>
      <w:r w:rsidR="00042857">
        <w:t>.</w:t>
      </w:r>
      <w:r w:rsidR="00501D0D">
        <w:t>’</w:t>
      </w:r>
      <w:r w:rsidR="002A083A">
        <w:t>”</w:t>
      </w:r>
      <w:r w:rsidR="006B42E8">
        <w:t xml:space="preserve"> </w:t>
      </w:r>
      <w:r w:rsidR="004B372D">
        <w:t xml:space="preserve"> </w:t>
      </w:r>
      <w:r w:rsidR="009D725A">
        <w:t>The court also certified three subclasses within the Porterville class</w:t>
      </w:r>
      <w:r w:rsidR="00A25ECF">
        <w:t>:</w:t>
      </w:r>
      <w:r w:rsidR="00B04FEB">
        <w:t xml:space="preserve">  (1) a </w:t>
      </w:r>
      <w:r w:rsidR="00FB5297">
        <w:t xml:space="preserve">meal period subclass </w:t>
      </w:r>
      <w:r w:rsidR="00211BB0">
        <w:t xml:space="preserve">to determine whether </w:t>
      </w:r>
      <w:r w:rsidR="0056093C">
        <w:t>Porterville’s</w:t>
      </w:r>
      <w:r w:rsidR="00F03A75">
        <w:t xml:space="preserve"> </w:t>
      </w:r>
      <w:r w:rsidR="002106B7">
        <w:t xml:space="preserve">on-premises </w:t>
      </w:r>
      <w:r w:rsidR="00613282">
        <w:t>meal policy</w:t>
      </w:r>
      <w:r w:rsidR="00211BB0">
        <w:t xml:space="preserve"> was lawful;</w:t>
      </w:r>
      <w:r w:rsidR="00B04FEB">
        <w:t xml:space="preserve"> (2) a</w:t>
      </w:r>
      <w:r w:rsidR="00FB5297">
        <w:t xml:space="preserve"> rest period subclass</w:t>
      </w:r>
      <w:r w:rsidR="00887A3E">
        <w:t xml:space="preserve"> </w:t>
      </w:r>
      <w:r w:rsidR="00211BB0">
        <w:t xml:space="preserve">to determine whether Royalty’s rest period policies </w:t>
      </w:r>
      <w:r w:rsidR="0056093C">
        <w:t xml:space="preserve">at Porterville </w:t>
      </w:r>
      <w:r w:rsidR="00211BB0">
        <w:t xml:space="preserve">were facially lawful; </w:t>
      </w:r>
      <w:r w:rsidR="00FB5297">
        <w:t xml:space="preserve">and </w:t>
      </w:r>
      <w:r w:rsidR="00C5539A">
        <w:t>(3) a</w:t>
      </w:r>
      <w:r w:rsidR="00FB5297">
        <w:t xml:space="preserve"> </w:t>
      </w:r>
      <w:r w:rsidR="00224EFE">
        <w:t>release subclass</w:t>
      </w:r>
      <w:r w:rsidR="00211BB0">
        <w:t xml:space="preserve"> </w:t>
      </w:r>
      <w:r w:rsidR="00224EFE">
        <w:t xml:space="preserve">to determine whether </w:t>
      </w:r>
      <w:r w:rsidR="0056093C">
        <w:t xml:space="preserve">Porterville </w:t>
      </w:r>
      <w:r w:rsidR="00A1512E">
        <w:t xml:space="preserve">class members’ </w:t>
      </w:r>
      <w:r w:rsidR="0076304A">
        <w:t xml:space="preserve">settlement </w:t>
      </w:r>
      <w:r w:rsidR="00224EFE">
        <w:t>releases were enforceable.</w:t>
      </w:r>
    </w:p>
    <w:p w14:paraId="12871A99" w14:textId="1DE068A7" w:rsidR="00A357AB" w:rsidRDefault="00432A9A" w:rsidP="00C56F2B">
      <w:pPr>
        <w:tabs>
          <w:tab w:val="left" w:pos="1440"/>
          <w:tab w:val="left" w:pos="2880"/>
          <w:tab w:val="left" w:pos="4320"/>
          <w:tab w:val="left" w:pos="5760"/>
          <w:tab w:val="left" w:pos="7200"/>
          <w:tab w:val="left" w:pos="8640"/>
        </w:tabs>
        <w:spacing w:line="480" w:lineRule="atLeast"/>
      </w:pPr>
      <w:r>
        <w:tab/>
      </w:r>
      <w:r w:rsidR="005D0D58">
        <w:t>T</w:t>
      </w:r>
      <w:r>
        <w:t xml:space="preserve">he court </w:t>
      </w:r>
      <w:r w:rsidR="005D0D58">
        <w:t xml:space="preserve">also </w:t>
      </w:r>
      <w:r>
        <w:t xml:space="preserve">certified a </w:t>
      </w:r>
      <w:r w:rsidR="00DF7C22">
        <w:t xml:space="preserve">Dyer/Derian </w:t>
      </w:r>
      <w:r>
        <w:t xml:space="preserve">class composed of </w:t>
      </w:r>
      <w:r w:rsidR="006B42E8">
        <w:t>“‘</w:t>
      </w:r>
      <w:r w:rsidR="00501D0D">
        <w:t>[a]ll former nonexempt, hourly employees of [Royalty]</w:t>
      </w:r>
      <w:r w:rsidR="006B42E8">
        <w:t>,</w:t>
      </w:r>
      <w:r w:rsidR="00501D0D">
        <w:t xml:space="preserve"> who worked at either the Dyer or Derian carpet manufacturing and warehouse facility at any time from December 13,</w:t>
      </w:r>
      <w:r w:rsidR="00594669">
        <w:t xml:space="preserve"> </w:t>
      </w:r>
      <w:r w:rsidR="00501D0D">
        <w:t>2009 through June 14, 2017</w:t>
      </w:r>
      <w:r w:rsidR="00D85766">
        <w:t>.</w:t>
      </w:r>
      <w:r w:rsidR="006B42E8">
        <w:t>’</w:t>
      </w:r>
      <w:r w:rsidR="00501D0D">
        <w:t xml:space="preserve">” </w:t>
      </w:r>
      <w:r w:rsidR="00D85766">
        <w:t xml:space="preserve"> </w:t>
      </w:r>
      <w:r w:rsidR="00A1512E">
        <w:t xml:space="preserve">As with the Porterville class, the court certified three subclasses within </w:t>
      </w:r>
      <w:r w:rsidR="00166206">
        <w:t xml:space="preserve">this </w:t>
      </w:r>
      <w:r w:rsidR="003D03D8">
        <w:t>class</w:t>
      </w:r>
      <w:r w:rsidR="00A1512E">
        <w:t>:</w:t>
      </w:r>
      <w:r w:rsidR="006B42E8">
        <w:t xml:space="preserve"> </w:t>
      </w:r>
      <w:r w:rsidR="00594669">
        <w:t xml:space="preserve"> (1) a</w:t>
      </w:r>
      <w:r w:rsidR="00A1512E">
        <w:t xml:space="preserve"> meal period subclass to determine whether </w:t>
      </w:r>
      <w:r w:rsidR="00D2470F">
        <w:t xml:space="preserve">Dyer/Derian </w:t>
      </w:r>
      <w:r w:rsidR="008A4C9F">
        <w:t>class members were provided timely first meal periods and</w:t>
      </w:r>
      <w:r w:rsidR="00594669">
        <w:t>/or</w:t>
      </w:r>
      <w:r w:rsidR="008A4C9F">
        <w:t xml:space="preserve"> deprived of second meal periods;</w:t>
      </w:r>
      <w:r w:rsidR="00594669">
        <w:t xml:space="preserve"> (2) a </w:t>
      </w:r>
      <w:r w:rsidR="008A4C9F">
        <w:t>rest period subclass</w:t>
      </w:r>
      <w:r w:rsidR="00D2470F">
        <w:t xml:space="preserve"> </w:t>
      </w:r>
      <w:r w:rsidR="00E96772">
        <w:t xml:space="preserve">to determine whether Royalty’s rest period policies at Dyer and Derian were facially lawful; </w:t>
      </w:r>
      <w:r w:rsidR="005907C7">
        <w:t>and</w:t>
      </w:r>
      <w:r w:rsidR="00C56F2B">
        <w:t xml:space="preserve"> (3) a</w:t>
      </w:r>
      <w:r w:rsidR="005907C7">
        <w:t xml:space="preserve"> release subclass</w:t>
      </w:r>
      <w:r w:rsidR="00C56F2B">
        <w:t xml:space="preserve"> to determine whether the Dyer/Derian class members’</w:t>
      </w:r>
      <w:r w:rsidR="00AE3707">
        <w:t xml:space="preserve"> settlement</w:t>
      </w:r>
      <w:r w:rsidR="00C56F2B">
        <w:t xml:space="preserve"> releases were enforceable</w:t>
      </w:r>
      <w:r w:rsidR="005907C7">
        <w:t>.</w:t>
      </w:r>
    </w:p>
    <w:p w14:paraId="7FA9090A" w14:textId="149812E0" w:rsidR="008F4F8A" w:rsidRPr="0048096A" w:rsidRDefault="00432A9A" w:rsidP="00C56F2B">
      <w:pPr>
        <w:tabs>
          <w:tab w:val="left" w:pos="1440"/>
          <w:tab w:val="left" w:pos="2880"/>
          <w:tab w:val="left" w:pos="4320"/>
          <w:tab w:val="left" w:pos="5760"/>
          <w:tab w:val="left" w:pos="7200"/>
          <w:tab w:val="left" w:pos="8640"/>
        </w:tabs>
        <w:spacing w:line="480" w:lineRule="atLeast"/>
      </w:pPr>
      <w:r>
        <w:tab/>
      </w:r>
      <w:r w:rsidR="007F2EFC">
        <w:t>Finally, t</w:t>
      </w:r>
      <w:r w:rsidR="00AB45B7">
        <w:t xml:space="preserve">he court </w:t>
      </w:r>
      <w:r w:rsidR="00D56BEF">
        <w:t xml:space="preserve">certified </w:t>
      </w:r>
      <w:r w:rsidR="007F2EFC">
        <w:t xml:space="preserve">subclasses for </w:t>
      </w:r>
      <w:r w:rsidR="00AB45B7">
        <w:t xml:space="preserve">all derivative claims tied to </w:t>
      </w:r>
      <w:r w:rsidR="00B81AD1">
        <w:t xml:space="preserve">the above </w:t>
      </w:r>
      <w:r w:rsidR="00AB45B7">
        <w:t>certified issues</w:t>
      </w:r>
      <w:r w:rsidR="00CA57AF">
        <w:t xml:space="preserve">, </w:t>
      </w:r>
      <w:r w:rsidR="007F372A">
        <w:t xml:space="preserve">including </w:t>
      </w:r>
      <w:r w:rsidR="00CA57AF">
        <w:t xml:space="preserve">claims for </w:t>
      </w:r>
      <w:r w:rsidR="00AB45B7">
        <w:t>premium pay, wages statement</w:t>
      </w:r>
      <w:r w:rsidR="00EF7D59">
        <w:t xml:space="preserve"> penalties</w:t>
      </w:r>
      <w:r w:rsidR="00AB45B7">
        <w:t xml:space="preserve">, waiting time penalties, and unfair business practices. </w:t>
      </w:r>
      <w:r w:rsidR="00F826C8">
        <w:t xml:space="preserve"> </w:t>
      </w:r>
      <w:r>
        <w:t xml:space="preserve">Five </w:t>
      </w:r>
      <w:r w:rsidR="00491BDC">
        <w:t xml:space="preserve">named </w:t>
      </w:r>
      <w:r>
        <w:t xml:space="preserve">plaintiffs were </w:t>
      </w:r>
      <w:r w:rsidR="00491BDC">
        <w:t xml:space="preserve">found to be suitable class representatives for the Dyer/Derian class, and four named plaintiffs were found to be suitable representatives </w:t>
      </w:r>
      <w:r w:rsidR="00AB45B7">
        <w:t xml:space="preserve">for </w:t>
      </w:r>
      <w:r w:rsidR="00491BDC">
        <w:t>the Porterville class.</w:t>
      </w:r>
    </w:p>
    <w:p w14:paraId="7E53ED09" w14:textId="15DBDF93" w:rsidR="003F7182" w:rsidRPr="005609E3" w:rsidRDefault="00432A9A" w:rsidP="00C56F2B">
      <w:pPr>
        <w:tabs>
          <w:tab w:val="left" w:pos="1440"/>
          <w:tab w:val="left" w:pos="2880"/>
          <w:tab w:val="left" w:pos="4320"/>
          <w:tab w:val="left" w:pos="5760"/>
          <w:tab w:val="left" w:pos="7200"/>
          <w:tab w:val="left" w:pos="8640"/>
        </w:tabs>
        <w:spacing w:line="480" w:lineRule="atLeast"/>
      </w:pPr>
      <w:r>
        <w:lastRenderedPageBreak/>
        <w:tab/>
        <w:t>Prior</w:t>
      </w:r>
      <w:r>
        <w:t xml:space="preserve"> to trial, Royalty brought a motion to decertify the </w:t>
      </w:r>
      <w:r w:rsidR="00677F15">
        <w:t xml:space="preserve">class, but it was </w:t>
      </w:r>
      <w:r w:rsidR="00B93D52">
        <w:t xml:space="preserve">denied </w:t>
      </w:r>
      <w:r w:rsidR="002C13F5">
        <w:t xml:space="preserve">due to </w:t>
      </w:r>
      <w:r w:rsidR="005609E3">
        <w:t>Royalty</w:t>
      </w:r>
      <w:r w:rsidR="002C13F5">
        <w:t>’s</w:t>
      </w:r>
      <w:r w:rsidR="005609E3">
        <w:t xml:space="preserve"> </w:t>
      </w:r>
      <w:r w:rsidR="002C13F5">
        <w:t xml:space="preserve">failure </w:t>
      </w:r>
      <w:r w:rsidR="005609E3">
        <w:t>to show changed circumstances warranting decertification.</w:t>
      </w:r>
    </w:p>
    <w:p w14:paraId="1643320C" w14:textId="2037BFDD" w:rsidR="00D30B45" w:rsidRPr="006B42E8" w:rsidRDefault="00432A9A" w:rsidP="006B42E8">
      <w:pPr>
        <w:keepNext/>
        <w:tabs>
          <w:tab w:val="left" w:pos="2880"/>
          <w:tab w:val="left" w:pos="4320"/>
          <w:tab w:val="left" w:pos="5760"/>
          <w:tab w:val="left" w:pos="7200"/>
          <w:tab w:val="left" w:pos="8640"/>
        </w:tabs>
        <w:spacing w:before="240" w:line="480" w:lineRule="atLeast"/>
        <w:rPr>
          <w:i/>
          <w:iCs/>
        </w:rPr>
      </w:pPr>
      <w:r>
        <w:rPr>
          <w:i/>
          <w:iCs/>
        </w:rPr>
        <w:t xml:space="preserve">C.  </w:t>
      </w:r>
      <w:r w:rsidRPr="006B42E8">
        <w:rPr>
          <w:i/>
          <w:iCs/>
        </w:rPr>
        <w:t>Trial</w:t>
      </w:r>
    </w:p>
    <w:p w14:paraId="5461C1A7" w14:textId="2950BABD" w:rsidR="00D30B45" w:rsidRDefault="00432A9A" w:rsidP="00D30B45">
      <w:pPr>
        <w:tabs>
          <w:tab w:val="left" w:pos="1440"/>
          <w:tab w:val="left" w:pos="2880"/>
          <w:tab w:val="left" w:pos="4320"/>
          <w:tab w:val="left" w:pos="5760"/>
          <w:tab w:val="left" w:pos="7200"/>
          <w:tab w:val="left" w:pos="8640"/>
        </w:tabs>
        <w:spacing w:line="480" w:lineRule="atLeast"/>
      </w:pPr>
      <w:r>
        <w:tab/>
      </w:r>
      <w:r w:rsidR="00FD30E4">
        <w:t>A</w:t>
      </w:r>
      <w:r w:rsidR="007A7716">
        <w:t xml:space="preserve"> bench trial before Judge Randall </w:t>
      </w:r>
      <w:r w:rsidR="006B42E8">
        <w:t xml:space="preserve">J. </w:t>
      </w:r>
      <w:r w:rsidR="007A7716">
        <w:t>Sherman</w:t>
      </w:r>
      <w:r w:rsidR="00FD30E4">
        <w:t xml:space="preserve"> </w:t>
      </w:r>
      <w:r w:rsidR="00F9156E">
        <w:t xml:space="preserve">began </w:t>
      </w:r>
      <w:r w:rsidR="00FD30E4">
        <w:t>in November 2018</w:t>
      </w:r>
      <w:r w:rsidR="00F9156E">
        <w:t xml:space="preserve"> and resumed in April and May 2019</w:t>
      </w:r>
      <w:r w:rsidR="007A7716">
        <w:t xml:space="preserve">. </w:t>
      </w:r>
      <w:r w:rsidR="006B42E8">
        <w:t xml:space="preserve"> </w:t>
      </w:r>
      <w:r w:rsidR="00573A33">
        <w:t>At trial, p</w:t>
      </w:r>
      <w:r w:rsidR="000F4443">
        <w:t>laintiffs</w:t>
      </w:r>
      <w:r w:rsidR="006B5451">
        <w:t>’</w:t>
      </w:r>
      <w:r w:rsidR="000F4443">
        <w:t xml:space="preserve"> case consisted of live testimony from 12 of the 13 named plaintiffs, </w:t>
      </w:r>
      <w:r w:rsidR="000455A2">
        <w:t xml:space="preserve">deposition </w:t>
      </w:r>
      <w:r w:rsidR="000F4443">
        <w:t xml:space="preserve">testimony </w:t>
      </w:r>
      <w:r w:rsidR="000455A2">
        <w:t xml:space="preserve">from </w:t>
      </w:r>
      <w:r w:rsidR="00C21F7B">
        <w:t xml:space="preserve">four different managers and officers of Royalty, live testimony from </w:t>
      </w:r>
      <w:r w:rsidR="0054266C">
        <w:t xml:space="preserve">two of Royalty’s human resources employees, and live testimony from </w:t>
      </w:r>
      <w:r w:rsidR="00111BB5">
        <w:t xml:space="preserve">an </w:t>
      </w:r>
      <w:r w:rsidR="0054266C">
        <w:t xml:space="preserve">expert witness. </w:t>
      </w:r>
      <w:r w:rsidR="00193D3D">
        <w:t xml:space="preserve"> </w:t>
      </w:r>
      <w:r w:rsidR="00DF3F81">
        <w:t>After plaintiffs rested</w:t>
      </w:r>
      <w:r w:rsidR="00193D3D">
        <w:t xml:space="preserve">, </w:t>
      </w:r>
      <w:r w:rsidR="00EE2047">
        <w:t>Royalty moved</w:t>
      </w:r>
      <w:r w:rsidR="00555DEB">
        <w:t xml:space="preserve"> mid-trial</w:t>
      </w:r>
      <w:r w:rsidR="00EE2047">
        <w:t xml:space="preserve"> to </w:t>
      </w:r>
      <w:r w:rsidR="00906C67">
        <w:t>de</w:t>
      </w:r>
      <w:r w:rsidR="00EE2047">
        <w:t xml:space="preserve">certify </w:t>
      </w:r>
      <w:r w:rsidR="006B5451">
        <w:t xml:space="preserve">the </w:t>
      </w:r>
      <w:r w:rsidR="000C7CC9">
        <w:t xml:space="preserve">classes and for judgment </w:t>
      </w:r>
      <w:r w:rsidR="00BF6269">
        <w:t>under Code of Civil Procedure section 631.8</w:t>
      </w:r>
      <w:r w:rsidR="00E30A27">
        <w:t>.</w:t>
      </w:r>
    </w:p>
    <w:p w14:paraId="2AD9FE2E" w14:textId="737BA5C5" w:rsidR="009D14AB" w:rsidRPr="006E370C" w:rsidRDefault="00432A9A" w:rsidP="000F45CD">
      <w:pPr>
        <w:tabs>
          <w:tab w:val="left" w:pos="1440"/>
          <w:tab w:val="left" w:pos="2880"/>
          <w:tab w:val="left" w:pos="4320"/>
          <w:tab w:val="left" w:pos="5760"/>
          <w:tab w:val="left" w:pos="7200"/>
          <w:tab w:val="left" w:pos="8640"/>
        </w:tabs>
        <w:spacing w:line="480" w:lineRule="atLeast"/>
      </w:pPr>
      <w:r>
        <w:tab/>
        <w:t xml:space="preserve">Following </w:t>
      </w:r>
      <w:r w:rsidR="00806BC8">
        <w:t>argument</w:t>
      </w:r>
      <w:r w:rsidR="00424454">
        <w:t xml:space="preserve"> on Royalty’s motion</w:t>
      </w:r>
      <w:r w:rsidR="004129CA">
        <w:t>s</w:t>
      </w:r>
      <w:r w:rsidR="00806BC8">
        <w:t xml:space="preserve">, the court </w:t>
      </w:r>
      <w:r w:rsidR="00671413">
        <w:t>provided rulings on the issues raised</w:t>
      </w:r>
      <w:r w:rsidR="00806BC8">
        <w:t xml:space="preserve">.  </w:t>
      </w:r>
      <w:r w:rsidR="008C7CFB">
        <w:t>First</w:t>
      </w:r>
      <w:r w:rsidR="00671413">
        <w:t xml:space="preserve">, </w:t>
      </w:r>
      <w:r w:rsidR="00C63BB8">
        <w:t xml:space="preserve">the court granted judgment as to </w:t>
      </w:r>
      <w:r w:rsidR="006F3F7E">
        <w:t xml:space="preserve">plaintiffs’ </w:t>
      </w:r>
      <w:r w:rsidR="00353D47">
        <w:t xml:space="preserve">third cause of action for </w:t>
      </w:r>
      <w:r w:rsidR="006F3F7E">
        <w:t xml:space="preserve">wage statement </w:t>
      </w:r>
      <w:r w:rsidR="00353D47">
        <w:t xml:space="preserve">penalties </w:t>
      </w:r>
      <w:r w:rsidR="00C63BB8">
        <w:t xml:space="preserve">and fourth cause of action for waiting time penalties. </w:t>
      </w:r>
      <w:r w:rsidR="0075053E">
        <w:t xml:space="preserve"> As to the former, the claim </w:t>
      </w:r>
      <w:r w:rsidR="003053B6">
        <w:t xml:space="preserve">failed because </w:t>
      </w:r>
      <w:r w:rsidR="00B46212">
        <w:t xml:space="preserve">the </w:t>
      </w:r>
      <w:r w:rsidR="008358AA">
        <w:t xml:space="preserve">wage statements accurately reported </w:t>
      </w:r>
      <w:r w:rsidR="00323F4D">
        <w:t>what was paid</w:t>
      </w:r>
      <w:r w:rsidR="009C759B">
        <w:t xml:space="preserve">. </w:t>
      </w:r>
      <w:r w:rsidR="001E7C43">
        <w:t xml:space="preserve"> </w:t>
      </w:r>
      <w:r w:rsidR="0075053E">
        <w:t xml:space="preserve">As to the latter, </w:t>
      </w:r>
      <w:r w:rsidR="00D50BB4">
        <w:t>plaintiff</w:t>
      </w:r>
      <w:r w:rsidR="0075053E">
        <w:t>s</w:t>
      </w:r>
      <w:r w:rsidR="00D50BB4">
        <w:t xml:space="preserve"> had not shown </w:t>
      </w:r>
      <w:r w:rsidR="00606EC6">
        <w:t xml:space="preserve">that </w:t>
      </w:r>
      <w:r w:rsidR="0075053E">
        <w:t xml:space="preserve">Royalty’s </w:t>
      </w:r>
      <w:r w:rsidR="001A5CCE">
        <w:t>failure to pay any wages was willful</w:t>
      </w:r>
      <w:r w:rsidR="00A969B2">
        <w:t xml:space="preserve">. </w:t>
      </w:r>
      <w:r w:rsidR="007255AC">
        <w:t xml:space="preserve"> </w:t>
      </w:r>
      <w:r w:rsidR="008B6D9F">
        <w:t>Second</w:t>
      </w:r>
      <w:r w:rsidR="008C7CFB">
        <w:t xml:space="preserve">, the </w:t>
      </w:r>
      <w:r w:rsidR="008B6D9F">
        <w:t xml:space="preserve">court dismissed the </w:t>
      </w:r>
      <w:r w:rsidR="008C7CFB">
        <w:t xml:space="preserve">portion of plaintiffs’ PAGA claim based on Porterville’s on-premises </w:t>
      </w:r>
      <w:r w:rsidR="00613282">
        <w:t>meal policy</w:t>
      </w:r>
      <w:r w:rsidR="008C7CFB">
        <w:t xml:space="preserve"> due to </w:t>
      </w:r>
      <w:r w:rsidR="008B6D9F">
        <w:t xml:space="preserve">plaintiffs’ failure to exhaust </w:t>
      </w:r>
      <w:r w:rsidR="008C7CFB">
        <w:t xml:space="preserve">administrative </w:t>
      </w:r>
      <w:r w:rsidR="008B6D9F">
        <w:t>remedies</w:t>
      </w:r>
      <w:r w:rsidR="008C7CFB">
        <w:t xml:space="preserve">.  </w:t>
      </w:r>
      <w:r w:rsidR="00654AEF">
        <w:t>Third</w:t>
      </w:r>
      <w:r w:rsidR="007255AC">
        <w:t xml:space="preserve">, </w:t>
      </w:r>
      <w:r w:rsidR="00654AEF">
        <w:t xml:space="preserve">it decertified </w:t>
      </w:r>
      <w:r w:rsidR="00A832CF">
        <w:t xml:space="preserve">both </w:t>
      </w:r>
      <w:r w:rsidR="007255AC">
        <w:t xml:space="preserve">rest break subclasses </w:t>
      </w:r>
      <w:r w:rsidR="005F7AC5">
        <w:t xml:space="preserve">due to </w:t>
      </w:r>
      <w:r w:rsidR="00282CAA">
        <w:t xml:space="preserve">insufficient </w:t>
      </w:r>
      <w:r w:rsidR="007E71A4">
        <w:t xml:space="preserve">evidence </w:t>
      </w:r>
      <w:r w:rsidR="005F7AC5">
        <w:t xml:space="preserve">supporting </w:t>
      </w:r>
      <w:r w:rsidR="00282CAA">
        <w:t xml:space="preserve">class treatment. </w:t>
      </w:r>
      <w:r w:rsidR="00CD6812">
        <w:t xml:space="preserve"> </w:t>
      </w:r>
      <w:r w:rsidR="00906B59">
        <w:t xml:space="preserve">But </w:t>
      </w:r>
      <w:r w:rsidR="00BC2DEA">
        <w:t xml:space="preserve">the court </w:t>
      </w:r>
      <w:r w:rsidR="00E03A85">
        <w:t xml:space="preserve">denied </w:t>
      </w:r>
      <w:r w:rsidR="00906B59">
        <w:t xml:space="preserve">Royalty’s </w:t>
      </w:r>
      <w:r w:rsidR="002C5960">
        <w:t xml:space="preserve">mid-trial </w:t>
      </w:r>
      <w:r w:rsidR="00906B59">
        <w:t xml:space="preserve">request </w:t>
      </w:r>
      <w:r w:rsidR="00E03A85">
        <w:t xml:space="preserve">to decertify </w:t>
      </w:r>
      <w:r w:rsidR="00B8204B">
        <w:t xml:space="preserve">the </w:t>
      </w:r>
      <w:r w:rsidR="00462D15">
        <w:t xml:space="preserve">Dyer/Derian </w:t>
      </w:r>
      <w:r w:rsidR="00CD6812">
        <w:t xml:space="preserve">meal break </w:t>
      </w:r>
      <w:r w:rsidR="00201DE7">
        <w:t>subclass</w:t>
      </w:r>
      <w:r w:rsidR="0008064A">
        <w:t>,</w:t>
      </w:r>
      <w:r w:rsidR="00201DE7">
        <w:t xml:space="preserve"> </w:t>
      </w:r>
      <w:r w:rsidR="00E03A85">
        <w:t xml:space="preserve">and </w:t>
      </w:r>
      <w:r w:rsidR="0008064A">
        <w:t xml:space="preserve">it </w:t>
      </w:r>
      <w:r w:rsidR="00E03A85">
        <w:t xml:space="preserve">required Royalty to </w:t>
      </w:r>
      <w:r w:rsidR="000F2FA1">
        <w:t xml:space="preserve">put on </w:t>
      </w:r>
      <w:r w:rsidR="00462D15">
        <w:t>its defense</w:t>
      </w:r>
      <w:r w:rsidR="000F2FA1">
        <w:t xml:space="preserve"> to this claim</w:t>
      </w:r>
      <w:r w:rsidR="00480259">
        <w:t xml:space="preserve">. </w:t>
      </w:r>
      <w:r w:rsidR="00885F0D">
        <w:t xml:space="preserve"> </w:t>
      </w:r>
      <w:r w:rsidR="0058486F">
        <w:t xml:space="preserve">Likewise, it </w:t>
      </w:r>
      <w:r w:rsidR="00094521">
        <w:t>denied Royalty’s motion a</w:t>
      </w:r>
      <w:r w:rsidR="00351511">
        <w:t>s to the Porterville class’s meal period claim</w:t>
      </w:r>
      <w:r w:rsidR="00966B7F">
        <w:t>, which was</w:t>
      </w:r>
      <w:r w:rsidR="00351511">
        <w:t xml:space="preserve"> based on the on-premises meal policy</w:t>
      </w:r>
      <w:r w:rsidR="006E370C">
        <w:t>.</w:t>
      </w:r>
    </w:p>
    <w:p w14:paraId="2DAC5331" w14:textId="35096AAE" w:rsidR="003D1AB1" w:rsidRDefault="00432A9A" w:rsidP="00D30B45">
      <w:pPr>
        <w:tabs>
          <w:tab w:val="left" w:pos="1440"/>
          <w:tab w:val="left" w:pos="2880"/>
          <w:tab w:val="left" w:pos="4320"/>
          <w:tab w:val="left" w:pos="5760"/>
          <w:tab w:val="left" w:pos="7200"/>
          <w:tab w:val="left" w:pos="8640"/>
        </w:tabs>
        <w:spacing w:line="480" w:lineRule="atLeast"/>
      </w:pPr>
      <w:r>
        <w:tab/>
      </w:r>
      <w:r w:rsidR="00223016" w:rsidRPr="001E69E7">
        <w:t xml:space="preserve">Following these rulings, Royalty presented </w:t>
      </w:r>
      <w:r w:rsidR="004151FA" w:rsidRPr="001E69E7">
        <w:t>its defense</w:t>
      </w:r>
      <w:r w:rsidR="00223016" w:rsidRPr="001E69E7">
        <w:t xml:space="preserve">, which included </w:t>
      </w:r>
      <w:r w:rsidR="00307A95" w:rsidRPr="001E69E7">
        <w:t xml:space="preserve">testimony </w:t>
      </w:r>
      <w:r w:rsidR="00AC7983" w:rsidRPr="001E69E7">
        <w:t xml:space="preserve">from two former employees </w:t>
      </w:r>
      <w:r w:rsidR="00272E8C" w:rsidRPr="001E69E7">
        <w:t xml:space="preserve">and </w:t>
      </w:r>
      <w:r w:rsidR="004940FC" w:rsidRPr="001E69E7">
        <w:t xml:space="preserve">an </w:t>
      </w:r>
      <w:r w:rsidR="00272E8C" w:rsidRPr="001E69E7">
        <w:t>expert witness.</w:t>
      </w:r>
      <w:r w:rsidR="00593BA7">
        <w:t xml:space="preserve"> </w:t>
      </w:r>
      <w:r w:rsidR="00921F4D">
        <w:t xml:space="preserve"> Plaintiffs </w:t>
      </w:r>
      <w:r w:rsidR="00BA4409">
        <w:t xml:space="preserve">then </w:t>
      </w:r>
      <w:r w:rsidR="00921F4D">
        <w:t>call</w:t>
      </w:r>
      <w:r w:rsidR="002D6731">
        <w:t>ed</w:t>
      </w:r>
      <w:r w:rsidR="00921F4D">
        <w:t xml:space="preserve"> </w:t>
      </w:r>
      <w:r w:rsidR="00471203">
        <w:t xml:space="preserve">a </w:t>
      </w:r>
      <w:r w:rsidR="00921F4D">
        <w:t>rebuttal witness</w:t>
      </w:r>
      <w:r w:rsidR="00EF490F">
        <w:t xml:space="preserve"> </w:t>
      </w:r>
      <w:r w:rsidR="00F14034">
        <w:t xml:space="preserve">and </w:t>
      </w:r>
      <w:r w:rsidR="00FB723D">
        <w:t>rested.</w:t>
      </w:r>
    </w:p>
    <w:p w14:paraId="33280A9D" w14:textId="560598EF" w:rsidR="00F03B46" w:rsidRDefault="00432A9A" w:rsidP="00D30B45">
      <w:pPr>
        <w:tabs>
          <w:tab w:val="left" w:pos="1440"/>
          <w:tab w:val="left" w:pos="2880"/>
          <w:tab w:val="left" w:pos="4320"/>
          <w:tab w:val="left" w:pos="5760"/>
          <w:tab w:val="left" w:pos="7200"/>
          <w:tab w:val="left" w:pos="8640"/>
        </w:tabs>
        <w:spacing w:line="480" w:lineRule="atLeast"/>
      </w:pPr>
      <w:r>
        <w:lastRenderedPageBreak/>
        <w:tab/>
      </w:r>
      <w:r w:rsidR="00A03009">
        <w:t>Prior to closing arguments, t</w:t>
      </w:r>
      <w:r>
        <w:t xml:space="preserve">he court </w:t>
      </w:r>
      <w:r w:rsidR="00407A9E">
        <w:t xml:space="preserve">inquired </w:t>
      </w:r>
      <w:r w:rsidR="001E30D9">
        <w:t xml:space="preserve">about </w:t>
      </w:r>
      <w:r w:rsidR="00407A9E">
        <w:t xml:space="preserve">the proper limitations </w:t>
      </w:r>
      <w:r w:rsidR="007466E9">
        <w:t xml:space="preserve">period </w:t>
      </w:r>
      <w:r w:rsidR="003F78E3">
        <w:t xml:space="preserve">for the Porterville class’s </w:t>
      </w:r>
      <w:r w:rsidR="00E9717E">
        <w:t>meal period claim</w:t>
      </w:r>
      <w:r w:rsidR="00407A9E">
        <w:t xml:space="preserve">.  </w:t>
      </w:r>
      <w:r w:rsidR="002C298F">
        <w:t xml:space="preserve">Previously, Judge Dunning had </w:t>
      </w:r>
      <w:r w:rsidR="000E111E">
        <w:t xml:space="preserve">found the </w:t>
      </w:r>
      <w:r w:rsidR="00AB54FA">
        <w:t xml:space="preserve">limitations period for this claim commenced on </w:t>
      </w:r>
      <w:r w:rsidR="000E111E">
        <w:t>December 13, 2009</w:t>
      </w:r>
      <w:r w:rsidR="00990B74">
        <w:t xml:space="preserve">, which was </w:t>
      </w:r>
      <w:r w:rsidR="0081717E">
        <w:t>calculated by applying a four-year statute of limitations to the date the action was filed</w:t>
      </w:r>
      <w:r w:rsidR="007B5B5C">
        <w:t xml:space="preserve">.  </w:t>
      </w:r>
      <w:r w:rsidR="001954D9">
        <w:t>But t</w:t>
      </w:r>
      <w:r w:rsidR="002E0BAC">
        <w:t xml:space="preserve">he court noted Porterville’s on-premises meal policy was first </w:t>
      </w:r>
      <w:r w:rsidR="001954D9">
        <w:t xml:space="preserve">alleged </w:t>
      </w:r>
      <w:r w:rsidR="002E0BAC">
        <w:t>in the TAC</w:t>
      </w:r>
      <w:r w:rsidR="001E30D9">
        <w:t xml:space="preserve">.  </w:t>
      </w:r>
      <w:r w:rsidR="008D7185">
        <w:t>Accordingly, i</w:t>
      </w:r>
      <w:r w:rsidR="001E30D9">
        <w:t>t</w:t>
      </w:r>
      <w:r w:rsidR="00891FFC">
        <w:t xml:space="preserve"> </w:t>
      </w:r>
      <w:r w:rsidR="00C625D0">
        <w:t xml:space="preserve">questioned </w:t>
      </w:r>
      <w:r w:rsidR="00B65A05">
        <w:t xml:space="preserve">whether the statute of limitations on this claim </w:t>
      </w:r>
      <w:r w:rsidR="00893C8E">
        <w:t xml:space="preserve">should </w:t>
      </w:r>
      <w:r w:rsidR="006A3DDD">
        <w:t xml:space="preserve">run from </w:t>
      </w:r>
      <w:r w:rsidR="00893C8E">
        <w:t xml:space="preserve">the </w:t>
      </w:r>
      <w:r w:rsidR="007F19EB">
        <w:t>filing of the TAC</w:t>
      </w:r>
      <w:r w:rsidR="00997590">
        <w:t xml:space="preserve"> </w:t>
      </w:r>
      <w:r w:rsidR="0021442B">
        <w:t xml:space="preserve">or </w:t>
      </w:r>
      <w:r w:rsidR="00B12E3A">
        <w:t xml:space="preserve">a prior </w:t>
      </w:r>
      <w:r w:rsidR="00893C8E">
        <w:t>complaint</w:t>
      </w:r>
      <w:r w:rsidR="009D7247">
        <w:t xml:space="preserve">.  This issue was significant, as it would </w:t>
      </w:r>
      <w:r w:rsidR="00270C38">
        <w:t>greatly affect</w:t>
      </w:r>
      <w:r w:rsidR="00FC6F01">
        <w:t xml:space="preserve"> any recovery of</w:t>
      </w:r>
      <w:r w:rsidR="00270C38">
        <w:t xml:space="preserve"> the Porterville class</w:t>
      </w:r>
      <w:r w:rsidR="009D7247">
        <w:t xml:space="preserve">.  </w:t>
      </w:r>
      <w:r w:rsidR="00767664">
        <w:t xml:space="preserve">The court </w:t>
      </w:r>
      <w:r w:rsidR="009D7247">
        <w:t xml:space="preserve">directed </w:t>
      </w:r>
      <w:r w:rsidR="009C3D07">
        <w:t xml:space="preserve">the parties to address this </w:t>
      </w:r>
      <w:r w:rsidR="004433E3">
        <w:t xml:space="preserve">issue </w:t>
      </w:r>
      <w:r w:rsidR="009C3D07">
        <w:t>in their closing arguments</w:t>
      </w:r>
      <w:r w:rsidR="00997590">
        <w:t>.</w:t>
      </w:r>
    </w:p>
    <w:p w14:paraId="730AE2C8" w14:textId="344D33A1" w:rsidR="00170FDD" w:rsidRPr="00593BA7" w:rsidRDefault="00432A9A" w:rsidP="00593BA7">
      <w:pPr>
        <w:keepNext/>
        <w:tabs>
          <w:tab w:val="left" w:pos="4320"/>
          <w:tab w:val="left" w:pos="5760"/>
          <w:tab w:val="left" w:pos="7200"/>
          <w:tab w:val="left" w:pos="8640"/>
        </w:tabs>
        <w:spacing w:before="240" w:line="480" w:lineRule="atLeast"/>
        <w:rPr>
          <w:i/>
          <w:iCs/>
        </w:rPr>
      </w:pPr>
      <w:r>
        <w:rPr>
          <w:i/>
          <w:iCs/>
        </w:rPr>
        <w:t>D.</w:t>
      </w:r>
      <w:r w:rsidRPr="00593BA7">
        <w:rPr>
          <w:i/>
          <w:iCs/>
        </w:rPr>
        <w:t xml:space="preserve">  </w:t>
      </w:r>
      <w:r w:rsidR="00F17090" w:rsidRPr="00593BA7">
        <w:rPr>
          <w:i/>
          <w:iCs/>
        </w:rPr>
        <w:t xml:space="preserve">Rulings and </w:t>
      </w:r>
      <w:r w:rsidR="00AB5312" w:rsidRPr="00593BA7">
        <w:rPr>
          <w:i/>
          <w:iCs/>
        </w:rPr>
        <w:t>Judgment</w:t>
      </w:r>
    </w:p>
    <w:p w14:paraId="77496591" w14:textId="11BE6E04" w:rsidR="00170FDD" w:rsidRPr="00593BA7" w:rsidRDefault="00432A9A" w:rsidP="001561D1">
      <w:pPr>
        <w:pStyle w:val="ListParagraph"/>
        <w:keepNext/>
        <w:tabs>
          <w:tab w:val="left" w:pos="1440"/>
          <w:tab w:val="left" w:pos="2880"/>
          <w:tab w:val="left" w:pos="4320"/>
          <w:tab w:val="left" w:pos="5760"/>
          <w:tab w:val="left" w:pos="7200"/>
          <w:tab w:val="left" w:pos="8640"/>
        </w:tabs>
        <w:spacing w:line="480" w:lineRule="atLeast"/>
        <w:ind w:left="1800" w:hanging="360"/>
        <w:rPr>
          <w:i/>
          <w:iCs/>
        </w:rPr>
      </w:pPr>
      <w:r>
        <w:rPr>
          <w:i/>
          <w:iCs/>
        </w:rPr>
        <w:t xml:space="preserve">1.  </w:t>
      </w:r>
      <w:r w:rsidRPr="00593BA7">
        <w:rPr>
          <w:i/>
          <w:iCs/>
        </w:rPr>
        <w:t xml:space="preserve">Class </w:t>
      </w:r>
      <w:r w:rsidR="001561D1">
        <w:rPr>
          <w:i/>
          <w:iCs/>
        </w:rPr>
        <w:t>c</w:t>
      </w:r>
      <w:r w:rsidRPr="00593BA7">
        <w:rPr>
          <w:i/>
          <w:iCs/>
        </w:rPr>
        <w:t>lai</w:t>
      </w:r>
      <w:r w:rsidRPr="00593BA7">
        <w:rPr>
          <w:i/>
          <w:iCs/>
        </w:rPr>
        <w:t>ms</w:t>
      </w:r>
    </w:p>
    <w:p w14:paraId="13880CB1" w14:textId="5DADD3D4" w:rsidR="005A69D7" w:rsidRDefault="00432A9A" w:rsidP="00945539">
      <w:pPr>
        <w:tabs>
          <w:tab w:val="left" w:pos="1440"/>
          <w:tab w:val="left" w:pos="2880"/>
          <w:tab w:val="left" w:pos="4320"/>
          <w:tab w:val="left" w:pos="5760"/>
          <w:tab w:val="left" w:pos="7200"/>
          <w:tab w:val="left" w:pos="8640"/>
        </w:tabs>
        <w:spacing w:line="480" w:lineRule="atLeast"/>
      </w:pPr>
      <w:r>
        <w:tab/>
        <w:t xml:space="preserve">As to the </w:t>
      </w:r>
      <w:r w:rsidR="00912C9D">
        <w:t xml:space="preserve">first cause of action for </w:t>
      </w:r>
      <w:r>
        <w:t xml:space="preserve">meal period </w:t>
      </w:r>
      <w:r w:rsidR="00D035F9">
        <w:t xml:space="preserve">violations, </w:t>
      </w:r>
      <w:r>
        <w:t xml:space="preserve">the court </w:t>
      </w:r>
      <w:r w:rsidR="002C7171">
        <w:t xml:space="preserve">issued an order </w:t>
      </w:r>
      <w:r>
        <w:t>decertif</w:t>
      </w:r>
      <w:r w:rsidR="002C7171">
        <w:t>ying</w:t>
      </w:r>
      <w:r>
        <w:t xml:space="preserve"> </w:t>
      </w:r>
      <w:r w:rsidR="00D035F9">
        <w:t xml:space="preserve">the Dyer/Derian </w:t>
      </w:r>
      <w:r>
        <w:t xml:space="preserve">meal period subclass. </w:t>
      </w:r>
      <w:r w:rsidR="00695563">
        <w:t xml:space="preserve"> </w:t>
      </w:r>
      <w:r w:rsidR="006A23A8">
        <w:t>T</w:t>
      </w:r>
      <w:r w:rsidR="009576DE">
        <w:t xml:space="preserve">he court found </w:t>
      </w:r>
      <w:r w:rsidR="00FF0F34">
        <w:t xml:space="preserve">there were too many individualized issues to support class treatment.  </w:t>
      </w:r>
      <w:r w:rsidR="007E2107">
        <w:t xml:space="preserve">That order </w:t>
      </w:r>
      <w:r w:rsidR="0076613D">
        <w:t xml:space="preserve">likewise </w:t>
      </w:r>
      <w:r w:rsidR="00812B55">
        <w:t xml:space="preserve">dismissed the </w:t>
      </w:r>
      <w:r w:rsidR="00E46A59">
        <w:t xml:space="preserve">portion of the </w:t>
      </w:r>
      <w:r w:rsidR="00812B55">
        <w:t xml:space="preserve">PAGA </w:t>
      </w:r>
      <w:r w:rsidR="00E46A59">
        <w:t xml:space="preserve">claim (sixth cause of action) based on </w:t>
      </w:r>
      <w:r w:rsidR="00812B55">
        <w:t xml:space="preserve">meal period </w:t>
      </w:r>
      <w:r w:rsidR="00E46A59" w:rsidRPr="009D3ED7">
        <w:t xml:space="preserve">violations </w:t>
      </w:r>
      <w:r w:rsidR="00593BA7">
        <w:t xml:space="preserve">at Dyer and Derian </w:t>
      </w:r>
      <w:r w:rsidR="00812B55" w:rsidRPr="009D3ED7">
        <w:t xml:space="preserve">because </w:t>
      </w:r>
      <w:r w:rsidR="00173B47" w:rsidRPr="009D3ED7">
        <w:t xml:space="preserve">the individualized issues </w:t>
      </w:r>
      <w:r w:rsidR="006E2633" w:rsidRPr="009D3ED7">
        <w:t xml:space="preserve">made </w:t>
      </w:r>
      <w:r w:rsidR="002016EB" w:rsidRPr="009D3ED7">
        <w:t xml:space="preserve">it </w:t>
      </w:r>
      <w:r w:rsidR="00C00B2A" w:rsidRPr="009D3ED7">
        <w:t>unmanageable</w:t>
      </w:r>
      <w:r w:rsidR="00E4538C" w:rsidRPr="009D3ED7">
        <w:t>.</w:t>
      </w:r>
    </w:p>
    <w:p w14:paraId="23E86ADA" w14:textId="2BB57B85" w:rsidR="009E38FD" w:rsidRDefault="00432A9A" w:rsidP="009E38FD">
      <w:pPr>
        <w:tabs>
          <w:tab w:val="left" w:pos="1440"/>
          <w:tab w:val="left" w:pos="2880"/>
          <w:tab w:val="left" w:pos="4320"/>
          <w:tab w:val="left" w:pos="5760"/>
          <w:tab w:val="left" w:pos="7200"/>
          <w:tab w:val="left" w:pos="8640"/>
        </w:tabs>
        <w:spacing w:line="480" w:lineRule="atLeast"/>
      </w:pPr>
      <w:r>
        <w:tab/>
      </w:r>
      <w:r w:rsidR="002C52CB">
        <w:t xml:space="preserve">With regard </w:t>
      </w:r>
      <w:r w:rsidR="00AE5683">
        <w:t xml:space="preserve">to the </w:t>
      </w:r>
      <w:r w:rsidR="002C52CB">
        <w:t xml:space="preserve">Porterville class’s </w:t>
      </w:r>
      <w:r w:rsidR="00AE5683">
        <w:t>meal period claims</w:t>
      </w:r>
      <w:r w:rsidR="00CF77F7">
        <w:t xml:space="preserve">, the court </w:t>
      </w:r>
      <w:r w:rsidR="00864B03">
        <w:t>concluded</w:t>
      </w:r>
      <w:r w:rsidR="00B96CC8">
        <w:t xml:space="preserve"> </w:t>
      </w:r>
      <w:r w:rsidR="00E67E91">
        <w:t xml:space="preserve">Royalty’s </w:t>
      </w:r>
      <w:r w:rsidR="00CF77F7">
        <w:t xml:space="preserve">on-premises </w:t>
      </w:r>
      <w:r w:rsidR="00613282">
        <w:t>meal policy</w:t>
      </w:r>
      <w:r w:rsidR="00CF77F7">
        <w:t xml:space="preserve"> was unlawful.  </w:t>
      </w:r>
      <w:r w:rsidR="00C8111C">
        <w:t xml:space="preserve">But it determined </w:t>
      </w:r>
      <w:r w:rsidR="00CE5712" w:rsidRPr="004C6151">
        <w:t xml:space="preserve">this claim was </w:t>
      </w:r>
      <w:r w:rsidR="006E4018" w:rsidRPr="004C6151">
        <w:t xml:space="preserve">first asserted in the TAC and did not relate back to any prior pleading. </w:t>
      </w:r>
      <w:r w:rsidR="007F0AD5" w:rsidRPr="004C6151">
        <w:t xml:space="preserve"> </w:t>
      </w:r>
      <w:r w:rsidR="006E4018" w:rsidRPr="004C6151">
        <w:t xml:space="preserve">As such, </w:t>
      </w:r>
      <w:r w:rsidR="00221339">
        <w:t xml:space="preserve">it found </w:t>
      </w:r>
      <w:r w:rsidR="006E4018" w:rsidRPr="004C6151">
        <w:t xml:space="preserve">the </w:t>
      </w:r>
      <w:r w:rsidR="00025930" w:rsidRPr="004C6151">
        <w:t xml:space="preserve">four-year </w:t>
      </w:r>
      <w:r w:rsidR="006E4018" w:rsidRPr="004C6151">
        <w:t xml:space="preserve">statute of limitations </w:t>
      </w:r>
      <w:r w:rsidR="00025930" w:rsidRPr="004C6151">
        <w:t xml:space="preserve">on this claim </w:t>
      </w:r>
      <w:r w:rsidR="00221339">
        <w:t xml:space="preserve">ran </w:t>
      </w:r>
      <w:r w:rsidR="00912BC6">
        <w:t xml:space="preserve">backwards </w:t>
      </w:r>
      <w:r w:rsidR="000662AB">
        <w:t xml:space="preserve">from the </w:t>
      </w:r>
      <w:r w:rsidR="000662AB" w:rsidRPr="0008254B">
        <w:t xml:space="preserve">filing </w:t>
      </w:r>
      <w:r w:rsidR="005209F0" w:rsidRPr="0008254B">
        <w:t xml:space="preserve">of the TAC, </w:t>
      </w:r>
      <w:r w:rsidR="00F80168" w:rsidRPr="0008254B">
        <w:t>restricting</w:t>
      </w:r>
      <w:r w:rsidR="0014202F" w:rsidRPr="0008254B">
        <w:t xml:space="preserve"> </w:t>
      </w:r>
      <w:r w:rsidR="006A6923" w:rsidRPr="0008254B">
        <w:t xml:space="preserve">the class </w:t>
      </w:r>
      <w:r w:rsidR="00226E13" w:rsidRPr="0008254B">
        <w:t xml:space="preserve">recovery for this claim </w:t>
      </w:r>
      <w:r w:rsidR="0014202F" w:rsidRPr="0008254B">
        <w:t>to</w:t>
      </w:r>
      <w:r w:rsidR="00226E13" w:rsidRPr="0008254B">
        <w:t xml:space="preserve"> violations occurring between</w:t>
      </w:r>
      <w:r w:rsidR="0014202F" w:rsidRPr="0008254B">
        <w:t xml:space="preserve"> </w:t>
      </w:r>
      <w:r w:rsidR="00781C3D" w:rsidRPr="0008254B">
        <w:t>November 17, 201</w:t>
      </w:r>
      <w:r w:rsidR="000E70E3" w:rsidRPr="0008254B">
        <w:t>2</w:t>
      </w:r>
      <w:r w:rsidR="00781C3D" w:rsidRPr="0008254B">
        <w:t xml:space="preserve"> </w:t>
      </w:r>
      <w:r w:rsidR="001A7C1B" w:rsidRPr="0008254B">
        <w:t xml:space="preserve">(four years from </w:t>
      </w:r>
      <w:r w:rsidR="00CF30C0" w:rsidRPr="0008254B">
        <w:t xml:space="preserve">the </w:t>
      </w:r>
      <w:r w:rsidR="007A5365" w:rsidRPr="0008254B">
        <w:t>filing date of the TAC)</w:t>
      </w:r>
      <w:r w:rsidR="00E746CF">
        <w:t>,</w:t>
      </w:r>
      <w:r w:rsidR="007A5365" w:rsidRPr="0008254B">
        <w:t xml:space="preserve"> </w:t>
      </w:r>
      <w:r w:rsidR="00781C3D" w:rsidRPr="0008254B">
        <w:t>to June 14, 2017</w:t>
      </w:r>
      <w:r w:rsidR="00243A87" w:rsidRPr="0008254B">
        <w:t xml:space="preserve"> (</w:t>
      </w:r>
      <w:r w:rsidR="007A5365" w:rsidRPr="0008254B">
        <w:t xml:space="preserve">the </w:t>
      </w:r>
      <w:r w:rsidR="007A5365" w:rsidRPr="0008254B">
        <w:lastRenderedPageBreak/>
        <w:t>date Royalty</w:t>
      </w:r>
      <w:r w:rsidR="007A5365">
        <w:t xml:space="preserve"> closed</w:t>
      </w:r>
      <w:r w:rsidR="00243A87">
        <w:t>)</w:t>
      </w:r>
      <w:r w:rsidR="004F261D">
        <w:t>.</w:t>
      </w:r>
      <w:r>
        <w:rPr>
          <w:rStyle w:val="FootnoteReference"/>
        </w:rPr>
        <w:footnoteReference w:id="5"/>
      </w:r>
      <w:r w:rsidR="004F261D">
        <w:t xml:space="preserve"> </w:t>
      </w:r>
      <w:r w:rsidR="00781C3D">
        <w:t xml:space="preserve"> </w:t>
      </w:r>
      <w:r>
        <w:t xml:space="preserve">Based on </w:t>
      </w:r>
      <w:r w:rsidR="00037C04">
        <w:t xml:space="preserve">these </w:t>
      </w:r>
      <w:r>
        <w:t>meal period violation</w:t>
      </w:r>
      <w:r w:rsidR="00037C04">
        <w:t>s</w:t>
      </w:r>
      <w:r>
        <w:t xml:space="preserve">, the court also found Royalty liable </w:t>
      </w:r>
      <w:r w:rsidR="0047270C">
        <w:t xml:space="preserve">to the Porterville class </w:t>
      </w:r>
      <w:r>
        <w:t xml:space="preserve">for </w:t>
      </w:r>
      <w:r w:rsidR="003E2244">
        <w:t xml:space="preserve">UCL violations </w:t>
      </w:r>
      <w:r w:rsidR="00CB3BC6">
        <w:t>(</w:t>
      </w:r>
      <w:r w:rsidR="003310F2">
        <w:t xml:space="preserve">seventh </w:t>
      </w:r>
      <w:r w:rsidR="00CB3BC6">
        <w:t>cause of action)</w:t>
      </w:r>
      <w:r>
        <w:t xml:space="preserve">.  </w:t>
      </w:r>
      <w:r w:rsidR="00FA7EE6">
        <w:t xml:space="preserve">For </w:t>
      </w:r>
      <w:r w:rsidR="00946FCE">
        <w:t>the</w:t>
      </w:r>
      <w:r w:rsidR="006F0F23">
        <w:t xml:space="preserve"> meal period and UCL </w:t>
      </w:r>
      <w:r>
        <w:t>claim</w:t>
      </w:r>
      <w:r w:rsidR="00946FCE">
        <w:t>s</w:t>
      </w:r>
      <w:r>
        <w:t>, the court awarded the Porterville class $555,752</w:t>
      </w:r>
      <w:r w:rsidR="00946FCE">
        <w:t>,</w:t>
      </w:r>
      <w:r>
        <w:t xml:space="preserve"> consisting of $436,963 in unpaid </w:t>
      </w:r>
      <w:r w:rsidR="006C3038">
        <w:t xml:space="preserve">premium </w:t>
      </w:r>
      <w:r w:rsidR="006949FF">
        <w:t xml:space="preserve">pay </w:t>
      </w:r>
      <w:r>
        <w:t>and $118,789 in</w:t>
      </w:r>
      <w:r>
        <w:t xml:space="preserve"> </w:t>
      </w:r>
      <w:r w:rsidR="00B34AEB">
        <w:t xml:space="preserve">prejudgment </w:t>
      </w:r>
      <w:r>
        <w:t>interest calculated at a rate of 7</w:t>
      </w:r>
      <w:r w:rsidR="00BA10B8">
        <w:t xml:space="preserve"> percent</w:t>
      </w:r>
      <w:r>
        <w:t xml:space="preserve"> per annum. </w:t>
      </w:r>
      <w:r w:rsidR="00515408">
        <w:t xml:space="preserve"> As </w:t>
      </w:r>
      <w:r w:rsidR="00E17C58">
        <w:t xml:space="preserve">explained </w:t>
      </w:r>
      <w:r w:rsidR="00515408">
        <w:t>above, no PAGA penalties</w:t>
      </w:r>
      <w:r w:rsidR="00A54B62">
        <w:t xml:space="preserve"> (sixth cause of </w:t>
      </w:r>
      <w:r w:rsidR="00744A8D">
        <w:t>action</w:t>
      </w:r>
      <w:r w:rsidR="00A54B62">
        <w:t>)</w:t>
      </w:r>
      <w:r w:rsidR="00515408">
        <w:t xml:space="preserve"> were awarded to the Porterville </w:t>
      </w:r>
      <w:r w:rsidR="00396AE7">
        <w:t xml:space="preserve">employees </w:t>
      </w:r>
      <w:r w:rsidR="00515408">
        <w:t xml:space="preserve">for meal period violations because plaintiffs failed to exhaust </w:t>
      </w:r>
      <w:r w:rsidR="004E3B16">
        <w:t xml:space="preserve">their </w:t>
      </w:r>
      <w:r w:rsidR="00515408">
        <w:t>administrative remedies.</w:t>
      </w:r>
    </w:p>
    <w:p w14:paraId="2F574093" w14:textId="471ABBFD" w:rsidR="004F265F" w:rsidRPr="00AE7913" w:rsidRDefault="00432A9A" w:rsidP="00AE7913">
      <w:pPr>
        <w:tabs>
          <w:tab w:val="left" w:pos="1440"/>
          <w:tab w:val="left" w:pos="2880"/>
          <w:tab w:val="left" w:pos="4320"/>
          <w:tab w:val="left" w:pos="5760"/>
          <w:tab w:val="left" w:pos="7200"/>
          <w:tab w:val="left" w:pos="8640"/>
        </w:tabs>
        <w:spacing w:line="480" w:lineRule="atLeast"/>
      </w:pPr>
      <w:r>
        <w:tab/>
      </w:r>
      <w:r w:rsidR="00F35A1A">
        <w:t xml:space="preserve">The court </w:t>
      </w:r>
      <w:r w:rsidR="00FE0310">
        <w:t xml:space="preserve">also </w:t>
      </w:r>
      <w:r w:rsidR="00F35A1A">
        <w:t>confirmed its prior rulings granting Royalty’s mid-trial motion</w:t>
      </w:r>
      <w:r w:rsidR="00FB32AB">
        <w:t>s</w:t>
      </w:r>
      <w:r w:rsidR="00F35A1A">
        <w:t xml:space="preserve"> to decertify the rest break subclasses (second cause of action) and </w:t>
      </w:r>
      <w:r w:rsidR="00FB32AB">
        <w:t xml:space="preserve">for </w:t>
      </w:r>
      <w:r w:rsidR="00F35A1A">
        <w:t xml:space="preserve">judgment on </w:t>
      </w:r>
      <w:r w:rsidR="00B4270E">
        <w:t>plaintiffs’</w:t>
      </w:r>
      <w:r w:rsidR="00F35A1A">
        <w:t xml:space="preserve"> third cause of action for wage statement penalties and fourth cause of action </w:t>
      </w:r>
      <w:r w:rsidR="00CA7FF1">
        <w:t>f</w:t>
      </w:r>
      <w:r w:rsidR="00F35A1A">
        <w:t xml:space="preserve">or waiting time penalties. </w:t>
      </w:r>
      <w:r w:rsidR="00FE0310">
        <w:t xml:space="preserve"> </w:t>
      </w:r>
      <w:r w:rsidR="00F35A1A">
        <w:t>Finally, a</w:t>
      </w:r>
      <w:r w:rsidR="00C27EF7">
        <w:t xml:space="preserve">s to the </w:t>
      </w:r>
      <w:r w:rsidR="003C4D31">
        <w:t xml:space="preserve">eighth cause of action concerning the </w:t>
      </w:r>
      <w:r w:rsidR="006E7BB1">
        <w:t xml:space="preserve">validity of the </w:t>
      </w:r>
      <w:r w:rsidR="00AE7913">
        <w:t>releases</w:t>
      </w:r>
      <w:r w:rsidR="00C27EF7">
        <w:t xml:space="preserve">, </w:t>
      </w:r>
      <w:r w:rsidR="00F34CC2">
        <w:t xml:space="preserve">the court found </w:t>
      </w:r>
      <w:r w:rsidR="00F35A1A">
        <w:t xml:space="preserve">this </w:t>
      </w:r>
      <w:r w:rsidR="00C27EF7">
        <w:t>issue was only relevant to the Porterville class</w:t>
      </w:r>
      <w:r w:rsidR="00E252DE">
        <w:t>’s meal period claims</w:t>
      </w:r>
      <w:r w:rsidR="00A24F74">
        <w:t xml:space="preserve"> since </w:t>
      </w:r>
      <w:r w:rsidR="00C27EF7">
        <w:t xml:space="preserve">the Dyer/Derian class </w:t>
      </w:r>
      <w:r w:rsidR="00F34CC2">
        <w:t xml:space="preserve">had been </w:t>
      </w:r>
      <w:r w:rsidR="00C27EF7">
        <w:t>decertified</w:t>
      </w:r>
      <w:r w:rsidR="00E252DE">
        <w:t xml:space="preserve"> and it had found no liability on the rest break claims</w:t>
      </w:r>
      <w:r w:rsidR="00C27EF7">
        <w:t>.</w:t>
      </w:r>
      <w:r w:rsidR="00FE252E">
        <w:t xml:space="preserve"> </w:t>
      </w:r>
      <w:r w:rsidR="00C27EF7">
        <w:t xml:space="preserve"> The court ruled the</w:t>
      </w:r>
      <w:r w:rsidR="00DF649A">
        <w:t>se</w:t>
      </w:r>
      <w:r w:rsidR="00C27EF7">
        <w:t xml:space="preserve"> releases were valid</w:t>
      </w:r>
      <w:r w:rsidR="00810335">
        <w:t xml:space="preserve"> because there was a </w:t>
      </w:r>
      <w:r w:rsidR="00613BCA">
        <w:t xml:space="preserve">bona fide </w:t>
      </w:r>
      <w:r w:rsidR="00810335">
        <w:t xml:space="preserve">dispute </w:t>
      </w:r>
      <w:r w:rsidR="000F3155">
        <w:t xml:space="preserve">as to </w:t>
      </w:r>
      <w:r w:rsidR="00810335">
        <w:t xml:space="preserve">whether </w:t>
      </w:r>
      <w:r w:rsidR="00255F85">
        <w:t xml:space="preserve">Royalty owed the Porterville </w:t>
      </w:r>
      <w:r w:rsidR="008D483A">
        <w:t xml:space="preserve">class </w:t>
      </w:r>
      <w:r w:rsidR="00003B19">
        <w:t xml:space="preserve">any </w:t>
      </w:r>
      <w:r w:rsidR="00694CE6">
        <w:t xml:space="preserve">premium pay </w:t>
      </w:r>
      <w:r w:rsidR="008D483A">
        <w:t>for meal period violations</w:t>
      </w:r>
      <w:r w:rsidR="00810335">
        <w:t>.</w:t>
      </w:r>
    </w:p>
    <w:p w14:paraId="134FFCE2" w14:textId="31289F77" w:rsidR="009F71C9" w:rsidRPr="00BA10B8" w:rsidRDefault="00432A9A" w:rsidP="00BA10B8">
      <w:pPr>
        <w:pStyle w:val="ListParagraph"/>
        <w:keepNext/>
        <w:tabs>
          <w:tab w:val="left" w:pos="1440"/>
          <w:tab w:val="left" w:pos="2880"/>
          <w:tab w:val="left" w:pos="4320"/>
          <w:tab w:val="left" w:pos="5760"/>
          <w:tab w:val="left" w:pos="7200"/>
          <w:tab w:val="left" w:pos="8640"/>
        </w:tabs>
        <w:spacing w:before="240" w:line="480" w:lineRule="atLeast"/>
        <w:ind w:left="1440"/>
        <w:rPr>
          <w:i/>
          <w:iCs/>
        </w:rPr>
      </w:pPr>
      <w:r>
        <w:rPr>
          <w:i/>
          <w:iCs/>
        </w:rPr>
        <w:t xml:space="preserve">2.  </w:t>
      </w:r>
      <w:r w:rsidRPr="00BA10B8">
        <w:rPr>
          <w:i/>
          <w:iCs/>
        </w:rPr>
        <w:t xml:space="preserve">Individual </w:t>
      </w:r>
      <w:r w:rsidR="00D27F52">
        <w:rPr>
          <w:i/>
          <w:iCs/>
        </w:rPr>
        <w:t>c</w:t>
      </w:r>
      <w:r w:rsidRPr="00BA10B8">
        <w:rPr>
          <w:i/>
          <w:iCs/>
        </w:rPr>
        <w:t>laims</w:t>
      </w:r>
    </w:p>
    <w:p w14:paraId="1F2A6B6A" w14:textId="5F895F70" w:rsidR="009F71C9" w:rsidRDefault="00432A9A" w:rsidP="00DE30DB">
      <w:pPr>
        <w:tabs>
          <w:tab w:val="left" w:pos="1440"/>
          <w:tab w:val="left" w:pos="2880"/>
          <w:tab w:val="left" w:pos="4320"/>
          <w:tab w:val="left" w:pos="5760"/>
          <w:tab w:val="left" w:pos="7200"/>
          <w:tab w:val="left" w:pos="8640"/>
        </w:tabs>
        <w:spacing w:line="480" w:lineRule="atLeast"/>
      </w:pPr>
      <w:r>
        <w:tab/>
      </w:r>
      <w:r w:rsidR="00441633">
        <w:t xml:space="preserve">Since </w:t>
      </w:r>
      <w:r w:rsidR="00BA10B8">
        <w:t xml:space="preserve">the trial court </w:t>
      </w:r>
      <w:r w:rsidR="009F469B">
        <w:t xml:space="preserve">decertified the </w:t>
      </w:r>
      <w:r w:rsidR="00441633">
        <w:t>Dyer/Derian</w:t>
      </w:r>
      <w:r w:rsidR="00220CB5">
        <w:t xml:space="preserve"> meal period sub</w:t>
      </w:r>
      <w:r w:rsidR="00441633">
        <w:t xml:space="preserve">class, </w:t>
      </w:r>
      <w:r w:rsidR="00BA10B8">
        <w:t xml:space="preserve">it </w:t>
      </w:r>
      <w:r w:rsidR="00BE4A1E">
        <w:t xml:space="preserve">granted </w:t>
      </w:r>
      <w:r w:rsidR="005A76E1">
        <w:t xml:space="preserve">judgment </w:t>
      </w:r>
      <w:r w:rsidR="00D60EBB">
        <w:t xml:space="preserve">to </w:t>
      </w:r>
      <w:r w:rsidR="00954011">
        <w:t xml:space="preserve">four of the </w:t>
      </w:r>
      <w:r w:rsidR="00AA3A48">
        <w:t xml:space="preserve">named </w:t>
      </w:r>
      <w:r w:rsidR="00482C64">
        <w:t>Dyer/Derian</w:t>
      </w:r>
      <w:r w:rsidR="00AA3A48">
        <w:t xml:space="preserve"> </w:t>
      </w:r>
      <w:r w:rsidR="003346C2">
        <w:t>plaintiffs</w:t>
      </w:r>
      <w:r w:rsidR="00D60EBB">
        <w:t xml:space="preserve"> on their individual meal period claims</w:t>
      </w:r>
      <w:r w:rsidR="00860023">
        <w:t xml:space="preserve"> </w:t>
      </w:r>
      <w:r w:rsidR="009D08F4">
        <w:t xml:space="preserve">and </w:t>
      </w:r>
      <w:r w:rsidR="00E33EAD">
        <w:t>derivative UCL claims</w:t>
      </w:r>
      <w:r>
        <w:t>.</w:t>
      </w:r>
      <w:r>
        <w:rPr>
          <w:rStyle w:val="FootnoteReference"/>
        </w:rPr>
        <w:footnoteReference w:id="6"/>
      </w:r>
      <w:r>
        <w:t xml:space="preserve">  </w:t>
      </w:r>
      <w:r w:rsidR="000150AD">
        <w:t>T</w:t>
      </w:r>
      <w:r w:rsidR="002834DA">
        <w:t xml:space="preserve">hough the court </w:t>
      </w:r>
      <w:r w:rsidR="0078289A">
        <w:t xml:space="preserve">dismissed </w:t>
      </w:r>
      <w:r w:rsidR="009E5469">
        <w:t>the</w:t>
      </w:r>
      <w:r w:rsidR="004F1CC9">
        <w:t>ir</w:t>
      </w:r>
      <w:r w:rsidR="009E5469">
        <w:t xml:space="preserve"> </w:t>
      </w:r>
      <w:r w:rsidR="002834DA">
        <w:lastRenderedPageBreak/>
        <w:t>representative PAGA claims</w:t>
      </w:r>
      <w:r w:rsidR="000D3ECB">
        <w:t xml:space="preserve"> based on </w:t>
      </w:r>
      <w:r w:rsidR="000150AD">
        <w:t>unmanageability</w:t>
      </w:r>
      <w:r w:rsidR="002834DA">
        <w:t xml:space="preserve">, it found the </w:t>
      </w:r>
      <w:r w:rsidR="004F1CC9">
        <w:t xml:space="preserve">named </w:t>
      </w:r>
      <w:r w:rsidR="00482C64">
        <w:t>Dyer/Derian</w:t>
      </w:r>
      <w:r w:rsidR="004F1CC9">
        <w:t xml:space="preserve"> </w:t>
      </w:r>
      <w:r w:rsidR="00E304B0">
        <w:t xml:space="preserve">plaintiffs had established individual PAGA </w:t>
      </w:r>
      <w:r w:rsidR="00BD2512">
        <w:t xml:space="preserve">violations and awarded </w:t>
      </w:r>
      <w:r w:rsidR="000A5A6A">
        <w:t xml:space="preserve">each of </w:t>
      </w:r>
      <w:r w:rsidR="00BD2512">
        <w:t xml:space="preserve">them </w:t>
      </w:r>
      <w:r w:rsidR="004E5278">
        <w:t xml:space="preserve">PAGA </w:t>
      </w:r>
      <w:r w:rsidR="00BD2512">
        <w:t>penalties.</w:t>
      </w:r>
      <w:r w:rsidR="009D12D1">
        <w:t xml:space="preserve">  </w:t>
      </w:r>
      <w:r w:rsidR="007F0971">
        <w:t>T</w:t>
      </w:r>
      <w:r w:rsidR="009C7448">
        <w:t xml:space="preserve">hese </w:t>
      </w:r>
      <w:r w:rsidR="009579B8">
        <w:t xml:space="preserve">four </w:t>
      </w:r>
      <w:r w:rsidR="00B55E6C">
        <w:t xml:space="preserve">named </w:t>
      </w:r>
      <w:r w:rsidR="009C7448">
        <w:t xml:space="preserve">plaintiffs </w:t>
      </w:r>
      <w:r w:rsidR="007F0971">
        <w:t xml:space="preserve">were awarded </w:t>
      </w:r>
      <w:r w:rsidR="00EE0C78">
        <w:t xml:space="preserve">amounts </w:t>
      </w:r>
      <w:r w:rsidR="009D12D1">
        <w:t xml:space="preserve">ranging from </w:t>
      </w:r>
      <w:r w:rsidR="00EE0C78">
        <w:t>$</w:t>
      </w:r>
      <w:r w:rsidR="00021AA3">
        <w:t>9</w:t>
      </w:r>
      <w:r w:rsidR="00EE0C78">
        <w:t>,</w:t>
      </w:r>
      <w:r w:rsidR="00021AA3">
        <w:t>516</w:t>
      </w:r>
      <w:r w:rsidR="00EE0C78">
        <w:t>.</w:t>
      </w:r>
      <w:r w:rsidR="00021AA3">
        <w:t>01</w:t>
      </w:r>
      <w:r w:rsidR="00EE0C78">
        <w:t xml:space="preserve"> to</w:t>
      </w:r>
      <w:r w:rsidR="00021AA3">
        <w:t xml:space="preserve"> $27,047.84</w:t>
      </w:r>
      <w:r w:rsidR="006E79CC">
        <w:t>,</w:t>
      </w:r>
      <w:r w:rsidR="00AD1B33">
        <w:t xml:space="preserve"> </w:t>
      </w:r>
      <w:r w:rsidR="006E79CC">
        <w:t xml:space="preserve">consisting of </w:t>
      </w:r>
      <w:r w:rsidR="004A23E7">
        <w:t>unpaid premium pay, prejudgment interest at a rate of 7</w:t>
      </w:r>
      <w:r w:rsidR="00BA10B8">
        <w:t xml:space="preserve"> percent</w:t>
      </w:r>
      <w:r w:rsidR="004A23E7">
        <w:t xml:space="preserve">, </w:t>
      </w:r>
      <w:r w:rsidR="00625268">
        <w:t xml:space="preserve">and </w:t>
      </w:r>
      <w:r w:rsidR="00754017">
        <w:t xml:space="preserve">individual </w:t>
      </w:r>
      <w:r w:rsidR="00AD1B33">
        <w:t xml:space="preserve">PAGA </w:t>
      </w:r>
      <w:r w:rsidR="004A23E7">
        <w:t>penalties</w:t>
      </w:r>
      <w:r w:rsidR="00346270">
        <w:t>.</w:t>
      </w:r>
    </w:p>
    <w:p w14:paraId="108454BA" w14:textId="53DB80CA" w:rsidR="00BA10B8" w:rsidRDefault="00432A9A" w:rsidP="00BA10B8">
      <w:pPr>
        <w:tabs>
          <w:tab w:val="left" w:pos="1440"/>
          <w:tab w:val="left" w:pos="2880"/>
          <w:tab w:val="left" w:pos="4320"/>
          <w:tab w:val="left" w:pos="5760"/>
          <w:tab w:val="left" w:pos="7200"/>
          <w:tab w:val="left" w:pos="8640"/>
        </w:tabs>
        <w:spacing w:line="480" w:lineRule="atLeast"/>
      </w:pPr>
      <w:r>
        <w:tab/>
      </w:r>
      <w:r w:rsidR="007B42B1">
        <w:t>The court entered j</w:t>
      </w:r>
      <w:r w:rsidR="003C159A">
        <w:t xml:space="preserve">udgment on </w:t>
      </w:r>
      <w:r w:rsidR="000A4DC5">
        <w:t xml:space="preserve">January 16, 2020.  </w:t>
      </w:r>
      <w:r w:rsidR="00B040F9">
        <w:t xml:space="preserve">Both sides </w:t>
      </w:r>
      <w:r w:rsidR="00A209A8">
        <w:t xml:space="preserve">now </w:t>
      </w:r>
      <w:r w:rsidR="00B040F9">
        <w:t>appeal</w:t>
      </w:r>
      <w:r w:rsidR="00483A62">
        <w:t xml:space="preserve"> the </w:t>
      </w:r>
      <w:r w:rsidR="00300666">
        <w:t>judgment</w:t>
      </w:r>
      <w:r w:rsidR="002652D8">
        <w:t>, and plaintiffs also appeal</w:t>
      </w:r>
      <w:r w:rsidR="00300666">
        <w:t xml:space="preserve"> the </w:t>
      </w:r>
      <w:r w:rsidR="00483A62">
        <w:t xml:space="preserve">court’s order decertifying the Dyer/Derian </w:t>
      </w:r>
      <w:r w:rsidR="00300666">
        <w:t>meal period sub</w:t>
      </w:r>
      <w:r w:rsidR="00483A62">
        <w:t>class</w:t>
      </w:r>
      <w:r w:rsidR="00FD23BC">
        <w:t xml:space="preserve"> and dismissing the related Dyer/Derian PAGA claim as unmanageable</w:t>
      </w:r>
      <w:r w:rsidR="00B23C54">
        <w:t>.</w:t>
      </w:r>
    </w:p>
    <w:p w14:paraId="26E8AFDC" w14:textId="77777777" w:rsidR="00BA10B8" w:rsidRDefault="00BA10B8" w:rsidP="00BA10B8">
      <w:pPr>
        <w:tabs>
          <w:tab w:val="left" w:pos="1440"/>
          <w:tab w:val="left" w:pos="2880"/>
          <w:tab w:val="left" w:pos="4320"/>
          <w:tab w:val="left" w:pos="5760"/>
          <w:tab w:val="left" w:pos="7200"/>
          <w:tab w:val="left" w:pos="8640"/>
        </w:tabs>
        <w:spacing w:line="480" w:lineRule="atLeast"/>
      </w:pPr>
    </w:p>
    <w:p w14:paraId="774FABC0" w14:textId="6EECE118" w:rsidR="008C5390" w:rsidRDefault="00432A9A" w:rsidP="00BA10B8">
      <w:pPr>
        <w:tabs>
          <w:tab w:val="left" w:pos="1440"/>
          <w:tab w:val="left" w:pos="2880"/>
          <w:tab w:val="left" w:pos="4320"/>
          <w:tab w:val="left" w:pos="5760"/>
          <w:tab w:val="left" w:pos="7200"/>
          <w:tab w:val="left" w:pos="8640"/>
        </w:tabs>
        <w:spacing w:line="480" w:lineRule="atLeast"/>
        <w:jc w:val="center"/>
      </w:pPr>
      <w:r>
        <w:t>II</w:t>
      </w:r>
    </w:p>
    <w:p w14:paraId="75A9C55C" w14:textId="3FB3128D" w:rsidR="0067526C" w:rsidRDefault="00432A9A" w:rsidP="003A3005">
      <w:pPr>
        <w:tabs>
          <w:tab w:val="left" w:pos="1440"/>
          <w:tab w:val="left" w:pos="2880"/>
          <w:tab w:val="left" w:pos="4320"/>
          <w:tab w:val="left" w:pos="5760"/>
          <w:tab w:val="left" w:pos="7200"/>
          <w:tab w:val="left" w:pos="8640"/>
        </w:tabs>
        <w:spacing w:line="480" w:lineRule="atLeast"/>
        <w:jc w:val="center"/>
      </w:pPr>
      <w:r>
        <w:t>DISCUSSION</w:t>
      </w:r>
    </w:p>
    <w:p w14:paraId="52315A1E" w14:textId="4EBC538C" w:rsidR="008718A2" w:rsidRDefault="00432A9A" w:rsidP="0067526C">
      <w:pPr>
        <w:tabs>
          <w:tab w:val="left" w:pos="1440"/>
          <w:tab w:val="left" w:pos="2880"/>
          <w:tab w:val="left" w:pos="4320"/>
          <w:tab w:val="left" w:pos="5760"/>
          <w:tab w:val="left" w:pos="7200"/>
          <w:tab w:val="left" w:pos="8640"/>
        </w:tabs>
        <w:spacing w:line="480" w:lineRule="atLeast"/>
      </w:pPr>
      <w:r>
        <w:tab/>
      </w:r>
      <w:r>
        <w:t xml:space="preserve">Plaintiffs </w:t>
      </w:r>
      <w:r w:rsidR="00F87FF2">
        <w:t xml:space="preserve">assert </w:t>
      </w:r>
      <w:r w:rsidR="004C21CA">
        <w:t xml:space="preserve">several </w:t>
      </w:r>
      <w:r w:rsidR="00F87FF2">
        <w:t xml:space="preserve">errors </w:t>
      </w:r>
      <w:r w:rsidR="004C21CA">
        <w:t>on appeal</w:t>
      </w:r>
      <w:r>
        <w:t xml:space="preserve">.  First, </w:t>
      </w:r>
      <w:r w:rsidR="00265173">
        <w:t xml:space="preserve">the court </w:t>
      </w:r>
      <w:r w:rsidR="004918DA">
        <w:t xml:space="preserve">erroneously </w:t>
      </w:r>
      <w:r w:rsidR="00010142">
        <w:t xml:space="preserve">ruled </w:t>
      </w:r>
      <w:r>
        <w:t xml:space="preserve">the </w:t>
      </w:r>
      <w:r w:rsidR="00E750A8">
        <w:t xml:space="preserve">releases </w:t>
      </w:r>
      <w:r w:rsidR="00010142">
        <w:t>were valid</w:t>
      </w:r>
      <w:r>
        <w:t xml:space="preserve">.  Second, the court improperly failed to </w:t>
      </w:r>
      <w:r w:rsidR="00C40E03">
        <w:t xml:space="preserve">apply </w:t>
      </w:r>
      <w:r>
        <w:t xml:space="preserve">the relation back doctrine to the statute of limitations for the Porterville class’s meal period claims. </w:t>
      </w:r>
      <w:r>
        <w:t xml:space="preserve"> Third, the court’s decision to decertify the Dyer/Derian meal period subclass was </w:t>
      </w:r>
      <w:r w:rsidR="00F1060B">
        <w:t>incorrect</w:t>
      </w:r>
      <w:r>
        <w:t>.  Fourth, the court should have applied a prejudgment interest rate of 10</w:t>
      </w:r>
      <w:r w:rsidR="00BA10B8">
        <w:t xml:space="preserve"> percent</w:t>
      </w:r>
      <w:r>
        <w:t xml:space="preserve"> rather than 7</w:t>
      </w:r>
      <w:r w:rsidR="00BA10B8">
        <w:t xml:space="preserve"> percent</w:t>
      </w:r>
      <w:r>
        <w:t xml:space="preserve"> to the unpaid premium pay awarded.  </w:t>
      </w:r>
      <w:r w:rsidR="00F345F2">
        <w:t>Fifth</w:t>
      </w:r>
      <w:r>
        <w:t xml:space="preserve">, the court erred </w:t>
      </w:r>
      <w:r>
        <w:t xml:space="preserve">by failing to award the Porterville class waiting time and wage statement penalties.  </w:t>
      </w:r>
      <w:r w:rsidR="00F345F2">
        <w:t>Sixth</w:t>
      </w:r>
      <w:r>
        <w:t xml:space="preserve">, the court </w:t>
      </w:r>
      <w:r w:rsidR="00A032A2">
        <w:t xml:space="preserve">wrongly </w:t>
      </w:r>
      <w:r>
        <w:t xml:space="preserve">dismissed </w:t>
      </w:r>
      <w:r w:rsidR="00DA47C3">
        <w:t xml:space="preserve">as unmanageable </w:t>
      </w:r>
      <w:r>
        <w:t xml:space="preserve">the </w:t>
      </w:r>
      <w:r w:rsidR="00482C64">
        <w:t>Dyer/Derian</w:t>
      </w:r>
      <w:r>
        <w:t xml:space="preserve"> plaintiffs</w:t>
      </w:r>
      <w:r w:rsidR="00D875AC">
        <w:t>’</w:t>
      </w:r>
      <w:r>
        <w:t xml:space="preserve"> PAGA </w:t>
      </w:r>
      <w:r w:rsidR="0074482B">
        <w:t xml:space="preserve">claim </w:t>
      </w:r>
      <w:r w:rsidR="00FB12BC">
        <w:t xml:space="preserve">that was </w:t>
      </w:r>
      <w:r w:rsidR="00276D6A">
        <w:t xml:space="preserve">based on </w:t>
      </w:r>
      <w:r>
        <w:t xml:space="preserve">meal period </w:t>
      </w:r>
      <w:r w:rsidR="00276D6A">
        <w:t>violations</w:t>
      </w:r>
      <w:r>
        <w:t>.</w:t>
      </w:r>
    </w:p>
    <w:p w14:paraId="4C9EFC12" w14:textId="4591E23D" w:rsidR="00814932" w:rsidRDefault="00432A9A" w:rsidP="0067526C">
      <w:pPr>
        <w:tabs>
          <w:tab w:val="left" w:pos="1440"/>
          <w:tab w:val="left" w:pos="2880"/>
          <w:tab w:val="left" w:pos="4320"/>
          <w:tab w:val="left" w:pos="5760"/>
          <w:tab w:val="left" w:pos="7200"/>
          <w:tab w:val="left" w:pos="8640"/>
        </w:tabs>
        <w:spacing w:line="480" w:lineRule="atLeast"/>
      </w:pPr>
      <w:r>
        <w:tab/>
        <w:t>Royalty</w:t>
      </w:r>
      <w:r w:rsidR="000612E5">
        <w:t xml:space="preserve"> </w:t>
      </w:r>
      <w:r w:rsidR="00DB331E">
        <w:t xml:space="preserve">makes </w:t>
      </w:r>
      <w:r w:rsidR="00C17B0C">
        <w:t xml:space="preserve">two </w:t>
      </w:r>
      <w:r w:rsidR="00DB331E">
        <w:t>arguments in its cross-appeal</w:t>
      </w:r>
      <w:r>
        <w:t>.  First, it contends Porterville</w:t>
      </w:r>
      <w:r w:rsidR="002E47BA">
        <w:t>’s</w:t>
      </w:r>
      <w:r>
        <w:t xml:space="preserve"> </w:t>
      </w:r>
      <w:r w:rsidR="007E5EC8">
        <w:t xml:space="preserve">on-premises meal policy is lawful, and, </w:t>
      </w:r>
      <w:r w:rsidR="00B60B67">
        <w:t>therefore</w:t>
      </w:r>
      <w:r w:rsidR="007E5EC8">
        <w:t xml:space="preserve">, the Porterville </w:t>
      </w:r>
      <w:r>
        <w:t xml:space="preserve">class is not owed any premium pay </w:t>
      </w:r>
      <w:r w:rsidR="003D6D63">
        <w:t xml:space="preserve">for meal period violations.  </w:t>
      </w:r>
      <w:r>
        <w:t xml:space="preserve">Second, </w:t>
      </w:r>
      <w:r w:rsidR="00E35B16">
        <w:t xml:space="preserve">it claims </w:t>
      </w:r>
      <w:r>
        <w:t xml:space="preserve">the court erred in awarding </w:t>
      </w:r>
      <w:r w:rsidR="00351226">
        <w:t xml:space="preserve">PAGA penalties to </w:t>
      </w:r>
      <w:r>
        <w:t xml:space="preserve">individual plaintiffs because </w:t>
      </w:r>
      <w:r w:rsidR="00BE463C">
        <w:t xml:space="preserve">PAGA claims </w:t>
      </w:r>
      <w:r>
        <w:t xml:space="preserve">can only be brought in a representative capacity.  </w:t>
      </w:r>
      <w:r w:rsidR="00EA116D">
        <w:t>T</w:t>
      </w:r>
      <w:r w:rsidR="007C1616">
        <w:t>he issue</w:t>
      </w:r>
      <w:r w:rsidR="009207A0">
        <w:t>s</w:t>
      </w:r>
      <w:r w:rsidR="007C1616">
        <w:t xml:space="preserve"> raised by Royalty</w:t>
      </w:r>
      <w:r w:rsidR="00B93523">
        <w:t xml:space="preserve"> </w:t>
      </w:r>
      <w:r w:rsidR="00EA116D">
        <w:t xml:space="preserve">all </w:t>
      </w:r>
      <w:r w:rsidR="007C1616">
        <w:t xml:space="preserve">overlap with </w:t>
      </w:r>
      <w:r w:rsidR="007E2D96">
        <w:lastRenderedPageBreak/>
        <w:t xml:space="preserve">various </w:t>
      </w:r>
      <w:r w:rsidR="0078156F">
        <w:t>issues raised by plaintiffs</w:t>
      </w:r>
      <w:r w:rsidR="0006743D">
        <w:t xml:space="preserve">.  </w:t>
      </w:r>
      <w:r w:rsidR="00450628">
        <w:t xml:space="preserve">We </w:t>
      </w:r>
      <w:r w:rsidR="0006743D">
        <w:t xml:space="preserve">begin our analysis </w:t>
      </w:r>
      <w:r w:rsidR="004B00A1">
        <w:t xml:space="preserve">with </w:t>
      </w:r>
      <w:r w:rsidR="0006743D">
        <w:t xml:space="preserve">these </w:t>
      </w:r>
      <w:r w:rsidR="004B00A1">
        <w:t xml:space="preserve">overlapping </w:t>
      </w:r>
      <w:r w:rsidR="0006743D">
        <w:t xml:space="preserve">issues </w:t>
      </w:r>
      <w:r w:rsidR="004B00A1">
        <w:t xml:space="preserve">and </w:t>
      </w:r>
      <w:r w:rsidR="0006743D">
        <w:t xml:space="preserve">then address </w:t>
      </w:r>
      <w:r w:rsidR="004B00A1">
        <w:t xml:space="preserve">plaintiffs’ </w:t>
      </w:r>
      <w:r w:rsidR="0006743D">
        <w:t>remaining arguments.</w:t>
      </w:r>
    </w:p>
    <w:p w14:paraId="5717C965" w14:textId="29EE4979" w:rsidR="0078156F" w:rsidRPr="008718A2" w:rsidRDefault="00432A9A" w:rsidP="0067526C">
      <w:pPr>
        <w:tabs>
          <w:tab w:val="left" w:pos="1440"/>
          <w:tab w:val="left" w:pos="2880"/>
          <w:tab w:val="left" w:pos="4320"/>
          <w:tab w:val="left" w:pos="5760"/>
          <w:tab w:val="left" w:pos="7200"/>
          <w:tab w:val="left" w:pos="8640"/>
        </w:tabs>
        <w:spacing w:line="480" w:lineRule="atLeast"/>
      </w:pPr>
      <w:r>
        <w:tab/>
      </w:r>
      <w:r w:rsidR="00AF3018">
        <w:t xml:space="preserve">In short, </w:t>
      </w:r>
      <w:r w:rsidR="00E22F9D">
        <w:t xml:space="preserve">we agree with plaintiffs’ </w:t>
      </w:r>
      <w:r w:rsidR="003A0876">
        <w:t>contention</w:t>
      </w:r>
      <w:r w:rsidR="00AE0D26">
        <w:t>s</w:t>
      </w:r>
      <w:r w:rsidR="003A0876">
        <w:t xml:space="preserve"> </w:t>
      </w:r>
      <w:r w:rsidR="00E22F9D">
        <w:t xml:space="preserve">that the </w:t>
      </w:r>
      <w:r w:rsidR="00E64827">
        <w:t xml:space="preserve">trial </w:t>
      </w:r>
      <w:r w:rsidR="00E22F9D">
        <w:t xml:space="preserve">court </w:t>
      </w:r>
      <w:r w:rsidR="00DC672A">
        <w:t xml:space="preserve">should have applied </w:t>
      </w:r>
      <w:r w:rsidR="00E22F9D">
        <w:t>the relation back doctrine</w:t>
      </w:r>
      <w:r w:rsidR="00AE0D26">
        <w:t xml:space="preserve">, erred in </w:t>
      </w:r>
      <w:r w:rsidR="003C0313">
        <w:t xml:space="preserve">decertifying the Dyer/Derian meal period subclass, and wrongly dismissed </w:t>
      </w:r>
      <w:r w:rsidR="004A410C">
        <w:t xml:space="preserve">as unmanageable </w:t>
      </w:r>
      <w:r w:rsidR="003C0313">
        <w:t xml:space="preserve">the </w:t>
      </w:r>
      <w:r w:rsidR="004A410C">
        <w:t xml:space="preserve">portion of the </w:t>
      </w:r>
      <w:r w:rsidR="00477C8B">
        <w:t xml:space="preserve">Dyer/Derian </w:t>
      </w:r>
      <w:r w:rsidR="003C0313">
        <w:t xml:space="preserve">PAGA claim </w:t>
      </w:r>
      <w:r w:rsidR="004A410C">
        <w:t xml:space="preserve">based on </w:t>
      </w:r>
      <w:r w:rsidR="00477C8B">
        <w:t>meal period violations</w:t>
      </w:r>
      <w:r w:rsidR="003C0313">
        <w:t xml:space="preserve">.  </w:t>
      </w:r>
      <w:r w:rsidR="00E66660">
        <w:t xml:space="preserve">As to the </w:t>
      </w:r>
      <w:r w:rsidR="00993300">
        <w:t>remaining</w:t>
      </w:r>
      <w:r w:rsidR="00E66660">
        <w:t xml:space="preserve"> arguments, we either </w:t>
      </w:r>
      <w:r w:rsidR="002A52E5">
        <w:t xml:space="preserve">disagree </w:t>
      </w:r>
      <w:r w:rsidR="00E66660">
        <w:t xml:space="preserve">with them or </w:t>
      </w:r>
      <w:r w:rsidR="00D63E64">
        <w:t xml:space="preserve">find they no longer need to be </w:t>
      </w:r>
      <w:r w:rsidR="005208C1">
        <w:t>address</w:t>
      </w:r>
      <w:r w:rsidR="00D63E64">
        <w:t>ed</w:t>
      </w:r>
      <w:r w:rsidR="005208C1">
        <w:t xml:space="preserve"> </w:t>
      </w:r>
      <w:r w:rsidR="00F95DBE">
        <w:t xml:space="preserve">based on </w:t>
      </w:r>
      <w:r w:rsidR="002A65F1">
        <w:t>our other rulings</w:t>
      </w:r>
      <w:r w:rsidR="002A52E5">
        <w:t>.</w:t>
      </w:r>
    </w:p>
    <w:p w14:paraId="0CA08C38" w14:textId="58FF4F67" w:rsidR="00F208DD" w:rsidRPr="00BA10B8" w:rsidRDefault="00432A9A" w:rsidP="00BA10B8">
      <w:pPr>
        <w:pStyle w:val="ListParagraph"/>
        <w:keepNext/>
        <w:tabs>
          <w:tab w:val="left" w:pos="1440"/>
          <w:tab w:val="left" w:pos="2880"/>
          <w:tab w:val="left" w:pos="4320"/>
          <w:tab w:val="left" w:pos="5760"/>
          <w:tab w:val="left" w:pos="7200"/>
          <w:tab w:val="left" w:pos="8640"/>
        </w:tabs>
        <w:spacing w:before="360" w:line="480" w:lineRule="atLeast"/>
        <w:ind w:hanging="720"/>
        <w:rPr>
          <w:i/>
          <w:iCs/>
        </w:rPr>
      </w:pPr>
      <w:r>
        <w:rPr>
          <w:i/>
          <w:iCs/>
        </w:rPr>
        <w:t xml:space="preserve">A.  </w:t>
      </w:r>
      <w:r w:rsidR="00DF257F" w:rsidRPr="00BA10B8">
        <w:rPr>
          <w:i/>
          <w:iCs/>
        </w:rPr>
        <w:t>Meal Period Premiums</w:t>
      </w:r>
    </w:p>
    <w:p w14:paraId="15032ABB" w14:textId="32E104BB" w:rsidR="00727878" w:rsidRDefault="00432A9A" w:rsidP="007D00AD">
      <w:pPr>
        <w:keepNext/>
        <w:tabs>
          <w:tab w:val="left" w:pos="1440"/>
          <w:tab w:val="left" w:pos="2880"/>
          <w:tab w:val="left" w:pos="4320"/>
          <w:tab w:val="left" w:pos="5760"/>
          <w:tab w:val="left" w:pos="7200"/>
          <w:tab w:val="left" w:pos="8640"/>
        </w:tabs>
        <w:spacing w:line="480" w:lineRule="atLeast"/>
      </w:pPr>
      <w:r>
        <w:rPr>
          <w:i/>
          <w:iCs/>
        </w:rPr>
        <w:tab/>
      </w:r>
      <w:r w:rsidR="006E2703">
        <w:t xml:space="preserve">Both </w:t>
      </w:r>
      <w:r w:rsidR="00C966D8">
        <w:t>appeal</w:t>
      </w:r>
      <w:r w:rsidR="00715ED9">
        <w:t xml:space="preserve"> and cross-appeal </w:t>
      </w:r>
      <w:r w:rsidR="00735A11">
        <w:t xml:space="preserve">require us to determine </w:t>
      </w:r>
      <w:r w:rsidR="00803D57">
        <w:t>whether</w:t>
      </w:r>
      <w:r w:rsidR="001B0E6E">
        <w:t xml:space="preserve"> Royalty</w:t>
      </w:r>
      <w:r w:rsidR="00D41AF0">
        <w:t>’s</w:t>
      </w:r>
      <w:r w:rsidR="001B0E6E">
        <w:t xml:space="preserve"> </w:t>
      </w:r>
      <w:r w:rsidR="00B805A7">
        <w:t xml:space="preserve">on-premises </w:t>
      </w:r>
      <w:r w:rsidR="00613282">
        <w:t>meal policy</w:t>
      </w:r>
      <w:r w:rsidR="00D41AF0">
        <w:t xml:space="preserve"> was lawful</w:t>
      </w:r>
      <w:r w:rsidR="00B805A7">
        <w:t>.</w:t>
      </w:r>
      <w:r w:rsidR="00635BBE">
        <w:t xml:space="preserve">  </w:t>
      </w:r>
      <w:r w:rsidR="003C7D13">
        <w:t xml:space="preserve">Royalty </w:t>
      </w:r>
      <w:r w:rsidR="00B1678A">
        <w:t xml:space="preserve">claims </w:t>
      </w:r>
      <w:r w:rsidR="001C47EA">
        <w:t xml:space="preserve">the court </w:t>
      </w:r>
      <w:r w:rsidR="00A4504B">
        <w:t xml:space="preserve">erred by </w:t>
      </w:r>
      <w:r w:rsidR="008A51A5">
        <w:t xml:space="preserve">ruling </w:t>
      </w:r>
      <w:r w:rsidR="0086492B">
        <w:t xml:space="preserve">the policy </w:t>
      </w:r>
      <w:r w:rsidR="0029115F">
        <w:t xml:space="preserve">was </w:t>
      </w:r>
      <w:r w:rsidR="003B5530">
        <w:t>un</w:t>
      </w:r>
      <w:r w:rsidR="0029115F">
        <w:t xml:space="preserve">lawful </w:t>
      </w:r>
      <w:r w:rsidR="003B5530">
        <w:t xml:space="preserve">and </w:t>
      </w:r>
      <w:r w:rsidR="001C47EA">
        <w:t xml:space="preserve">awarding </w:t>
      </w:r>
      <w:r w:rsidR="003C724C">
        <w:t xml:space="preserve">the Porterville </w:t>
      </w:r>
      <w:r w:rsidR="005B0E9B">
        <w:t>c</w:t>
      </w:r>
      <w:r w:rsidR="003C724C">
        <w:t xml:space="preserve">lass </w:t>
      </w:r>
      <w:r w:rsidR="003C7D13">
        <w:t>premium pay</w:t>
      </w:r>
      <w:r w:rsidR="0065226A">
        <w:t xml:space="preserve"> for meal period violations</w:t>
      </w:r>
      <w:r w:rsidR="00117222">
        <w:t xml:space="preserve"> based upon it</w:t>
      </w:r>
      <w:r w:rsidR="003C7D13">
        <w:t xml:space="preserve">.  </w:t>
      </w:r>
      <w:r w:rsidR="002D4E33">
        <w:t xml:space="preserve">Plaintiffs </w:t>
      </w:r>
      <w:r w:rsidR="000858FC">
        <w:t xml:space="preserve">fervently </w:t>
      </w:r>
      <w:r w:rsidR="003C724C">
        <w:t>disagree</w:t>
      </w:r>
      <w:r w:rsidR="00760AE7">
        <w:t xml:space="preserve">.  </w:t>
      </w:r>
      <w:r w:rsidR="00342760">
        <w:t xml:space="preserve">Indeed, </w:t>
      </w:r>
      <w:r w:rsidR="00B1678A">
        <w:t>the</w:t>
      </w:r>
      <w:r w:rsidR="00285E4D">
        <w:t xml:space="preserve">y </w:t>
      </w:r>
      <w:r w:rsidR="003C724C">
        <w:t xml:space="preserve">assert </w:t>
      </w:r>
      <w:r w:rsidR="00CA3A18">
        <w:t xml:space="preserve">there is no good faith dispute that </w:t>
      </w:r>
      <w:r w:rsidR="005C6811">
        <w:t xml:space="preserve">the </w:t>
      </w:r>
      <w:r w:rsidR="00DB2F73">
        <w:t xml:space="preserve">on-premises meal </w:t>
      </w:r>
      <w:r w:rsidR="00CA3A18">
        <w:t>policy was lawful</w:t>
      </w:r>
      <w:r w:rsidR="00BE4A1E">
        <w:t>,</w:t>
      </w:r>
      <w:r w:rsidR="00CA3A18">
        <w:t xml:space="preserve"> </w:t>
      </w:r>
      <w:r w:rsidR="00573F94">
        <w:t>and th</w:t>
      </w:r>
      <w:r w:rsidR="00BE4A1E">
        <w:t>ey</w:t>
      </w:r>
      <w:r w:rsidR="00573F94">
        <w:t xml:space="preserve"> </w:t>
      </w:r>
      <w:r w:rsidR="00BE4A1E">
        <w:t xml:space="preserve">maintain </w:t>
      </w:r>
      <w:r w:rsidR="00040E04">
        <w:t xml:space="preserve">Royalty </w:t>
      </w:r>
      <w:r w:rsidR="00BE4A1E">
        <w:t xml:space="preserve">clearly </w:t>
      </w:r>
      <w:r w:rsidR="00573F94">
        <w:t xml:space="preserve">owed </w:t>
      </w:r>
      <w:r w:rsidR="00040E04">
        <w:t xml:space="preserve">Porterville </w:t>
      </w:r>
      <w:r w:rsidR="00573F94">
        <w:t xml:space="preserve">class members </w:t>
      </w:r>
      <w:r w:rsidR="00DB2F73">
        <w:t xml:space="preserve">premium pay for these obvious </w:t>
      </w:r>
      <w:r w:rsidR="00640396">
        <w:t xml:space="preserve">Labor Code </w:t>
      </w:r>
      <w:r w:rsidR="00DB2F73">
        <w:t>violations</w:t>
      </w:r>
      <w:r w:rsidR="008F2106">
        <w:t xml:space="preserve">.  </w:t>
      </w:r>
      <w:r w:rsidR="003D674F">
        <w:t>Further, b</w:t>
      </w:r>
      <w:r w:rsidR="00A53407">
        <w:t>ecause no good faith dispute exists</w:t>
      </w:r>
      <w:r w:rsidR="003D674F">
        <w:t xml:space="preserve"> on th</w:t>
      </w:r>
      <w:r w:rsidR="00BE4A1E">
        <w:t>e</w:t>
      </w:r>
      <w:r w:rsidR="003D674F">
        <w:t>s</w:t>
      </w:r>
      <w:r w:rsidR="00BE4A1E">
        <w:t>e</w:t>
      </w:r>
      <w:r w:rsidR="003D674F">
        <w:t xml:space="preserve"> issue</w:t>
      </w:r>
      <w:r w:rsidR="00BE4A1E">
        <w:t>s</w:t>
      </w:r>
      <w:r w:rsidR="00A53407">
        <w:t xml:space="preserve">, they contend </w:t>
      </w:r>
      <w:r w:rsidR="00A82CB7">
        <w:t xml:space="preserve">any settlement </w:t>
      </w:r>
      <w:r w:rsidR="00BC5D4B">
        <w:t xml:space="preserve">releases </w:t>
      </w:r>
      <w:r w:rsidR="00152CB3">
        <w:t xml:space="preserve">of premium pay </w:t>
      </w:r>
      <w:r w:rsidR="00E034F1">
        <w:t xml:space="preserve">for </w:t>
      </w:r>
      <w:r w:rsidR="00BC5D4B">
        <w:t>the</w:t>
      </w:r>
      <w:r w:rsidR="00E034F1">
        <w:t xml:space="preserve">se </w:t>
      </w:r>
      <w:r w:rsidR="003B339F">
        <w:t xml:space="preserve">meal period violations </w:t>
      </w:r>
      <w:r w:rsidR="005B3961">
        <w:t xml:space="preserve">are </w:t>
      </w:r>
      <w:r w:rsidR="00AF50CA">
        <w:t>invalid</w:t>
      </w:r>
      <w:r w:rsidR="002231D0">
        <w:t xml:space="preserve">.  </w:t>
      </w:r>
      <w:r w:rsidR="003A68EA" w:rsidRPr="00E31A9D">
        <w:t xml:space="preserve">We agree with </w:t>
      </w:r>
      <w:r w:rsidR="006B341F" w:rsidRPr="00E31A9D">
        <w:t xml:space="preserve">the court </w:t>
      </w:r>
      <w:r w:rsidR="007A6192" w:rsidRPr="00E31A9D">
        <w:t xml:space="preserve">that </w:t>
      </w:r>
      <w:r w:rsidR="00CD4A8E" w:rsidRPr="00E31A9D">
        <w:t xml:space="preserve">the </w:t>
      </w:r>
      <w:r w:rsidR="00BE15CE" w:rsidRPr="00E31A9D">
        <w:t xml:space="preserve">on-premises </w:t>
      </w:r>
      <w:r w:rsidR="00BE15CE" w:rsidRPr="000E760D">
        <w:t>meal policy was unlawful</w:t>
      </w:r>
      <w:r w:rsidR="00A46F06" w:rsidRPr="000E760D">
        <w:t>,</w:t>
      </w:r>
      <w:r w:rsidR="00BE15CE" w:rsidRPr="000E760D">
        <w:t xml:space="preserve"> and</w:t>
      </w:r>
      <w:r w:rsidR="00785251" w:rsidRPr="000E760D">
        <w:t>, as such,</w:t>
      </w:r>
      <w:r w:rsidR="00BE15CE" w:rsidRPr="000E760D">
        <w:t xml:space="preserve"> </w:t>
      </w:r>
      <w:r w:rsidR="00CD4A8E" w:rsidRPr="000E760D">
        <w:t xml:space="preserve">Royalty </w:t>
      </w:r>
      <w:r w:rsidR="007A6192" w:rsidRPr="000E760D">
        <w:t>owed the Porterville class premium pay</w:t>
      </w:r>
      <w:r w:rsidR="003A68EA" w:rsidRPr="000E760D">
        <w:t xml:space="preserve">.  </w:t>
      </w:r>
      <w:r w:rsidR="005E39F8" w:rsidRPr="000E760D">
        <w:t>W</w:t>
      </w:r>
      <w:r w:rsidR="002400F1" w:rsidRPr="000E760D">
        <w:t xml:space="preserve">e </w:t>
      </w:r>
      <w:r w:rsidR="004F5947" w:rsidRPr="000E760D">
        <w:t xml:space="preserve">also agree </w:t>
      </w:r>
      <w:r w:rsidR="005E39F8" w:rsidRPr="000E760D">
        <w:t xml:space="preserve">with the court’s </w:t>
      </w:r>
      <w:r w:rsidR="008A51A5" w:rsidRPr="000E760D">
        <w:t xml:space="preserve">finding </w:t>
      </w:r>
      <w:r w:rsidR="004F5947" w:rsidRPr="000E760D">
        <w:t xml:space="preserve">that </w:t>
      </w:r>
      <w:r w:rsidR="00B57CD0" w:rsidRPr="000E760D">
        <w:t xml:space="preserve">Royalty had </w:t>
      </w:r>
      <w:r w:rsidR="00D561FE" w:rsidRPr="000E760D">
        <w:t xml:space="preserve">a good faith dispute </w:t>
      </w:r>
      <w:r w:rsidR="00B57CD0" w:rsidRPr="000E760D">
        <w:t xml:space="preserve">that its </w:t>
      </w:r>
      <w:r w:rsidR="005E39F8" w:rsidRPr="000E760D">
        <w:t xml:space="preserve">on-premises meal </w:t>
      </w:r>
      <w:r w:rsidR="00B57CD0" w:rsidRPr="000E760D">
        <w:t>policy was legal</w:t>
      </w:r>
      <w:r w:rsidR="005E39F8" w:rsidRPr="000E760D">
        <w:t xml:space="preserve"> and</w:t>
      </w:r>
      <w:r w:rsidR="00E31A9D" w:rsidRPr="000E760D">
        <w:t xml:space="preserve">, </w:t>
      </w:r>
      <w:r w:rsidR="00646906" w:rsidRPr="000E760D">
        <w:t>therefore</w:t>
      </w:r>
      <w:r w:rsidR="00E31A9D" w:rsidRPr="000E760D">
        <w:t>,</w:t>
      </w:r>
      <w:r w:rsidR="005E39F8" w:rsidRPr="000E760D">
        <w:t xml:space="preserve"> </w:t>
      </w:r>
      <w:r w:rsidR="007A645C" w:rsidRPr="000E760D">
        <w:t>the settlement</w:t>
      </w:r>
      <w:r w:rsidR="005E39F8" w:rsidRPr="000E760D">
        <w:t xml:space="preserve"> </w:t>
      </w:r>
      <w:r w:rsidR="00320815" w:rsidRPr="000E760D">
        <w:t>releases</w:t>
      </w:r>
      <w:r w:rsidR="007337B7">
        <w:t xml:space="preserve"> of premium pay </w:t>
      </w:r>
      <w:r w:rsidR="000E657E">
        <w:t xml:space="preserve">arising from </w:t>
      </w:r>
      <w:r w:rsidR="007A645C" w:rsidRPr="000E760D">
        <w:t xml:space="preserve">this policy </w:t>
      </w:r>
      <w:r w:rsidR="00320815" w:rsidRPr="000E760D">
        <w:t>are valid.</w:t>
      </w:r>
      <w:r w:rsidR="00320815">
        <w:t xml:space="preserve">  </w:t>
      </w:r>
      <w:r w:rsidR="007D00AD">
        <w:t>We start by evaluating the lawfulness of the on-premises meal policy.</w:t>
      </w:r>
    </w:p>
    <w:p w14:paraId="073DA58E" w14:textId="2705B0D8" w:rsidR="00247296" w:rsidRDefault="00432A9A" w:rsidP="00BA10B8">
      <w:pPr>
        <w:pStyle w:val="ListParagraph"/>
        <w:keepNext/>
        <w:tabs>
          <w:tab w:val="left" w:pos="1440"/>
          <w:tab w:val="left" w:pos="2880"/>
          <w:tab w:val="left" w:pos="4320"/>
          <w:tab w:val="left" w:pos="5760"/>
          <w:tab w:val="left" w:pos="7200"/>
          <w:tab w:val="left" w:pos="8640"/>
        </w:tabs>
        <w:spacing w:before="360" w:line="480" w:lineRule="atLeast"/>
        <w:ind w:left="1440"/>
        <w:rPr>
          <w:i/>
          <w:iCs/>
        </w:rPr>
      </w:pPr>
      <w:r>
        <w:rPr>
          <w:i/>
          <w:iCs/>
        </w:rPr>
        <w:t xml:space="preserve">1.  </w:t>
      </w:r>
      <w:r w:rsidR="008B3A6A">
        <w:rPr>
          <w:i/>
          <w:iCs/>
        </w:rPr>
        <w:t xml:space="preserve">The </w:t>
      </w:r>
      <w:r w:rsidR="00872125">
        <w:rPr>
          <w:i/>
          <w:iCs/>
        </w:rPr>
        <w:t>on-premises meal policy</w:t>
      </w:r>
    </w:p>
    <w:p w14:paraId="269EF3DE" w14:textId="6230F1CF" w:rsidR="00247296" w:rsidRDefault="00432A9A" w:rsidP="00247296">
      <w:pPr>
        <w:tabs>
          <w:tab w:val="left" w:pos="1440"/>
          <w:tab w:val="left" w:pos="2880"/>
          <w:tab w:val="left" w:pos="4320"/>
          <w:tab w:val="left" w:pos="5760"/>
          <w:tab w:val="left" w:pos="7200"/>
          <w:tab w:val="left" w:pos="8640"/>
        </w:tabs>
        <w:spacing w:line="480" w:lineRule="atLeast"/>
      </w:pPr>
      <w:r w:rsidRPr="00247296">
        <w:tab/>
        <w:t xml:space="preserve">“An employer generally must provide a 30-minute meal period to all nonexempt employees who work more than five hours, and a second 30-minute meal </w:t>
      </w:r>
      <w:r w:rsidRPr="00247296">
        <w:lastRenderedPageBreak/>
        <w:t>pe</w:t>
      </w:r>
      <w:r w:rsidRPr="00247296">
        <w:t>riod to employees who work more than 10 hours.</w:t>
      </w:r>
      <w:r w:rsidRPr="00D8365A">
        <w:t>”  (</w:t>
      </w:r>
      <w:r w:rsidRPr="00D8365A">
        <w:rPr>
          <w:i/>
          <w:iCs/>
        </w:rPr>
        <w:t>Lampe v. Queen of the Valley Medical Center</w:t>
      </w:r>
      <w:r w:rsidRPr="00D8365A">
        <w:t xml:space="preserve"> (2018) 19 Cal.App.5th 832, 847.)</w:t>
      </w:r>
      <w:r>
        <w:t xml:space="preserve">  The first meal period must occur </w:t>
      </w:r>
      <w:r w:rsidR="00D279D6">
        <w:t>n</w:t>
      </w:r>
      <w:r w:rsidR="00D279D6" w:rsidRPr="00D279D6">
        <w:t xml:space="preserve">o later than </w:t>
      </w:r>
      <w:r w:rsidR="00096199">
        <w:t xml:space="preserve">five hours </w:t>
      </w:r>
      <w:r w:rsidR="00297105">
        <w:t xml:space="preserve">after </w:t>
      </w:r>
      <w:r w:rsidR="00096199">
        <w:t xml:space="preserve">work begins, </w:t>
      </w:r>
      <w:r w:rsidR="004064AA">
        <w:t xml:space="preserve">and </w:t>
      </w:r>
      <w:r w:rsidR="00D10DB2">
        <w:t xml:space="preserve">the </w:t>
      </w:r>
      <w:r w:rsidRPr="0066345A">
        <w:t xml:space="preserve">second </w:t>
      </w:r>
      <w:r w:rsidR="00D279D6">
        <w:t xml:space="preserve">period </w:t>
      </w:r>
      <w:r w:rsidR="004064AA">
        <w:t xml:space="preserve">must occur </w:t>
      </w:r>
      <w:r w:rsidR="00900957" w:rsidRPr="00900957">
        <w:t xml:space="preserve">no later than </w:t>
      </w:r>
      <w:r w:rsidR="00BA10B8">
        <w:t>10</w:t>
      </w:r>
      <w:r w:rsidR="00096199">
        <w:t xml:space="preserve"> hours after </w:t>
      </w:r>
      <w:r w:rsidR="00900957" w:rsidRPr="00900957">
        <w:t>work</w:t>
      </w:r>
      <w:r w:rsidR="00474A3A">
        <w:t xml:space="preserve"> begins</w:t>
      </w:r>
      <w:r w:rsidRPr="00FF5174">
        <w:t xml:space="preserve">.  </w:t>
      </w:r>
      <w:r w:rsidR="004F3819">
        <w:t>(</w:t>
      </w:r>
      <w:r w:rsidR="004F3819" w:rsidRPr="00AB1F30">
        <w:rPr>
          <w:i/>
          <w:iCs/>
        </w:rPr>
        <w:t>Brinker Restaurant Corp. v. Superior Court</w:t>
      </w:r>
      <w:r w:rsidR="004F3819">
        <w:t xml:space="preserve"> (2012) 53 Cal.4th 1004, 1041</w:t>
      </w:r>
      <w:r w:rsidR="00782A62">
        <w:t>-1042</w:t>
      </w:r>
      <w:r w:rsidR="004F3819">
        <w:t xml:space="preserve"> (</w:t>
      </w:r>
      <w:r w:rsidR="004F3819" w:rsidRPr="005A53A8">
        <w:rPr>
          <w:i/>
          <w:iCs/>
        </w:rPr>
        <w:t>Brinker</w:t>
      </w:r>
      <w:r w:rsidR="004F3819">
        <w:t xml:space="preserve">).) </w:t>
      </w:r>
      <w:r w:rsidRPr="00FF5174">
        <w:t xml:space="preserve"> Both meal periods can be waived by agreement under certain </w:t>
      </w:r>
      <w:r w:rsidR="00FF5174" w:rsidRPr="00FF5174">
        <w:t>conditions</w:t>
      </w:r>
      <w:r w:rsidRPr="00FF5174">
        <w:t>.  The first meal period can be waived if the employe</w:t>
      </w:r>
      <w:r w:rsidRPr="00FF5174">
        <w:t>e works no more than six hours in a day</w:t>
      </w:r>
      <w:r w:rsidR="00B40AC5">
        <w:t>, and t</w:t>
      </w:r>
      <w:r w:rsidRPr="00FF5174">
        <w:t>he second can be waived if the employee works no more than 12 hours in a day and the first meal period was not waived.  (§ 512, subd. (a).)</w:t>
      </w:r>
      <w:r>
        <w:t xml:space="preserve">  “If an employer fails to provide an employee a meal . . . period in a</w:t>
      </w:r>
      <w:r>
        <w:t>ccordance with a state law</w:t>
      </w:r>
      <w:r w:rsidR="00BA10B8">
        <w:t>,</w:t>
      </w:r>
      <w:r>
        <w:t xml:space="preserve"> . . .</w:t>
      </w:r>
      <w:r w:rsidR="00BA10B8">
        <w:t xml:space="preserve"> </w:t>
      </w:r>
      <w:r>
        <w:t xml:space="preserve">the employer shall pay the employee one additional hour of pay at the employee’s regular rate of compensation for each workday that the meal </w:t>
      </w:r>
      <w:r w:rsidR="000C5C18">
        <w:t xml:space="preserve">. . . </w:t>
      </w:r>
      <w:r>
        <w:t>period is not provided.”  (§ 226.7</w:t>
      </w:r>
      <w:r w:rsidR="00996FF7">
        <w:t>, subd. (c)</w:t>
      </w:r>
      <w:r>
        <w:t>.)</w:t>
      </w:r>
    </w:p>
    <w:p w14:paraId="3C0533DF" w14:textId="50CB8E29" w:rsidR="00247296" w:rsidRPr="00247296" w:rsidRDefault="00432A9A" w:rsidP="00E226E2">
      <w:pPr>
        <w:tabs>
          <w:tab w:val="left" w:pos="1440"/>
          <w:tab w:val="left" w:pos="2880"/>
          <w:tab w:val="left" w:pos="4320"/>
          <w:tab w:val="left" w:pos="5760"/>
          <w:tab w:val="left" w:pos="7200"/>
          <w:tab w:val="left" w:pos="8640"/>
        </w:tabs>
        <w:spacing w:line="480" w:lineRule="atLeast"/>
      </w:pPr>
      <w:r>
        <w:tab/>
        <w:t xml:space="preserve">Meal periods </w:t>
      </w:r>
      <w:r w:rsidR="009379FA">
        <w:t xml:space="preserve">must be taken </w:t>
      </w:r>
      <w:r>
        <w:t>either on duty or off duty.</w:t>
      </w:r>
      <w:r w:rsidRPr="005A53A8">
        <w:t xml:space="preserve"> </w:t>
      </w:r>
      <w:r>
        <w:t xml:space="preserve"> “‘Unless the employee is relieved of all duty during a 30 minute meal period, the meal period shall be considered an “on duty” meal period and counted as time worked.</w:t>
      </w:r>
      <w:r w:rsidR="00DD1FED">
        <w:t>’</w:t>
      </w:r>
      <w:r w:rsidR="000E6C3A">
        <w:t>”  (</w:t>
      </w:r>
      <w:r w:rsidR="000E6C3A" w:rsidRPr="00AB1F30">
        <w:rPr>
          <w:i/>
          <w:iCs/>
        </w:rPr>
        <w:t>Brinker</w:t>
      </w:r>
      <w:r w:rsidR="000E6C3A">
        <w:t xml:space="preserve">, </w:t>
      </w:r>
      <w:r w:rsidR="000E6C3A" w:rsidRPr="003F7977">
        <w:rPr>
          <w:i/>
          <w:iCs/>
        </w:rPr>
        <w:t>supra</w:t>
      </w:r>
      <w:r w:rsidR="000E6C3A">
        <w:t>,</w:t>
      </w:r>
      <w:r w:rsidR="000E6C3A" w:rsidRPr="003F7977">
        <w:t xml:space="preserve"> </w:t>
      </w:r>
      <w:r w:rsidR="000E6C3A">
        <w:t>53 Cal.4th at p. 1035.)</w:t>
      </w:r>
      <w:r>
        <w:t xml:space="preserve">  </w:t>
      </w:r>
      <w:r w:rsidR="000E6C3A">
        <w:t xml:space="preserve">On-duty </w:t>
      </w:r>
      <w:r>
        <w:t>meal period</w:t>
      </w:r>
      <w:r w:rsidR="000E6C3A">
        <w:t>s</w:t>
      </w:r>
      <w:r>
        <w:t xml:space="preserve"> </w:t>
      </w:r>
      <w:r w:rsidR="000E6C3A">
        <w:t xml:space="preserve">are only permitted by written agreement </w:t>
      </w:r>
      <w:r w:rsidR="006B7DD9">
        <w:t xml:space="preserve">between the parties </w:t>
      </w:r>
      <w:r>
        <w:t>when the nature of the work prevents an employee from being relieved of all duty</w:t>
      </w:r>
      <w:r w:rsidR="006B7DD9">
        <w:t>.</w:t>
      </w:r>
      <w:r>
        <w:t xml:space="preserve">  (</w:t>
      </w:r>
      <w:r w:rsidR="006B7DD9">
        <w:rPr>
          <w:i/>
          <w:iCs/>
        </w:rPr>
        <w:t>Ibid</w:t>
      </w:r>
      <w:r>
        <w:t>.)  “[A]bsent such circumstances, an employer is obligated to provide an ‘off-duty’ mea</w:t>
      </w:r>
      <w:r>
        <w:t>l period</w:t>
      </w:r>
      <w:r w:rsidR="006E42D2">
        <w:t xml:space="preserve"> . . . </w:t>
      </w:r>
      <w:r w:rsidR="00AF01C2" w:rsidRPr="00AF01C2">
        <w:t xml:space="preserve">in which the employee </w:t>
      </w:r>
      <w:r w:rsidR="00AF01C2">
        <w:t>‘</w:t>
      </w:r>
      <w:r w:rsidR="00AF01C2" w:rsidRPr="00AF01C2">
        <w:rPr>
          <w:i/>
          <w:iCs/>
        </w:rPr>
        <w:t>is</w:t>
      </w:r>
      <w:r w:rsidR="00AF01C2" w:rsidRPr="00AF01C2">
        <w:t xml:space="preserve"> relieved of all duty during [the] 30-minute meal period.</w:t>
      </w:r>
      <w:r w:rsidR="00AF01C2">
        <w:t>’</w:t>
      </w:r>
      <w:r>
        <w:t>”  (</w:t>
      </w:r>
      <w:r w:rsidRPr="00781A08">
        <w:rPr>
          <w:i/>
          <w:iCs/>
        </w:rPr>
        <w:t>Ibid</w:t>
      </w:r>
      <w:r>
        <w:t>.)</w:t>
      </w:r>
    </w:p>
    <w:p w14:paraId="546E5CF0" w14:textId="0BA7B015" w:rsidR="00322E16" w:rsidRDefault="00432A9A" w:rsidP="00CA6843">
      <w:pPr>
        <w:tabs>
          <w:tab w:val="left" w:pos="1440"/>
          <w:tab w:val="left" w:pos="2880"/>
          <w:tab w:val="left" w:pos="4320"/>
          <w:tab w:val="left" w:pos="5760"/>
          <w:tab w:val="left" w:pos="7200"/>
          <w:tab w:val="left" w:pos="8640"/>
        </w:tabs>
        <w:spacing w:line="480" w:lineRule="atLeast"/>
      </w:pPr>
      <w:r>
        <w:tab/>
      </w:r>
      <w:r w:rsidRPr="006925DC">
        <w:t xml:space="preserve">The relevant aspects of </w:t>
      </w:r>
      <w:r w:rsidR="00855EA6">
        <w:t xml:space="preserve">Porterville’s </w:t>
      </w:r>
      <w:r w:rsidR="0029794A">
        <w:t xml:space="preserve">on-premises </w:t>
      </w:r>
      <w:r w:rsidRPr="006925DC">
        <w:t xml:space="preserve">meal policy are </w:t>
      </w:r>
      <w:r w:rsidR="00C22172">
        <w:t xml:space="preserve">largely </w:t>
      </w:r>
      <w:r w:rsidRPr="006925DC">
        <w:t xml:space="preserve">undisputed.  Nonexempt workers at Porterville were relieved of all duty </w:t>
      </w:r>
      <w:r w:rsidRPr="006925DC">
        <w:t xml:space="preserve">during their 30-minute lunch period but were required to remain </w:t>
      </w:r>
      <w:r w:rsidR="008461DB">
        <w:t xml:space="preserve">at </w:t>
      </w:r>
      <w:r w:rsidR="00DA473B">
        <w:t>the facility</w:t>
      </w:r>
      <w:r w:rsidRPr="006925DC">
        <w:t xml:space="preserve">.  </w:t>
      </w:r>
      <w:r w:rsidR="001057F8">
        <w:t xml:space="preserve">Importantly, </w:t>
      </w:r>
      <w:r w:rsidRPr="006925DC">
        <w:t xml:space="preserve">Royalty </w:t>
      </w:r>
      <w:r w:rsidRPr="00CD1BC9">
        <w:rPr>
          <w:i/>
          <w:iCs/>
        </w:rPr>
        <w:t>paid</w:t>
      </w:r>
      <w:r w:rsidRPr="006925DC">
        <w:t xml:space="preserve"> the Porterville workers their regular </w:t>
      </w:r>
      <w:r w:rsidR="00EA7EA7">
        <w:t xml:space="preserve">wages </w:t>
      </w:r>
      <w:r w:rsidRPr="006925DC">
        <w:t xml:space="preserve">during meal periods, </w:t>
      </w:r>
      <w:r w:rsidR="00B63EE0">
        <w:t xml:space="preserve">but </w:t>
      </w:r>
      <w:r w:rsidRPr="006925DC">
        <w:t xml:space="preserve">it did not </w:t>
      </w:r>
      <w:r w:rsidR="00C16744">
        <w:t xml:space="preserve">give </w:t>
      </w:r>
      <w:r w:rsidRPr="006925DC">
        <w:t xml:space="preserve">them premium pay for having to remain on </w:t>
      </w:r>
      <w:r w:rsidR="00197B36">
        <w:t xml:space="preserve">the </w:t>
      </w:r>
      <w:r w:rsidRPr="006925DC">
        <w:t>premises.</w:t>
      </w:r>
      <w:r w:rsidR="006E1B32">
        <w:t xml:space="preserve">  </w:t>
      </w:r>
      <w:r w:rsidR="008326F6" w:rsidRPr="00E5174F">
        <w:t xml:space="preserve">Royalty </w:t>
      </w:r>
      <w:r w:rsidR="00D2014A">
        <w:t xml:space="preserve">insists </w:t>
      </w:r>
      <w:r w:rsidR="00884C40" w:rsidRPr="00E5174F">
        <w:t xml:space="preserve">its on-premises meal policy </w:t>
      </w:r>
      <w:r w:rsidR="00D54082" w:rsidRPr="00E5174F">
        <w:t xml:space="preserve">was </w:t>
      </w:r>
      <w:r w:rsidR="003D072E">
        <w:t xml:space="preserve">lawful </w:t>
      </w:r>
      <w:r w:rsidR="00D54082" w:rsidRPr="00E5174F">
        <w:t xml:space="preserve">because </w:t>
      </w:r>
      <w:r w:rsidR="009E2F04" w:rsidRPr="00E5174F">
        <w:t>it</w:t>
      </w:r>
      <w:r w:rsidR="00762517">
        <w:t>s</w:t>
      </w:r>
      <w:r w:rsidR="009E2F04" w:rsidRPr="00E5174F">
        <w:t xml:space="preserve"> </w:t>
      </w:r>
      <w:r w:rsidR="00AE62D9" w:rsidRPr="00E5174F">
        <w:t xml:space="preserve">workers </w:t>
      </w:r>
      <w:r w:rsidR="00762517">
        <w:t xml:space="preserve">were relieved </w:t>
      </w:r>
      <w:r w:rsidR="009E2F04" w:rsidRPr="00E5174F">
        <w:t>of duty</w:t>
      </w:r>
      <w:r w:rsidR="00F644DC" w:rsidRPr="00E5174F">
        <w:t xml:space="preserve"> and paid </w:t>
      </w:r>
      <w:r w:rsidR="00B12307">
        <w:t xml:space="preserve">wages </w:t>
      </w:r>
      <w:r w:rsidR="00762517">
        <w:t xml:space="preserve">during </w:t>
      </w:r>
      <w:r w:rsidR="00F644DC" w:rsidRPr="00E5174F">
        <w:t>the meal period</w:t>
      </w:r>
      <w:r w:rsidR="009E2F04" w:rsidRPr="00E5174F">
        <w:t>.</w:t>
      </w:r>
      <w:r w:rsidR="009E2F04">
        <w:t xml:space="preserve">  </w:t>
      </w:r>
      <w:r w:rsidR="00400F17">
        <w:t>W</w:t>
      </w:r>
      <w:r w:rsidR="00E5174F">
        <w:t xml:space="preserve">e </w:t>
      </w:r>
      <w:r w:rsidR="00400F17">
        <w:t>are unconvinced</w:t>
      </w:r>
      <w:r w:rsidR="00E5174F">
        <w:t>.</w:t>
      </w:r>
    </w:p>
    <w:p w14:paraId="38B0D1DE" w14:textId="7302AD9B" w:rsidR="00147588" w:rsidRDefault="00432A9A" w:rsidP="002F2655">
      <w:pPr>
        <w:tabs>
          <w:tab w:val="left" w:pos="1440"/>
          <w:tab w:val="left" w:pos="2880"/>
          <w:tab w:val="left" w:pos="4320"/>
          <w:tab w:val="left" w:pos="5760"/>
          <w:tab w:val="left" w:pos="7200"/>
          <w:tab w:val="left" w:pos="8640"/>
        </w:tabs>
        <w:spacing w:line="480" w:lineRule="atLeast"/>
      </w:pPr>
      <w:r>
        <w:lastRenderedPageBreak/>
        <w:tab/>
      </w:r>
      <w:r w:rsidR="00B303E0">
        <w:t xml:space="preserve">It is uncontested </w:t>
      </w:r>
      <w:r w:rsidR="00184C18">
        <w:t xml:space="preserve">the </w:t>
      </w:r>
      <w:r w:rsidR="007C14AE">
        <w:t xml:space="preserve">meal periods </w:t>
      </w:r>
      <w:r w:rsidR="00184C18">
        <w:t xml:space="preserve">at issue </w:t>
      </w:r>
      <w:r w:rsidR="007C14AE">
        <w:t xml:space="preserve">were </w:t>
      </w:r>
      <w:r w:rsidR="006B417E">
        <w:t xml:space="preserve">taken </w:t>
      </w:r>
      <w:r w:rsidR="007C14AE">
        <w:t>off duty</w:t>
      </w:r>
      <w:r w:rsidR="005A3BE2">
        <w:t xml:space="preserve">, </w:t>
      </w:r>
      <w:r w:rsidR="0028232E">
        <w:t xml:space="preserve">not on duty.  </w:t>
      </w:r>
      <w:r w:rsidR="0057301E">
        <w:t>When taken off duty, the</w:t>
      </w:r>
      <w:r w:rsidR="00027DE4">
        <w:t xml:space="preserve"> </w:t>
      </w:r>
      <w:r w:rsidR="003404B3">
        <w:t xml:space="preserve">“meal period requirement is satisfied if the employee (1) has at least 30 minutes uninterrupted, (2) </w:t>
      </w:r>
      <w:r w:rsidR="003404B3" w:rsidRPr="001F0FC0">
        <w:rPr>
          <w:i/>
          <w:iCs/>
        </w:rPr>
        <w:t>is free to leave the premises</w:t>
      </w:r>
      <w:r w:rsidR="003404B3">
        <w:t>, and (3) is relieved of all duty for the entire period.”  (</w:t>
      </w:r>
      <w:r w:rsidR="002058E8" w:rsidRPr="00AB1F30">
        <w:rPr>
          <w:i/>
          <w:iCs/>
        </w:rPr>
        <w:t>Brinker</w:t>
      </w:r>
      <w:r w:rsidR="002058E8">
        <w:t xml:space="preserve">, </w:t>
      </w:r>
      <w:r w:rsidR="002058E8" w:rsidRPr="003F7977">
        <w:rPr>
          <w:i/>
          <w:iCs/>
        </w:rPr>
        <w:t>supra</w:t>
      </w:r>
      <w:r w:rsidR="002058E8">
        <w:t>,</w:t>
      </w:r>
      <w:r w:rsidR="002058E8" w:rsidRPr="003F7977">
        <w:t xml:space="preserve"> </w:t>
      </w:r>
      <w:r w:rsidR="002058E8">
        <w:t xml:space="preserve">53 Cal.4th at p. </w:t>
      </w:r>
      <w:r w:rsidR="003404B3">
        <w:t xml:space="preserve">1036, italics added.)  </w:t>
      </w:r>
      <w:r w:rsidR="006036D1">
        <w:t>“</w:t>
      </w:r>
      <w:r w:rsidR="0057301E">
        <w:t>E</w:t>
      </w:r>
      <w:r w:rsidR="00007B41" w:rsidRPr="00007B41">
        <w:t xml:space="preserve">mployers </w:t>
      </w:r>
      <w:r w:rsidR="00AE40D1">
        <w:t xml:space="preserve">must </w:t>
      </w:r>
      <w:r w:rsidR="00007B41" w:rsidRPr="00007B41">
        <w:t xml:space="preserve">afford employees uninterrupted half-hour periods in which they are relieved of any duty or employer control and are </w:t>
      </w:r>
      <w:r w:rsidR="00007B41" w:rsidRPr="00007B41">
        <w:rPr>
          <w:i/>
          <w:iCs/>
        </w:rPr>
        <w:t>free to come and go as they please</w:t>
      </w:r>
      <w:r w:rsidR="00007B41" w:rsidRPr="00007B41">
        <w:t>.”  (</w:t>
      </w:r>
      <w:r w:rsidR="001854E6">
        <w:rPr>
          <w:i/>
          <w:iCs/>
        </w:rPr>
        <w:t>Id</w:t>
      </w:r>
      <w:r w:rsidR="001854E6" w:rsidRPr="001854E6">
        <w:t xml:space="preserve">. </w:t>
      </w:r>
      <w:r w:rsidR="00F538FA">
        <w:t>at p.</w:t>
      </w:r>
      <w:r w:rsidR="00007B41">
        <w:t xml:space="preserve"> </w:t>
      </w:r>
      <w:r w:rsidR="00007B41" w:rsidRPr="00007B41">
        <w:t>1037</w:t>
      </w:r>
      <w:r w:rsidR="00007B41">
        <w:t>, italics added</w:t>
      </w:r>
      <w:r w:rsidR="00007B41" w:rsidRPr="00007B41">
        <w:t>.)</w:t>
      </w:r>
      <w:r w:rsidR="00007B41">
        <w:t xml:space="preserve">  </w:t>
      </w:r>
      <w:r w:rsidR="00CA2ECE" w:rsidRPr="00CA2ECE">
        <w:t xml:space="preserve">“‘The worker must be free to attend to </w:t>
      </w:r>
      <w:r w:rsidR="00CA2ECE" w:rsidRPr="006E1B32">
        <w:rPr>
          <w:u w:val="single"/>
        </w:rPr>
        <w:t>any</w:t>
      </w:r>
      <w:r w:rsidR="00CA2ECE" w:rsidRPr="00CA2ECE">
        <w:t xml:space="preserve"> personal business he or she may choose during the unpaid meal period.’”  (</w:t>
      </w:r>
      <w:r w:rsidR="00CA2ECE" w:rsidRPr="00CA2ECE">
        <w:rPr>
          <w:i/>
          <w:iCs/>
        </w:rPr>
        <w:t>Id</w:t>
      </w:r>
      <w:r w:rsidR="00CA2ECE">
        <w:t xml:space="preserve">. at p. </w:t>
      </w:r>
      <w:r w:rsidR="00CA2ECE" w:rsidRPr="00CA2ECE">
        <w:t>1036.)</w:t>
      </w:r>
      <w:r w:rsidR="003D2785">
        <w:t xml:space="preserve">  </w:t>
      </w:r>
      <w:r>
        <w:t>“</w:t>
      </w:r>
      <w:r w:rsidRPr="003402EE">
        <w:t>If an employer does not provide an employee with a compliant meal period, then the employer must provide the employee with premium pay for the violat</w:t>
      </w:r>
      <w:r w:rsidRPr="003402EE">
        <w:t>ion</w:t>
      </w:r>
      <w:r>
        <w:t>.</w:t>
      </w:r>
      <w:r w:rsidR="0001414B">
        <w:t>”</w:t>
      </w:r>
      <w:r>
        <w:t xml:space="preserve">  (</w:t>
      </w:r>
      <w:r w:rsidRPr="009524B7">
        <w:rPr>
          <w:i/>
          <w:iCs/>
        </w:rPr>
        <w:t>Donohue</w:t>
      </w:r>
      <w:r w:rsidR="0086722D">
        <w:t xml:space="preserve">, </w:t>
      </w:r>
      <w:r w:rsidR="0086722D" w:rsidRPr="0086722D">
        <w:rPr>
          <w:i/>
          <w:iCs/>
        </w:rPr>
        <w:t>sup</w:t>
      </w:r>
      <w:r w:rsidR="006E1B32">
        <w:rPr>
          <w:i/>
          <w:iCs/>
        </w:rPr>
        <w:t>r</w:t>
      </w:r>
      <w:r w:rsidR="0086722D" w:rsidRPr="0086722D">
        <w:rPr>
          <w:i/>
          <w:iCs/>
        </w:rPr>
        <w:t>a</w:t>
      </w:r>
      <w:r w:rsidR="0086722D">
        <w:t>,</w:t>
      </w:r>
      <w:r w:rsidRPr="009524B7">
        <w:rPr>
          <w:i/>
          <w:iCs/>
        </w:rPr>
        <w:t xml:space="preserve"> </w:t>
      </w:r>
      <w:r>
        <w:t xml:space="preserve">11 Cal.5th </w:t>
      </w:r>
      <w:r w:rsidR="0086722D">
        <w:t xml:space="preserve">at </w:t>
      </w:r>
      <w:r w:rsidR="006E1B32">
        <w:t>p</w:t>
      </w:r>
      <w:r w:rsidR="0086722D">
        <w:t xml:space="preserve">p. </w:t>
      </w:r>
      <w:r>
        <w:t>67</w:t>
      </w:r>
      <w:r w:rsidR="006E1B32">
        <w:t>-68</w:t>
      </w:r>
      <w:r w:rsidR="00C15D15">
        <w:t>.)</w:t>
      </w:r>
      <w:r w:rsidR="00D2123C">
        <w:t xml:space="preserve">  Since Porterville workers were not free to leave the premises, Royalty</w:t>
      </w:r>
      <w:r w:rsidR="00C7743E">
        <w:t>’s</w:t>
      </w:r>
      <w:r w:rsidR="00962053">
        <w:t xml:space="preserve"> on-premises </w:t>
      </w:r>
      <w:r w:rsidR="00C7743E">
        <w:t xml:space="preserve">meal policy </w:t>
      </w:r>
      <w:r w:rsidR="00D2123C">
        <w:t>was noncompliant</w:t>
      </w:r>
      <w:r w:rsidR="00C7743E">
        <w:t>,</w:t>
      </w:r>
      <w:r w:rsidR="00D2123C">
        <w:t xml:space="preserve"> </w:t>
      </w:r>
      <w:r w:rsidR="00962053">
        <w:t xml:space="preserve">so </w:t>
      </w:r>
      <w:r w:rsidR="00C7743E">
        <w:t xml:space="preserve">it was obligated to provide </w:t>
      </w:r>
      <w:r w:rsidR="00D2123C">
        <w:t xml:space="preserve">premium pay </w:t>
      </w:r>
      <w:r w:rsidR="00C7743E">
        <w:t xml:space="preserve">to these </w:t>
      </w:r>
      <w:r w:rsidR="00D0634E">
        <w:t>employees</w:t>
      </w:r>
      <w:r w:rsidR="00D2123C">
        <w:t>.</w:t>
      </w:r>
    </w:p>
    <w:p w14:paraId="6915702A" w14:textId="37B8A7F0" w:rsidR="00BC51EA" w:rsidRDefault="00432A9A" w:rsidP="001C0CFC">
      <w:pPr>
        <w:tabs>
          <w:tab w:val="left" w:pos="1440"/>
          <w:tab w:val="left" w:pos="2880"/>
          <w:tab w:val="left" w:pos="4320"/>
          <w:tab w:val="left" w:pos="5760"/>
          <w:tab w:val="left" w:pos="7200"/>
          <w:tab w:val="left" w:pos="8640"/>
        </w:tabs>
        <w:spacing w:line="480" w:lineRule="atLeast"/>
      </w:pPr>
      <w:r>
        <w:tab/>
        <w:t xml:space="preserve">Royalty </w:t>
      </w:r>
      <w:r w:rsidR="000D7ED9">
        <w:t xml:space="preserve">maintains </w:t>
      </w:r>
      <w:r w:rsidRPr="00BC51EA">
        <w:rPr>
          <w:i/>
          <w:iCs/>
        </w:rPr>
        <w:t>Brinker</w:t>
      </w:r>
      <w:r w:rsidR="00D2014A">
        <w:t xml:space="preserve">’s </w:t>
      </w:r>
      <w:r w:rsidR="00076489">
        <w:t xml:space="preserve">primary </w:t>
      </w:r>
      <w:r w:rsidR="006B446A">
        <w:t>emphasis</w:t>
      </w:r>
      <w:r>
        <w:t xml:space="preserve"> </w:t>
      </w:r>
      <w:r w:rsidR="001550BE">
        <w:t xml:space="preserve">for off-duty meal periods </w:t>
      </w:r>
      <w:r>
        <w:t xml:space="preserve">was relieving employees of </w:t>
      </w:r>
      <w:r w:rsidR="001550BE">
        <w:t>work</w:t>
      </w:r>
      <w:r w:rsidR="00076489">
        <w:t>, not freedom of movement</w:t>
      </w:r>
      <w:r w:rsidR="00B3037B">
        <w:t xml:space="preserve">.  </w:t>
      </w:r>
      <w:r w:rsidR="004377C4">
        <w:t xml:space="preserve">It cites various portions of </w:t>
      </w:r>
      <w:r w:rsidR="004377C4" w:rsidRPr="004377C4">
        <w:rPr>
          <w:i/>
          <w:iCs/>
        </w:rPr>
        <w:t>Brinker</w:t>
      </w:r>
      <w:r w:rsidR="004377C4">
        <w:t xml:space="preserve"> </w:t>
      </w:r>
      <w:r w:rsidR="00C25042">
        <w:t xml:space="preserve">that </w:t>
      </w:r>
      <w:r w:rsidR="007568E3">
        <w:t xml:space="preserve">describe the employer’s obligation as relieving its employees of duty without mentioning freedom </w:t>
      </w:r>
      <w:r w:rsidR="00DB1B2B">
        <w:t>of movement</w:t>
      </w:r>
      <w:r w:rsidR="007568E3">
        <w:t xml:space="preserve">.  </w:t>
      </w:r>
      <w:r w:rsidR="006B52E6">
        <w:t xml:space="preserve">It also </w:t>
      </w:r>
      <w:r w:rsidR="00B3037B">
        <w:t xml:space="preserve">cites a portion of </w:t>
      </w:r>
      <w:r w:rsidR="00B3037B" w:rsidRPr="00B3037B">
        <w:rPr>
          <w:i/>
          <w:iCs/>
        </w:rPr>
        <w:t>Brinker</w:t>
      </w:r>
      <w:r w:rsidR="00B3037B">
        <w:t xml:space="preserve"> summariz</w:t>
      </w:r>
      <w:r w:rsidR="00853C5E">
        <w:t xml:space="preserve">ing the Court’s </w:t>
      </w:r>
      <w:r w:rsidR="00B3037B">
        <w:t>holding</w:t>
      </w:r>
      <w:r w:rsidR="001311A4">
        <w:t xml:space="preserve">:  “[t]he employer </w:t>
      </w:r>
      <w:r w:rsidR="001C0CFC">
        <w:t xml:space="preserve">satisfies </w:t>
      </w:r>
      <w:r w:rsidR="001311A4">
        <w:t xml:space="preserve">[its meal period] </w:t>
      </w:r>
      <w:r w:rsidR="001C0CFC">
        <w:t xml:space="preserve">obligation if it relieves its employees of all duty, relinquishes control over their activities and permits them a reasonable opportunity to take an uninterrupted 30-minute break, and does not impede or discourage them from doing so. </w:t>
      </w:r>
      <w:r w:rsidR="001311A4">
        <w:t xml:space="preserve"> </w:t>
      </w:r>
      <w:r w:rsidR="001C0CFC" w:rsidRPr="005D6429">
        <w:rPr>
          <w:i/>
          <w:iCs/>
        </w:rPr>
        <w:t>What will suffice may vary from industry to industry</w:t>
      </w:r>
      <w:r w:rsidR="006E1B32">
        <w:rPr>
          <w:i/>
          <w:iCs/>
        </w:rPr>
        <w:t xml:space="preserve"> </w:t>
      </w:r>
      <w:r w:rsidR="001311A4">
        <w:t>.</w:t>
      </w:r>
      <w:r w:rsidR="006E1B32">
        <w:t> . . .</w:t>
      </w:r>
      <w:r w:rsidR="001311A4">
        <w:t>”  (</w:t>
      </w:r>
      <w:r w:rsidR="001C0CFC" w:rsidRPr="001311A4">
        <w:rPr>
          <w:i/>
          <w:iCs/>
        </w:rPr>
        <w:t>Brinker</w:t>
      </w:r>
      <w:r w:rsidR="001311A4">
        <w:t xml:space="preserve">, </w:t>
      </w:r>
      <w:r w:rsidR="001311A4" w:rsidRPr="001311A4">
        <w:rPr>
          <w:i/>
          <w:iCs/>
        </w:rPr>
        <w:t>supra</w:t>
      </w:r>
      <w:r w:rsidR="001311A4">
        <w:t>,</w:t>
      </w:r>
      <w:r w:rsidR="001C0CFC">
        <w:t xml:space="preserve"> 53 Cal.4th </w:t>
      </w:r>
      <w:r w:rsidR="001311A4">
        <w:t xml:space="preserve">at p. </w:t>
      </w:r>
      <w:r w:rsidR="001C0CFC">
        <w:t>1040</w:t>
      </w:r>
      <w:r w:rsidR="005D6429">
        <w:t>, italics added</w:t>
      </w:r>
      <w:r w:rsidR="001311A4">
        <w:t>.)</w:t>
      </w:r>
      <w:r w:rsidR="005D6429">
        <w:t xml:space="preserve">  </w:t>
      </w:r>
      <w:r w:rsidR="009C2B79">
        <w:t xml:space="preserve">Based on these citations, </w:t>
      </w:r>
      <w:r w:rsidR="00EF211C">
        <w:t xml:space="preserve">Royalty </w:t>
      </w:r>
      <w:r w:rsidR="009C2B79">
        <w:t xml:space="preserve">suggests </w:t>
      </w:r>
      <w:r w:rsidR="00B30D19">
        <w:t>the core requirement of</w:t>
      </w:r>
      <w:r w:rsidR="00FE4F73">
        <w:t xml:space="preserve"> </w:t>
      </w:r>
      <w:r w:rsidR="00B30D19">
        <w:t>off</w:t>
      </w:r>
      <w:r w:rsidR="00FE4F73">
        <w:t>-</w:t>
      </w:r>
      <w:r w:rsidR="00B30D19">
        <w:t>duty meal period</w:t>
      </w:r>
      <w:r w:rsidR="00071753">
        <w:t>s</w:t>
      </w:r>
      <w:r w:rsidR="00FE4F73">
        <w:t xml:space="preserve"> </w:t>
      </w:r>
      <w:r w:rsidR="00B30D19">
        <w:t xml:space="preserve">is relief </w:t>
      </w:r>
      <w:r w:rsidR="00071753">
        <w:t xml:space="preserve">from </w:t>
      </w:r>
      <w:r w:rsidR="00B30D19">
        <w:t>duty</w:t>
      </w:r>
      <w:r w:rsidR="00911668">
        <w:t xml:space="preserve"> </w:t>
      </w:r>
      <w:r w:rsidR="00CD3CA0">
        <w:t xml:space="preserve">and </w:t>
      </w:r>
      <w:r w:rsidR="00420C37">
        <w:t xml:space="preserve">that </w:t>
      </w:r>
      <w:r w:rsidR="007542D0">
        <w:t>freedom of movement</w:t>
      </w:r>
      <w:r w:rsidR="00097B95">
        <w:t>, while important,</w:t>
      </w:r>
      <w:r w:rsidR="007542D0">
        <w:t xml:space="preserve"> can vary based on industry.</w:t>
      </w:r>
    </w:p>
    <w:p w14:paraId="1E0E5C82" w14:textId="41B0D8A3" w:rsidR="00DA62CB" w:rsidRDefault="00432A9A" w:rsidP="001C0CFC">
      <w:pPr>
        <w:tabs>
          <w:tab w:val="left" w:pos="1440"/>
          <w:tab w:val="left" w:pos="2880"/>
          <w:tab w:val="left" w:pos="4320"/>
          <w:tab w:val="left" w:pos="5760"/>
          <w:tab w:val="left" w:pos="7200"/>
          <w:tab w:val="left" w:pos="8640"/>
        </w:tabs>
        <w:spacing w:line="480" w:lineRule="atLeast"/>
      </w:pPr>
      <w:r>
        <w:tab/>
      </w:r>
      <w:r w:rsidR="00CF5D1F">
        <w:t>I</w:t>
      </w:r>
      <w:r w:rsidR="00342FA3">
        <w:t xml:space="preserve">t is true that </w:t>
      </w:r>
      <w:r w:rsidR="00342FA3" w:rsidRPr="00342FA3">
        <w:rPr>
          <w:i/>
          <w:iCs/>
        </w:rPr>
        <w:t>Brinker</w:t>
      </w:r>
      <w:r w:rsidR="00342FA3">
        <w:t xml:space="preserve"> </w:t>
      </w:r>
      <w:r w:rsidR="00AE759A">
        <w:t xml:space="preserve">primarily </w:t>
      </w:r>
      <w:r w:rsidR="00853F96">
        <w:t xml:space="preserve">mentions </w:t>
      </w:r>
      <w:r w:rsidR="00CF5D1F">
        <w:t xml:space="preserve">relief from duty as </w:t>
      </w:r>
      <w:r w:rsidR="00B06083">
        <w:t>the hallmark</w:t>
      </w:r>
      <w:r w:rsidR="00CF5D1F">
        <w:t xml:space="preserve"> </w:t>
      </w:r>
      <w:r w:rsidR="00B06083">
        <w:t xml:space="preserve">of </w:t>
      </w:r>
      <w:r w:rsidR="00E6670F">
        <w:t>off-duty meal periods</w:t>
      </w:r>
      <w:r w:rsidR="00B06083">
        <w:t>,</w:t>
      </w:r>
      <w:r w:rsidR="00F627EC">
        <w:t xml:space="preserve"> </w:t>
      </w:r>
      <w:r w:rsidR="00F8379F">
        <w:t xml:space="preserve">and </w:t>
      </w:r>
      <w:r w:rsidR="00B06083">
        <w:t xml:space="preserve">it </w:t>
      </w:r>
      <w:r w:rsidR="00F8379F">
        <w:t xml:space="preserve">does so </w:t>
      </w:r>
      <w:r w:rsidR="00F627EC">
        <w:t xml:space="preserve">at a far greater rate than </w:t>
      </w:r>
      <w:r w:rsidR="00CF5D1F">
        <w:t xml:space="preserve">freedom </w:t>
      </w:r>
      <w:r w:rsidR="00F627EC">
        <w:t>of movement</w:t>
      </w:r>
      <w:r w:rsidR="00CF5D1F">
        <w:t xml:space="preserve">.  </w:t>
      </w:r>
      <w:r w:rsidR="00F627EC">
        <w:t>S</w:t>
      </w:r>
      <w:r w:rsidR="00932EB5">
        <w:t>till</w:t>
      </w:r>
      <w:r w:rsidR="00F627EC">
        <w:t>, it</w:t>
      </w:r>
      <w:r w:rsidR="00932EB5">
        <w:t xml:space="preserve"> contains </w:t>
      </w:r>
      <w:r w:rsidR="00F627EC">
        <w:t xml:space="preserve">several </w:t>
      </w:r>
      <w:r w:rsidR="0013352E">
        <w:t>unambiguous</w:t>
      </w:r>
      <w:r w:rsidR="00932EB5">
        <w:t xml:space="preserve"> statements that </w:t>
      </w:r>
      <w:r w:rsidR="000B0BED">
        <w:t xml:space="preserve">employees must be given freedom </w:t>
      </w:r>
      <w:r w:rsidR="000B0BED">
        <w:lastRenderedPageBreak/>
        <w:t xml:space="preserve">of movement for an employer </w:t>
      </w:r>
      <w:r w:rsidR="00AA1B09">
        <w:t xml:space="preserve">to satisfy the </w:t>
      </w:r>
      <w:r w:rsidR="000B0BED">
        <w:t xml:space="preserve">off-duty </w:t>
      </w:r>
      <w:r w:rsidR="00AA1B09">
        <w:t>meal period requirement</w:t>
      </w:r>
      <w:r w:rsidR="00AD244E">
        <w:t xml:space="preserve">.  </w:t>
      </w:r>
      <w:r w:rsidR="00004129">
        <w:t>T</w:t>
      </w:r>
      <w:r w:rsidR="00E0181A">
        <w:t>hough Royalty relieved the Porterville class member</w:t>
      </w:r>
      <w:r w:rsidR="00004129">
        <w:t>s</w:t>
      </w:r>
      <w:r w:rsidR="00E0181A">
        <w:t xml:space="preserve"> of duty during their meal periods, </w:t>
      </w:r>
      <w:r w:rsidR="005D2767">
        <w:t xml:space="preserve">it did not provide compliant meal periods because </w:t>
      </w:r>
      <w:r w:rsidR="00724803">
        <w:t xml:space="preserve">workers </w:t>
      </w:r>
      <w:r w:rsidR="00353F16">
        <w:t xml:space="preserve">were not free </w:t>
      </w:r>
      <w:r w:rsidR="00724803">
        <w:t xml:space="preserve">to </w:t>
      </w:r>
      <w:r w:rsidR="00E0181A">
        <w:t>leav</w:t>
      </w:r>
      <w:r w:rsidR="00724803">
        <w:t>e</w:t>
      </w:r>
      <w:r w:rsidR="00E0181A">
        <w:t xml:space="preserve"> the premises.  </w:t>
      </w:r>
      <w:r w:rsidR="00331120" w:rsidRPr="005563EA">
        <w:t>(</w:t>
      </w:r>
      <w:bookmarkStart w:id="3" w:name="_Hlk92294285"/>
      <w:r w:rsidR="00331120" w:rsidRPr="005563EA">
        <w:rPr>
          <w:i/>
          <w:iCs/>
        </w:rPr>
        <w:t>Brinker</w:t>
      </w:r>
      <w:r w:rsidR="00331120">
        <w:t xml:space="preserve">, </w:t>
      </w:r>
      <w:r w:rsidR="00331120" w:rsidRPr="005563EA">
        <w:rPr>
          <w:i/>
          <w:iCs/>
        </w:rPr>
        <w:t>supra</w:t>
      </w:r>
      <w:r w:rsidR="00331120">
        <w:t xml:space="preserve">, </w:t>
      </w:r>
      <w:r w:rsidR="00331120" w:rsidRPr="005563EA">
        <w:t xml:space="preserve">53 Cal.4th </w:t>
      </w:r>
      <w:r w:rsidR="00331120">
        <w:t>at pp</w:t>
      </w:r>
      <w:bookmarkEnd w:id="3"/>
      <w:r w:rsidR="00331120">
        <w:t xml:space="preserve">. </w:t>
      </w:r>
      <w:r w:rsidR="00331120" w:rsidRPr="005563EA">
        <w:t>103</w:t>
      </w:r>
      <w:r w:rsidR="00331120">
        <w:t>6-1037</w:t>
      </w:r>
      <w:r w:rsidR="00331120" w:rsidRPr="005563EA">
        <w:t>.)</w:t>
      </w:r>
      <w:r w:rsidR="00331120">
        <w:t xml:space="preserve">  Consequently, these workers are owed premium pay</w:t>
      </w:r>
      <w:r w:rsidR="00084911">
        <w:t xml:space="preserve"> for the</w:t>
      </w:r>
      <w:r w:rsidR="008E577C">
        <w:t>se</w:t>
      </w:r>
      <w:r w:rsidR="00084911">
        <w:t xml:space="preserve"> noncompliant meal periods</w:t>
      </w:r>
      <w:r w:rsidR="00331120">
        <w:t xml:space="preserve">.  </w:t>
      </w:r>
      <w:r w:rsidR="00366F6B">
        <w:t>(</w:t>
      </w:r>
      <w:r w:rsidR="00366F6B" w:rsidRPr="0086722D">
        <w:rPr>
          <w:i/>
          <w:iCs/>
        </w:rPr>
        <w:t>Id</w:t>
      </w:r>
      <w:r w:rsidR="00366F6B">
        <w:t xml:space="preserve">. at p. 1018; </w:t>
      </w:r>
      <w:r w:rsidR="00366F6B" w:rsidRPr="009524B7">
        <w:rPr>
          <w:i/>
          <w:iCs/>
        </w:rPr>
        <w:t>Donohue</w:t>
      </w:r>
      <w:r w:rsidR="00366F6B">
        <w:t xml:space="preserve">, </w:t>
      </w:r>
      <w:r w:rsidR="00366F6B" w:rsidRPr="0086722D">
        <w:rPr>
          <w:i/>
          <w:iCs/>
        </w:rPr>
        <w:t>sup</w:t>
      </w:r>
      <w:r w:rsidR="006E1B32">
        <w:rPr>
          <w:i/>
          <w:iCs/>
        </w:rPr>
        <w:t>r</w:t>
      </w:r>
      <w:r w:rsidR="00366F6B" w:rsidRPr="0086722D">
        <w:rPr>
          <w:i/>
          <w:iCs/>
        </w:rPr>
        <w:t>a</w:t>
      </w:r>
      <w:r w:rsidR="00366F6B">
        <w:t>,</w:t>
      </w:r>
      <w:r w:rsidR="00366F6B" w:rsidRPr="009524B7">
        <w:rPr>
          <w:i/>
          <w:iCs/>
        </w:rPr>
        <w:t xml:space="preserve"> </w:t>
      </w:r>
      <w:r w:rsidR="00366F6B">
        <w:t xml:space="preserve">11 Cal.5th at </w:t>
      </w:r>
      <w:r w:rsidR="006E1B32">
        <w:t>p</w:t>
      </w:r>
      <w:r w:rsidR="00366F6B">
        <w:t>p. 67</w:t>
      </w:r>
      <w:r w:rsidR="006E1B32">
        <w:t>-68</w:t>
      </w:r>
      <w:r w:rsidR="00366F6B">
        <w:t xml:space="preserve">.)  </w:t>
      </w:r>
      <w:r w:rsidR="003B10C6">
        <w:t xml:space="preserve">We need not decide whether </w:t>
      </w:r>
      <w:r w:rsidR="001B7C32">
        <w:t xml:space="preserve">certain industries may </w:t>
      </w:r>
      <w:r w:rsidR="006F3555">
        <w:t xml:space="preserve">restrict </w:t>
      </w:r>
      <w:r w:rsidR="001B7C32">
        <w:t>their employees</w:t>
      </w:r>
      <w:r w:rsidR="006F3555">
        <w:t xml:space="preserve">’ freedom of movement </w:t>
      </w:r>
      <w:r w:rsidR="001B7C32">
        <w:t xml:space="preserve">during meal </w:t>
      </w:r>
      <w:r w:rsidR="003B140F">
        <w:t>breaks</w:t>
      </w:r>
      <w:r w:rsidR="001B7C32">
        <w:t>.  E</w:t>
      </w:r>
      <w:r w:rsidR="00E74E43" w:rsidRPr="00D72FE3">
        <w:t xml:space="preserve">ven if </w:t>
      </w:r>
      <w:r w:rsidR="00487E59">
        <w:t>there is some flexibility to this standard</w:t>
      </w:r>
      <w:r w:rsidR="001B7C32">
        <w:t xml:space="preserve">, </w:t>
      </w:r>
      <w:r w:rsidR="00E74E43" w:rsidRPr="00D72FE3">
        <w:t xml:space="preserve">Royalty </w:t>
      </w:r>
      <w:r w:rsidR="00A00FBD" w:rsidRPr="00D72FE3">
        <w:t xml:space="preserve">has not cited anything in the record showing </w:t>
      </w:r>
      <w:r w:rsidR="002950FE" w:rsidRPr="00D72FE3">
        <w:t>an exception to the general rule</w:t>
      </w:r>
      <w:r w:rsidR="00015BFD">
        <w:t xml:space="preserve"> </w:t>
      </w:r>
      <w:r w:rsidR="008C5100" w:rsidRPr="00D72FE3">
        <w:t xml:space="preserve">is </w:t>
      </w:r>
      <w:r w:rsidR="005E5F49">
        <w:t>warranted</w:t>
      </w:r>
      <w:r w:rsidR="00EB6F17">
        <w:t xml:space="preserve"> </w:t>
      </w:r>
      <w:r w:rsidR="00D72FE3">
        <w:t>here</w:t>
      </w:r>
      <w:r w:rsidR="00D75CB8" w:rsidRPr="00D72FE3">
        <w:t>.</w:t>
      </w:r>
    </w:p>
    <w:p w14:paraId="43CA0362" w14:textId="74F71231" w:rsidR="00867349" w:rsidRDefault="00432A9A" w:rsidP="00867349">
      <w:pPr>
        <w:tabs>
          <w:tab w:val="left" w:pos="1440"/>
          <w:tab w:val="left" w:pos="2880"/>
          <w:tab w:val="left" w:pos="4320"/>
          <w:tab w:val="left" w:pos="5760"/>
          <w:tab w:val="left" w:pos="7665"/>
        </w:tabs>
        <w:spacing w:line="480" w:lineRule="atLeast"/>
      </w:pPr>
      <w:r>
        <w:tab/>
      </w:r>
      <w:r w:rsidR="0028772C">
        <w:t xml:space="preserve">Royalty also </w:t>
      </w:r>
      <w:r w:rsidR="00E51052">
        <w:t>compares</w:t>
      </w:r>
      <w:r w:rsidR="00710503">
        <w:t xml:space="preserve"> </w:t>
      </w:r>
      <w:r w:rsidR="00F024FB">
        <w:t xml:space="preserve">off-duty meal periods to </w:t>
      </w:r>
      <w:r w:rsidR="004E2317">
        <w:t>off-duty rest periods</w:t>
      </w:r>
      <w:r w:rsidR="0093031C">
        <w:t xml:space="preserve">.  For the latter, </w:t>
      </w:r>
      <w:r w:rsidR="00E3381A">
        <w:t>our Supreme Court</w:t>
      </w:r>
      <w:r w:rsidR="0093031C">
        <w:t xml:space="preserve"> has</w:t>
      </w:r>
      <w:r w:rsidR="00E3381A">
        <w:t xml:space="preserve"> </w:t>
      </w:r>
      <w:r w:rsidR="00F11EF4">
        <w:t>suggested</w:t>
      </w:r>
      <w:r w:rsidR="00B0503A">
        <w:t xml:space="preserve"> </w:t>
      </w:r>
      <w:r w:rsidR="00B53D6A">
        <w:t>employer</w:t>
      </w:r>
      <w:r w:rsidR="00DB08F2">
        <w:t>s</w:t>
      </w:r>
      <w:r w:rsidR="00B53D6A">
        <w:t xml:space="preserve"> can </w:t>
      </w:r>
      <w:r w:rsidR="005B25FD">
        <w:t xml:space="preserve">lawfully </w:t>
      </w:r>
      <w:r w:rsidR="00B53D6A">
        <w:t xml:space="preserve">require </w:t>
      </w:r>
      <w:r w:rsidR="0088404F">
        <w:t xml:space="preserve">employees to remain on </w:t>
      </w:r>
      <w:r w:rsidR="0051504E">
        <w:t xml:space="preserve">the </w:t>
      </w:r>
      <w:r w:rsidR="0088404F">
        <w:t>premises</w:t>
      </w:r>
      <w:r w:rsidR="004E2317">
        <w:t xml:space="preserve">.  </w:t>
      </w:r>
      <w:r>
        <w:t>(</w:t>
      </w:r>
      <w:r w:rsidR="0051504E">
        <w:t xml:space="preserve">See </w:t>
      </w:r>
      <w:r w:rsidRPr="00867349">
        <w:rPr>
          <w:i/>
          <w:iCs/>
        </w:rPr>
        <w:t>Augustus v. ABM Security Services, Inc.</w:t>
      </w:r>
      <w:r>
        <w:t xml:space="preserve"> (2016) 2 Cal.5th 257, 2</w:t>
      </w:r>
      <w:r>
        <w:t xml:space="preserve">70.)  </w:t>
      </w:r>
      <w:r w:rsidR="000D4934">
        <w:t>Royalty contends</w:t>
      </w:r>
      <w:r w:rsidR="007C6EBB">
        <w:t xml:space="preserve"> the same should be true for off-duty meal periods</w:t>
      </w:r>
      <w:r w:rsidR="007C6EBB" w:rsidRPr="00B25115">
        <w:t xml:space="preserve">.  </w:t>
      </w:r>
      <w:r w:rsidR="00EC293E">
        <w:t>Not so</w:t>
      </w:r>
      <w:r w:rsidR="004237BA">
        <w:t xml:space="preserve">.  The </w:t>
      </w:r>
      <w:r w:rsidR="00CC00CD" w:rsidRPr="00B25115">
        <w:t xml:space="preserve">Court has </w:t>
      </w:r>
      <w:r w:rsidR="0013352E">
        <w:t>unequivocally</w:t>
      </w:r>
      <w:r w:rsidR="00CC00CD" w:rsidRPr="00B25115">
        <w:t xml:space="preserve"> stated </w:t>
      </w:r>
      <w:r w:rsidR="00502282" w:rsidRPr="00B25115">
        <w:t xml:space="preserve">employers </w:t>
      </w:r>
      <w:r w:rsidR="00AC1ADB" w:rsidRPr="00B25115">
        <w:t xml:space="preserve">must </w:t>
      </w:r>
      <w:r w:rsidR="00C963F4" w:rsidRPr="00B25115">
        <w:t xml:space="preserve">afford </w:t>
      </w:r>
      <w:r w:rsidR="00AC1ADB" w:rsidRPr="00B25115">
        <w:t xml:space="preserve">employees meal periods in which they </w:t>
      </w:r>
      <w:r w:rsidR="00C963F4" w:rsidRPr="00B25115">
        <w:t>“</w:t>
      </w:r>
      <w:r w:rsidR="0062339B" w:rsidRPr="00B25115">
        <w:t>are free to come and go as they please.”  (</w:t>
      </w:r>
      <w:r w:rsidR="00C963F4" w:rsidRPr="00B25115">
        <w:rPr>
          <w:i/>
          <w:iCs/>
        </w:rPr>
        <w:t>Brinker</w:t>
      </w:r>
      <w:r w:rsidR="00C963F4" w:rsidRPr="00B25115">
        <w:t xml:space="preserve">, </w:t>
      </w:r>
      <w:r w:rsidR="00C963F4" w:rsidRPr="00B25115">
        <w:rPr>
          <w:i/>
          <w:iCs/>
        </w:rPr>
        <w:t>supra</w:t>
      </w:r>
      <w:r w:rsidR="00C963F4" w:rsidRPr="00B25115">
        <w:t xml:space="preserve">, 53 Cal.4th at </w:t>
      </w:r>
      <w:r w:rsidR="0062339B" w:rsidRPr="00B25115">
        <w:t>p.</w:t>
      </w:r>
      <w:r w:rsidR="006E1B32">
        <w:t> </w:t>
      </w:r>
      <w:r w:rsidR="0062339B" w:rsidRPr="00B25115">
        <w:t>1037.)</w:t>
      </w:r>
      <w:r w:rsidR="0062339B">
        <w:t xml:space="preserve"> </w:t>
      </w:r>
      <w:r w:rsidR="00B25115">
        <w:t xml:space="preserve"> Further</w:t>
      </w:r>
      <w:r>
        <w:t>,</w:t>
      </w:r>
      <w:r w:rsidR="002321BC">
        <w:t xml:space="preserve"> there are material differences between rest breaks and meal </w:t>
      </w:r>
      <w:r w:rsidR="00E42B79">
        <w:t>breaks</w:t>
      </w:r>
      <w:r w:rsidR="00232B88">
        <w:t xml:space="preserve"> </w:t>
      </w:r>
      <w:r w:rsidR="00C3272F">
        <w:t>namely</w:t>
      </w:r>
      <w:r w:rsidR="00232B88">
        <w:t xml:space="preserve">, their length.  </w:t>
      </w:r>
      <w:r>
        <w:t>“</w:t>
      </w:r>
      <w:r w:rsidR="00232B88">
        <w:t>B</w:t>
      </w:r>
      <w:r>
        <w:t>ecause rest periods are 10 minutes in length [citation], they impose practical limitations on an employee</w:t>
      </w:r>
      <w:r w:rsidR="0086406F">
        <w:t>’</w:t>
      </w:r>
      <w:r>
        <w:t xml:space="preserve">s movement. </w:t>
      </w:r>
      <w:r w:rsidR="00E5038C">
        <w:t xml:space="preserve"> </w:t>
      </w:r>
      <w:r>
        <w:t xml:space="preserve">That is, </w:t>
      </w:r>
      <w:r>
        <w:t xml:space="preserve">during a rest period an employee generally can travel at most five minutes from a work post before returning to make it back on time. </w:t>
      </w:r>
      <w:r w:rsidR="00E5038C">
        <w:t xml:space="preserve"> </w:t>
      </w:r>
      <w:r>
        <w:t xml:space="preserve">Thus, one would expect that employees will ordinarily have to remain on site or nearby. </w:t>
      </w:r>
      <w:r w:rsidR="00E5038C">
        <w:t xml:space="preserve"> </w:t>
      </w:r>
      <w:r>
        <w:t>This constraint, which is of cou</w:t>
      </w:r>
      <w:r>
        <w:t>rse common to all rest periods, is not sufficient to establish employer control.</w:t>
      </w:r>
      <w:r w:rsidR="000D4934">
        <w:t>”  (</w:t>
      </w:r>
      <w:r w:rsidR="00EE254B" w:rsidRPr="00867349">
        <w:rPr>
          <w:i/>
          <w:iCs/>
        </w:rPr>
        <w:t>Augustus</w:t>
      </w:r>
      <w:r w:rsidR="00EE254B">
        <w:t xml:space="preserve">, </w:t>
      </w:r>
      <w:r w:rsidR="006E1B32">
        <w:t>at</w:t>
      </w:r>
      <w:r w:rsidR="00EE254B">
        <w:t xml:space="preserve"> p. 270</w:t>
      </w:r>
      <w:r w:rsidR="000D4934">
        <w:t>.)</w:t>
      </w:r>
      <w:r w:rsidR="007979F1">
        <w:t xml:space="preserve">  </w:t>
      </w:r>
      <w:r w:rsidR="00F95C4E">
        <w:t>The analogy to rest periods is unpersuasive</w:t>
      </w:r>
      <w:r w:rsidR="00A8530B">
        <w:t xml:space="preserve"> </w:t>
      </w:r>
      <w:r w:rsidR="001844D2">
        <w:t>since</w:t>
      </w:r>
      <w:r w:rsidR="00A8530B">
        <w:t xml:space="preserve"> meal </w:t>
      </w:r>
      <w:r w:rsidR="007979F1">
        <w:t>periods are three times longer and are not subject to the same time constraints.</w:t>
      </w:r>
    </w:p>
    <w:p w14:paraId="7864261C" w14:textId="061F1042" w:rsidR="00FA160D" w:rsidRPr="006E1B32" w:rsidRDefault="00432A9A" w:rsidP="006E1B32">
      <w:pPr>
        <w:pStyle w:val="ListParagraph"/>
        <w:keepNext/>
        <w:tabs>
          <w:tab w:val="left" w:pos="1440"/>
          <w:tab w:val="left" w:pos="4320"/>
          <w:tab w:val="left" w:pos="5760"/>
          <w:tab w:val="left" w:pos="7200"/>
          <w:tab w:val="left" w:pos="8640"/>
        </w:tabs>
        <w:spacing w:before="360" w:line="480" w:lineRule="atLeast"/>
        <w:ind w:left="1440"/>
        <w:rPr>
          <w:i/>
          <w:iCs/>
        </w:rPr>
      </w:pPr>
      <w:r>
        <w:rPr>
          <w:i/>
          <w:iCs/>
        </w:rPr>
        <w:lastRenderedPageBreak/>
        <w:t xml:space="preserve">2.  </w:t>
      </w:r>
      <w:r w:rsidRPr="006E1B32">
        <w:rPr>
          <w:i/>
          <w:iCs/>
        </w:rPr>
        <w:t>Offsets to premium pay</w:t>
      </w:r>
    </w:p>
    <w:p w14:paraId="1295FF02" w14:textId="7C3DE44C" w:rsidR="007808B4" w:rsidRDefault="00432A9A" w:rsidP="00FB17F5">
      <w:pPr>
        <w:tabs>
          <w:tab w:val="left" w:pos="1440"/>
          <w:tab w:val="left" w:pos="2880"/>
          <w:tab w:val="left" w:pos="4320"/>
          <w:tab w:val="left" w:pos="5760"/>
          <w:tab w:val="left" w:pos="7200"/>
          <w:tab w:val="left" w:pos="8640"/>
        </w:tabs>
        <w:spacing w:line="480" w:lineRule="atLeast"/>
      </w:pPr>
      <w:r>
        <w:tab/>
      </w:r>
      <w:r w:rsidR="00CA1017">
        <w:t>As a fallback argument</w:t>
      </w:r>
      <w:r w:rsidR="00AE62D9" w:rsidRPr="00EC40DC">
        <w:t xml:space="preserve">, Royalty </w:t>
      </w:r>
      <w:r w:rsidR="0088462F">
        <w:t>suggests</w:t>
      </w:r>
      <w:r w:rsidR="00AE62D9" w:rsidRPr="00EC40DC">
        <w:t xml:space="preserve"> the </w:t>
      </w:r>
      <w:r w:rsidR="00F216B9" w:rsidRPr="00EC40DC">
        <w:t xml:space="preserve">amount </w:t>
      </w:r>
      <w:r w:rsidR="006E187D">
        <w:t xml:space="preserve">of premium pay </w:t>
      </w:r>
      <w:r w:rsidR="00AE62D9" w:rsidRPr="00EC40DC">
        <w:t xml:space="preserve">awarded by the court should be offset by the </w:t>
      </w:r>
      <w:r w:rsidR="00781442">
        <w:t xml:space="preserve">regular </w:t>
      </w:r>
      <w:r w:rsidR="00AE62D9" w:rsidRPr="00EC40DC">
        <w:t xml:space="preserve">wages it paid </w:t>
      </w:r>
      <w:r w:rsidR="003C203E">
        <w:t xml:space="preserve">to </w:t>
      </w:r>
      <w:r w:rsidR="007D3A3D" w:rsidRPr="00EC40DC">
        <w:t xml:space="preserve">Porterville </w:t>
      </w:r>
      <w:r w:rsidR="00AE62D9" w:rsidRPr="00EC40DC">
        <w:t xml:space="preserve">employees during their meal periods.  </w:t>
      </w:r>
      <w:r w:rsidR="004C6AC4">
        <w:t xml:space="preserve">But </w:t>
      </w:r>
      <w:r w:rsidR="004A102B">
        <w:t>no offset</w:t>
      </w:r>
      <w:r w:rsidR="00FA75B8" w:rsidRPr="00EC40DC">
        <w:t xml:space="preserve"> </w:t>
      </w:r>
      <w:r w:rsidR="00E63778">
        <w:t xml:space="preserve">applies </w:t>
      </w:r>
      <w:r w:rsidR="004A102B">
        <w:t xml:space="preserve">because </w:t>
      </w:r>
      <w:r w:rsidR="00FA75B8" w:rsidRPr="00EC40DC">
        <w:t>p</w:t>
      </w:r>
      <w:r w:rsidR="00352A11" w:rsidRPr="00EC40DC">
        <w:t xml:space="preserve">remium pay </w:t>
      </w:r>
      <w:r w:rsidR="008115BF">
        <w:t xml:space="preserve">under section 226.7 </w:t>
      </w:r>
      <w:r w:rsidR="00352A11" w:rsidRPr="00EC40DC">
        <w:t xml:space="preserve">serves a </w:t>
      </w:r>
      <w:r w:rsidR="00630F5D">
        <w:t xml:space="preserve">different </w:t>
      </w:r>
      <w:r w:rsidR="00352A11" w:rsidRPr="00EC40DC">
        <w:t xml:space="preserve">purpose than </w:t>
      </w:r>
      <w:r w:rsidR="00006EA7">
        <w:t>wages</w:t>
      </w:r>
      <w:r w:rsidR="00352A11" w:rsidRPr="00EC40DC">
        <w:t xml:space="preserve">.  </w:t>
      </w:r>
      <w:r w:rsidR="00196CFD">
        <w:t xml:space="preserve">Rather than compensating employees for time worked, it </w:t>
      </w:r>
      <w:r w:rsidR="000A288A" w:rsidRPr="00EC40DC">
        <w:t xml:space="preserve">is awarded </w:t>
      </w:r>
      <w:r w:rsidR="007B5D94" w:rsidRPr="00EC40DC">
        <w:t xml:space="preserve">for the </w:t>
      </w:r>
      <w:r w:rsidR="007B5D94" w:rsidRPr="00F831FD">
        <w:t>noneconomic injur</w:t>
      </w:r>
      <w:r w:rsidRPr="00F831FD">
        <w:t>ies</w:t>
      </w:r>
      <w:r w:rsidR="007B5D94" w:rsidRPr="00EC40DC">
        <w:t xml:space="preserve"> suffered by </w:t>
      </w:r>
      <w:r w:rsidR="00DC1CCD">
        <w:t xml:space="preserve">them </w:t>
      </w:r>
      <w:r w:rsidR="00436D68">
        <w:t xml:space="preserve">due to deprivation </w:t>
      </w:r>
      <w:r w:rsidR="00ED3DF4" w:rsidRPr="00EC40DC">
        <w:t xml:space="preserve">of </w:t>
      </w:r>
      <w:r w:rsidR="007B5D94" w:rsidRPr="00EC40DC">
        <w:t>a compliant meal period.</w:t>
      </w:r>
    </w:p>
    <w:p w14:paraId="79127139" w14:textId="171E2D54" w:rsidR="009736E1" w:rsidRDefault="00432A9A" w:rsidP="00FB17F5">
      <w:pPr>
        <w:tabs>
          <w:tab w:val="left" w:pos="1440"/>
          <w:tab w:val="left" w:pos="2880"/>
          <w:tab w:val="left" w:pos="4320"/>
          <w:tab w:val="left" w:pos="5760"/>
          <w:tab w:val="left" w:pos="7200"/>
          <w:tab w:val="left" w:pos="8640"/>
        </w:tabs>
        <w:spacing w:line="480" w:lineRule="atLeast"/>
      </w:pPr>
      <w:r>
        <w:tab/>
      </w:r>
      <w:r w:rsidR="00E476D2" w:rsidRPr="00EC40DC">
        <w:rPr>
          <w:bCs/>
          <w:iCs/>
        </w:rPr>
        <w:t>“Section 226.7 is not aimed at protecting or providing employees’ wages.  Instead, the statute is primarily concerned with ensuring the health and welfare of employees by requiring that employers provide meal and rest periods as mandated</w:t>
      </w:r>
      <w:r w:rsidR="006E1B32">
        <w:rPr>
          <w:bCs/>
          <w:iCs/>
        </w:rPr>
        <w:t xml:space="preserve"> </w:t>
      </w:r>
      <w:r w:rsidR="00C53C42" w:rsidRPr="00EC40DC">
        <w:rPr>
          <w:bCs/>
          <w:iCs/>
        </w:rPr>
        <w:t>.</w:t>
      </w:r>
      <w:r w:rsidR="006E1B32">
        <w:rPr>
          <w:bCs/>
          <w:iCs/>
        </w:rPr>
        <w:t xml:space="preserve"> . . .</w:t>
      </w:r>
      <w:r w:rsidR="00E476D2" w:rsidRPr="00EC40DC">
        <w:rPr>
          <w:bCs/>
          <w:iCs/>
        </w:rPr>
        <w:t>”  (</w:t>
      </w:r>
      <w:r w:rsidR="00E476D2" w:rsidRPr="00EC40DC">
        <w:rPr>
          <w:bCs/>
          <w:i/>
        </w:rPr>
        <w:t xml:space="preserve">Kirby v. Immoos Fire Protection, Inc. </w:t>
      </w:r>
      <w:r w:rsidR="00E476D2" w:rsidRPr="00EC40DC">
        <w:rPr>
          <w:bCs/>
          <w:iCs/>
        </w:rPr>
        <w:t xml:space="preserve">(2012) 53 Cal.4th 1244, 1255.)  </w:t>
      </w:r>
      <w:r w:rsidR="001765AC" w:rsidRPr="00EC40DC">
        <w:rPr>
          <w:bCs/>
          <w:iCs/>
        </w:rPr>
        <w:t>E</w:t>
      </w:r>
      <w:r w:rsidR="007B5D94" w:rsidRPr="00EC40DC">
        <w:t>ven if the employee “is paid for the 30 minutes of work, the employee has been deprived of the right to be free of the employer’s control during the meal period.</w:t>
      </w:r>
      <w:r w:rsidR="004C574B" w:rsidRPr="00EC40DC">
        <w:t>”  (</w:t>
      </w:r>
      <w:r w:rsidR="004C574B" w:rsidRPr="00EC40DC">
        <w:rPr>
          <w:i/>
          <w:iCs/>
        </w:rPr>
        <w:t>Murphy v. Kenneth Cole Productions, Inc.</w:t>
      </w:r>
      <w:r w:rsidR="004C574B" w:rsidRPr="00EC40DC">
        <w:t xml:space="preserve"> (2007) 40 Cal.4th 1094, 1104.)  </w:t>
      </w:r>
      <w:r w:rsidR="0019098F">
        <w:t xml:space="preserve">Noncompliant meal </w:t>
      </w:r>
      <w:r w:rsidR="007B5D94" w:rsidRPr="00EC40DC">
        <w:t>period</w:t>
      </w:r>
      <w:r w:rsidR="0019098F">
        <w:t>s</w:t>
      </w:r>
      <w:r w:rsidR="007B5D94" w:rsidRPr="00EC40DC">
        <w:t xml:space="preserve"> “den</w:t>
      </w:r>
      <w:r w:rsidR="0019098F">
        <w:t>[y]</w:t>
      </w:r>
      <w:r w:rsidR="007B5D94" w:rsidRPr="00EC40DC">
        <w:t xml:space="preserve"> employees time free from employer control that is often needed to be able to accomplish important personal tasks.”  (</w:t>
      </w:r>
      <w:r w:rsidR="007B5D94" w:rsidRPr="00EC40DC">
        <w:rPr>
          <w:i/>
          <w:iCs/>
        </w:rPr>
        <w:t>Id</w:t>
      </w:r>
      <w:r w:rsidR="007B5D94" w:rsidRPr="00EC40DC">
        <w:t xml:space="preserve">. at p. 1113.)  </w:t>
      </w:r>
      <w:r w:rsidR="00CE0C83" w:rsidRPr="00EC40DC">
        <w:t>“Section 226.7 provides the only compensation for these injuries.”  (</w:t>
      </w:r>
      <w:r w:rsidR="00CE0C83" w:rsidRPr="00EC40DC">
        <w:rPr>
          <w:i/>
          <w:iCs/>
        </w:rPr>
        <w:t>Id</w:t>
      </w:r>
      <w:r w:rsidR="00CE0C83" w:rsidRPr="00EC40DC">
        <w:t>. at p. 1104.)</w:t>
      </w:r>
    </w:p>
    <w:p w14:paraId="4F700118" w14:textId="521CF2E4" w:rsidR="00DF257F" w:rsidRPr="00B25574" w:rsidRDefault="00432A9A" w:rsidP="00B25574">
      <w:pPr>
        <w:tabs>
          <w:tab w:val="left" w:pos="1440"/>
          <w:tab w:val="left" w:pos="2880"/>
          <w:tab w:val="left" w:pos="4320"/>
          <w:tab w:val="left" w:pos="5760"/>
          <w:tab w:val="left" w:pos="7200"/>
          <w:tab w:val="left" w:pos="8640"/>
        </w:tabs>
        <w:spacing w:line="480" w:lineRule="atLeast"/>
      </w:pPr>
      <w:r>
        <w:tab/>
      </w:r>
      <w:r w:rsidR="001C619B">
        <w:t xml:space="preserve">Moreover, </w:t>
      </w:r>
      <w:r w:rsidR="00AA7DB8">
        <w:t>“</w:t>
      </w:r>
      <w:r w:rsidR="001C619B">
        <w:t>e</w:t>
      </w:r>
      <w:r w:rsidR="00AA7DB8" w:rsidRPr="00AA7DB8">
        <w:t>ven a minor infringement of the meal period triggers the premium pay obligation.”  (</w:t>
      </w:r>
      <w:r w:rsidR="00AA7DB8" w:rsidRPr="00AA7DB8">
        <w:rPr>
          <w:i/>
          <w:iCs/>
        </w:rPr>
        <w:t>Donohue</w:t>
      </w:r>
      <w:r w:rsidR="003B5E75">
        <w:t xml:space="preserve">, </w:t>
      </w:r>
      <w:r w:rsidR="003B5E75" w:rsidRPr="003B5E75">
        <w:rPr>
          <w:i/>
          <w:iCs/>
        </w:rPr>
        <w:t>supra</w:t>
      </w:r>
      <w:r w:rsidR="003B5E75">
        <w:t>,</w:t>
      </w:r>
      <w:r w:rsidR="00AA7DB8" w:rsidRPr="003B5E75">
        <w:t xml:space="preserve"> </w:t>
      </w:r>
      <w:r w:rsidR="00AA7DB8" w:rsidRPr="00AA7DB8">
        <w:t xml:space="preserve">11 Cal.5th </w:t>
      </w:r>
      <w:r w:rsidR="003B5E75">
        <w:t xml:space="preserve">at </w:t>
      </w:r>
      <w:r w:rsidR="006E1B32">
        <w:t>p</w:t>
      </w:r>
      <w:r w:rsidR="003B5E75">
        <w:t xml:space="preserve">p. </w:t>
      </w:r>
      <w:r w:rsidR="006E1B32">
        <w:t>67-</w:t>
      </w:r>
      <w:r w:rsidR="00AA7DB8" w:rsidRPr="00AA7DB8">
        <w:t>68.)</w:t>
      </w:r>
      <w:r w:rsidRPr="00A203CA">
        <w:t xml:space="preserve"> </w:t>
      </w:r>
      <w:r>
        <w:t xml:space="preserve"> “</w:t>
      </w:r>
      <w:r w:rsidRPr="00A203CA">
        <w:t xml:space="preserve">In the meal period context, an employee receives the full amount of premium pay </w:t>
      </w:r>
      <w:r>
        <w:t>. . . </w:t>
      </w:r>
      <w:r w:rsidRPr="00A203CA">
        <w:t>regardless of the extent of the violation.  [Citations.]  In other words, whether an employer provides a shortened meal period or no meal period at all, the employee rece</w:t>
      </w:r>
      <w:r w:rsidRPr="00A203CA">
        <w:t>ives one additional hour of pay.”  (</w:t>
      </w:r>
      <w:r w:rsidRPr="008F392D">
        <w:rPr>
          <w:i/>
          <w:iCs/>
        </w:rPr>
        <w:t>Id</w:t>
      </w:r>
      <w:r>
        <w:t xml:space="preserve">. at p. </w:t>
      </w:r>
      <w:r w:rsidRPr="00A203CA">
        <w:t>69.)</w:t>
      </w:r>
      <w:r w:rsidR="00CA4FB4" w:rsidRPr="00CA4FB4">
        <w:t xml:space="preserve"> </w:t>
      </w:r>
      <w:r w:rsidR="00CA4FB4">
        <w:t xml:space="preserve"> “</w:t>
      </w:r>
      <w:r w:rsidR="00CA4FB4" w:rsidRPr="00CA4FB4">
        <w:t>The premise of this approach is that even relatively minor infringements on meal periods can cause substantial burdens to the employee</w:t>
      </w:r>
      <w:r w:rsidR="005D28BC">
        <w:t>.</w:t>
      </w:r>
      <w:r w:rsidR="00CA4FB4" w:rsidRPr="00CA4FB4">
        <w:t>”  (</w:t>
      </w:r>
      <w:r w:rsidR="004E1401">
        <w:rPr>
          <w:i/>
          <w:iCs/>
        </w:rPr>
        <w:t>Ibid</w:t>
      </w:r>
      <w:r w:rsidR="00CA4FB4" w:rsidRPr="00CA4FB4">
        <w:t>.)</w:t>
      </w:r>
      <w:r w:rsidR="004328F2">
        <w:t xml:space="preserve"> </w:t>
      </w:r>
      <w:r w:rsidR="004328F2" w:rsidRPr="004328F2">
        <w:t xml:space="preserve"> “By requiring premium pay for any violation, no matter how minor, the structure makes clear that employers must provide compliant meal periods whenever such a period is triggered.”  (</w:t>
      </w:r>
      <w:r w:rsidR="004E1401">
        <w:rPr>
          <w:i/>
          <w:iCs/>
        </w:rPr>
        <w:t>Ibi</w:t>
      </w:r>
      <w:r w:rsidR="00127EFF">
        <w:rPr>
          <w:i/>
          <w:iCs/>
        </w:rPr>
        <w:t>d</w:t>
      </w:r>
      <w:r w:rsidR="004328F2" w:rsidRPr="004328F2">
        <w:t>.)</w:t>
      </w:r>
    </w:p>
    <w:p w14:paraId="6A7AA398" w14:textId="752BEAB4" w:rsidR="00A710C1" w:rsidRPr="00CE143B" w:rsidRDefault="00432A9A" w:rsidP="00D40380">
      <w:pPr>
        <w:pStyle w:val="ListParagraph"/>
        <w:tabs>
          <w:tab w:val="left" w:pos="1350"/>
          <w:tab w:val="left" w:pos="1440"/>
          <w:tab w:val="left" w:pos="1620"/>
          <w:tab w:val="left" w:pos="4320"/>
          <w:tab w:val="left" w:pos="5760"/>
          <w:tab w:val="left" w:pos="7200"/>
          <w:tab w:val="left" w:pos="8640"/>
        </w:tabs>
        <w:spacing w:before="360" w:line="480" w:lineRule="atLeast"/>
        <w:ind w:left="1530" w:hanging="90"/>
        <w:rPr>
          <w:i/>
          <w:iCs/>
        </w:rPr>
      </w:pPr>
      <w:r>
        <w:rPr>
          <w:i/>
          <w:iCs/>
        </w:rPr>
        <w:lastRenderedPageBreak/>
        <w:t xml:space="preserve">3.  </w:t>
      </w:r>
      <w:r w:rsidR="00CE143B" w:rsidRPr="00CE143B">
        <w:rPr>
          <w:i/>
          <w:iCs/>
        </w:rPr>
        <w:t xml:space="preserve">Validity of </w:t>
      </w:r>
      <w:r w:rsidR="007F38AA">
        <w:rPr>
          <w:i/>
          <w:iCs/>
        </w:rPr>
        <w:t>class members’</w:t>
      </w:r>
      <w:r w:rsidR="006C31BC">
        <w:rPr>
          <w:i/>
          <w:iCs/>
        </w:rPr>
        <w:t xml:space="preserve"> </w:t>
      </w:r>
      <w:r w:rsidR="00CE143B" w:rsidRPr="00CE143B">
        <w:rPr>
          <w:i/>
          <w:iCs/>
        </w:rPr>
        <w:t>releases</w:t>
      </w:r>
    </w:p>
    <w:p w14:paraId="172AB3B5" w14:textId="004C3DAD" w:rsidR="003F7A46" w:rsidRDefault="00432A9A" w:rsidP="00C5423B">
      <w:pPr>
        <w:tabs>
          <w:tab w:val="left" w:pos="1440"/>
          <w:tab w:val="left" w:pos="2880"/>
          <w:tab w:val="left" w:pos="4320"/>
          <w:tab w:val="left" w:pos="5760"/>
          <w:tab w:val="left" w:pos="7200"/>
          <w:tab w:val="left" w:pos="8640"/>
        </w:tabs>
        <w:spacing w:line="480" w:lineRule="atLeast"/>
      </w:pPr>
      <w:r>
        <w:tab/>
        <w:t xml:space="preserve">Porterville class members </w:t>
      </w:r>
      <w:r w:rsidR="00F70B55">
        <w:t xml:space="preserve">that settled with Royalty </w:t>
      </w:r>
      <w:r w:rsidR="009279D4">
        <w:t>released</w:t>
      </w:r>
      <w:r w:rsidR="00ED18F3">
        <w:t>, among other things,</w:t>
      </w:r>
      <w:r w:rsidR="009279D4">
        <w:t xml:space="preserve"> </w:t>
      </w:r>
      <w:r w:rsidR="00F70B55">
        <w:t xml:space="preserve">their right </w:t>
      </w:r>
      <w:r w:rsidR="00726382">
        <w:t>to</w:t>
      </w:r>
      <w:r w:rsidR="0030699D">
        <w:t xml:space="preserve"> </w:t>
      </w:r>
      <w:r w:rsidR="007832B9">
        <w:t xml:space="preserve">any </w:t>
      </w:r>
      <w:r w:rsidR="00726382">
        <w:t xml:space="preserve">premium pay </w:t>
      </w:r>
      <w:r w:rsidR="001C044D">
        <w:t xml:space="preserve">for meal period violations </w:t>
      </w:r>
      <w:r w:rsidR="00086FD1">
        <w:t xml:space="preserve">owed </w:t>
      </w:r>
      <w:r w:rsidR="007832B9">
        <w:t xml:space="preserve">up </w:t>
      </w:r>
      <w:r w:rsidR="008B76EB">
        <w:t xml:space="preserve">to </w:t>
      </w:r>
      <w:r w:rsidR="007832B9">
        <w:t xml:space="preserve">the </w:t>
      </w:r>
      <w:r w:rsidR="00681816">
        <w:t xml:space="preserve">date of the </w:t>
      </w:r>
      <w:r w:rsidR="00BE4A1E">
        <w:t>settlement</w:t>
      </w:r>
      <w:r w:rsidR="00726382">
        <w:t xml:space="preserve">.  </w:t>
      </w:r>
      <w:r w:rsidR="00240A5E" w:rsidRPr="00240A5E">
        <w:t>P</w:t>
      </w:r>
      <w:r w:rsidRPr="00240A5E">
        <w:t xml:space="preserve">laintiffs </w:t>
      </w:r>
      <w:r w:rsidR="00FA11D4">
        <w:t xml:space="preserve">claim </w:t>
      </w:r>
      <w:r w:rsidR="00240A5E" w:rsidRPr="00240A5E">
        <w:t xml:space="preserve">these </w:t>
      </w:r>
      <w:r w:rsidR="00936FD6" w:rsidRPr="00240A5E">
        <w:t xml:space="preserve">releases </w:t>
      </w:r>
      <w:r w:rsidR="001E3E2A" w:rsidRPr="00240A5E">
        <w:t xml:space="preserve">are </w:t>
      </w:r>
      <w:r w:rsidR="00FD4FC5" w:rsidRPr="00240A5E">
        <w:t>invalid</w:t>
      </w:r>
      <w:r w:rsidR="00977325" w:rsidRPr="00240A5E">
        <w:t xml:space="preserve">.  </w:t>
      </w:r>
      <w:r w:rsidR="00F06C6F">
        <w:t>T</w:t>
      </w:r>
      <w:r w:rsidR="000817AF" w:rsidRPr="00240A5E">
        <w:t xml:space="preserve">hey </w:t>
      </w:r>
      <w:r w:rsidR="00D37178">
        <w:t xml:space="preserve">contend </w:t>
      </w:r>
      <w:r w:rsidR="000817AF" w:rsidRPr="00240A5E">
        <w:t>Royalty</w:t>
      </w:r>
      <w:r w:rsidR="00C41FFA">
        <w:t xml:space="preserve">’s on-premises meal policy was </w:t>
      </w:r>
      <w:r w:rsidR="00274B3F">
        <w:t>patently</w:t>
      </w:r>
      <w:r w:rsidR="00C41FFA">
        <w:t xml:space="preserve"> unlawful</w:t>
      </w:r>
      <w:r w:rsidR="007E6D22">
        <w:t>,</w:t>
      </w:r>
      <w:r w:rsidR="007D45A1">
        <w:t xml:space="preserve"> and Royalty </w:t>
      </w:r>
      <w:r w:rsidR="00724AF0" w:rsidRPr="00240A5E">
        <w:t xml:space="preserve">could not settle this claim to avoid </w:t>
      </w:r>
      <w:r w:rsidR="0067627A">
        <w:t xml:space="preserve">its obvious </w:t>
      </w:r>
      <w:r w:rsidR="007D45A1">
        <w:t>premium pay</w:t>
      </w:r>
      <w:r w:rsidR="00D8323B">
        <w:t xml:space="preserve"> </w:t>
      </w:r>
      <w:r w:rsidR="0067627A">
        <w:t>obligation</w:t>
      </w:r>
      <w:r w:rsidR="00F06C6F">
        <w:t>s</w:t>
      </w:r>
      <w:r w:rsidR="00724AF0" w:rsidRPr="0094272C">
        <w:t>.</w:t>
      </w:r>
      <w:r w:rsidR="00F33FC5" w:rsidRPr="0094272C">
        <w:t xml:space="preserve">  </w:t>
      </w:r>
      <w:r w:rsidR="00057021" w:rsidRPr="0094272C">
        <w:t xml:space="preserve">We agree with the trial court that </w:t>
      </w:r>
      <w:r w:rsidR="000B2730">
        <w:t xml:space="preserve">Royalty had a good faith </w:t>
      </w:r>
      <w:r w:rsidR="00DE6F9D">
        <w:t xml:space="preserve">dispute as to the lawfulness of </w:t>
      </w:r>
      <w:r w:rsidR="000B2730">
        <w:t xml:space="preserve">this </w:t>
      </w:r>
      <w:r w:rsidR="00DE6F9D">
        <w:t xml:space="preserve">policy, and, </w:t>
      </w:r>
      <w:r w:rsidR="00361CCD">
        <w:t>therefore</w:t>
      </w:r>
      <w:r w:rsidR="00DE6F9D">
        <w:t xml:space="preserve">, the </w:t>
      </w:r>
      <w:r w:rsidR="00C430A2" w:rsidRPr="0094272C">
        <w:t>release</w:t>
      </w:r>
      <w:r w:rsidR="005661D4" w:rsidRPr="0094272C">
        <w:t>s</w:t>
      </w:r>
      <w:r w:rsidR="00C430A2" w:rsidRPr="0094272C">
        <w:t xml:space="preserve"> </w:t>
      </w:r>
      <w:r w:rsidR="00DE6F9D">
        <w:t xml:space="preserve">at issue </w:t>
      </w:r>
      <w:r w:rsidR="00C430A2" w:rsidRPr="0094272C">
        <w:t>are valid</w:t>
      </w:r>
      <w:r w:rsidR="00057021" w:rsidRPr="0094272C">
        <w:t>.</w:t>
      </w:r>
      <w:r>
        <w:rPr>
          <w:rStyle w:val="FootnoteReference"/>
        </w:rPr>
        <w:footnoteReference w:id="7"/>
      </w:r>
    </w:p>
    <w:p w14:paraId="7DFF6714" w14:textId="2FD4843D" w:rsidR="005D1A00" w:rsidRDefault="00432A9A" w:rsidP="005910E6">
      <w:pPr>
        <w:tabs>
          <w:tab w:val="left" w:pos="1440"/>
          <w:tab w:val="left" w:pos="2880"/>
          <w:tab w:val="left" w:pos="4320"/>
          <w:tab w:val="left" w:pos="5760"/>
          <w:tab w:val="left" w:pos="7200"/>
          <w:tab w:val="left" w:pos="8640"/>
        </w:tabs>
        <w:spacing w:line="480" w:lineRule="atLeast"/>
      </w:pPr>
      <w:r>
        <w:tab/>
      </w:r>
      <w:r w:rsidR="004E5EF2">
        <w:t xml:space="preserve">The applicable </w:t>
      </w:r>
      <w:r w:rsidR="00D96F9D">
        <w:t xml:space="preserve">statute </w:t>
      </w:r>
      <w:r w:rsidR="00A7043F">
        <w:t xml:space="preserve">is section 206.5, subdivision (a), which </w:t>
      </w:r>
      <w:r w:rsidR="00252406">
        <w:t xml:space="preserve">prevents an employer from </w:t>
      </w:r>
      <w:r w:rsidR="005910E6" w:rsidRPr="00554A98">
        <w:t>“</w:t>
      </w:r>
      <w:r w:rsidR="00252406">
        <w:t>requir[ing]</w:t>
      </w:r>
      <w:r w:rsidR="005910E6" w:rsidRPr="00554A98">
        <w:t xml:space="preserve"> the execution of a release of a claim or right on account of wages due, or to become due, </w:t>
      </w:r>
      <w:r w:rsidR="005910E6">
        <w:t>. . . </w:t>
      </w:r>
      <w:r w:rsidR="005910E6" w:rsidRPr="00554A98">
        <w:t xml:space="preserve">unless payment of those wages has been made. </w:t>
      </w:r>
      <w:r w:rsidR="005910E6">
        <w:t xml:space="preserve"> </w:t>
      </w:r>
      <w:r w:rsidR="005910E6" w:rsidRPr="00554A98">
        <w:t>A release required or executed in violation of the provisions of this section shall be null and void as between the employer and the employee.”</w:t>
      </w:r>
      <w:r w:rsidR="005910E6">
        <w:t xml:space="preserve"> </w:t>
      </w:r>
      <w:r w:rsidR="002F4BA7">
        <w:t xml:space="preserve"> </w:t>
      </w:r>
      <w:r w:rsidR="001A5C29" w:rsidRPr="00690712">
        <w:t>(§ 206</w:t>
      </w:r>
      <w:r w:rsidR="001A5C29">
        <w:t>.5</w:t>
      </w:r>
      <w:r w:rsidR="001A5C29" w:rsidRPr="00690712">
        <w:t>, subd. (a)</w:t>
      </w:r>
      <w:r w:rsidR="001A5C29">
        <w:t xml:space="preserve">.)  </w:t>
      </w:r>
      <w:r w:rsidR="005910E6">
        <w:t xml:space="preserve">This statute </w:t>
      </w:r>
      <w:r w:rsidR="00387DAA">
        <w:t xml:space="preserve">is read </w:t>
      </w:r>
      <w:r w:rsidR="00E80104">
        <w:t xml:space="preserve">along </w:t>
      </w:r>
      <w:r w:rsidR="009B1445">
        <w:t xml:space="preserve">with </w:t>
      </w:r>
      <w:r w:rsidR="005910E6">
        <w:t xml:space="preserve">section 206, subdivision (a), which </w:t>
      </w:r>
      <w:r w:rsidR="00831A68">
        <w:t>states</w:t>
      </w:r>
      <w:r w:rsidR="00AB4BBE">
        <w:t xml:space="preserve"> </w:t>
      </w:r>
      <w:r w:rsidR="00884B0E">
        <w:t xml:space="preserve">that </w:t>
      </w:r>
      <w:r w:rsidR="003E3125">
        <w:t xml:space="preserve">in </w:t>
      </w:r>
      <w:r w:rsidR="005910E6" w:rsidRPr="00690712">
        <w:t>wage</w:t>
      </w:r>
      <w:r w:rsidR="003E3125">
        <w:t xml:space="preserve"> disputes</w:t>
      </w:r>
      <w:r w:rsidR="005910E6" w:rsidRPr="00690712">
        <w:t xml:space="preserve">, </w:t>
      </w:r>
      <w:r w:rsidR="003E3125">
        <w:t>“</w:t>
      </w:r>
      <w:r w:rsidR="005910E6" w:rsidRPr="00690712">
        <w:t>the employer shall pay</w:t>
      </w:r>
      <w:r w:rsidR="00B00C03">
        <w:t xml:space="preserve"> . . .</w:t>
      </w:r>
      <w:r w:rsidR="005910E6" w:rsidRPr="00690712">
        <w:t xml:space="preserve"> all wages, or parts thereof, conceded by him to be due, leaving to the employee all remedies he might otherwise be entitled to as to any balance claimed.”  (§ 206, subd. (a)</w:t>
      </w:r>
      <w:r w:rsidR="00240062">
        <w:t xml:space="preserve">; </w:t>
      </w:r>
      <w:r w:rsidR="00240062" w:rsidRPr="00FA4197">
        <w:rPr>
          <w:i/>
          <w:iCs/>
        </w:rPr>
        <w:t>Watkins v. Wachovia Corp.</w:t>
      </w:r>
      <w:r w:rsidR="00240062" w:rsidRPr="00D80174">
        <w:t xml:space="preserve"> (2009) 172 Cal.App.4th 1576, </w:t>
      </w:r>
      <w:r w:rsidR="00A94202">
        <w:t>1586-</w:t>
      </w:r>
      <w:r w:rsidR="00240062" w:rsidRPr="00D80174">
        <w:t>1587.)</w:t>
      </w:r>
    </w:p>
    <w:p w14:paraId="18470AAE" w14:textId="5137A990" w:rsidR="005910E6" w:rsidRDefault="00432A9A" w:rsidP="005910E6">
      <w:pPr>
        <w:tabs>
          <w:tab w:val="left" w:pos="1440"/>
          <w:tab w:val="left" w:pos="2880"/>
          <w:tab w:val="left" w:pos="4320"/>
          <w:tab w:val="left" w:pos="5760"/>
          <w:tab w:val="left" w:pos="7200"/>
          <w:tab w:val="left" w:pos="8640"/>
        </w:tabs>
        <w:spacing w:line="480" w:lineRule="atLeast"/>
      </w:pPr>
      <w:r>
        <w:tab/>
      </w:r>
      <w:r w:rsidR="00BE76B8">
        <w:t>T</w:t>
      </w:r>
      <w:r w:rsidR="006655F2">
        <w:t xml:space="preserve">ogether, these statutes </w:t>
      </w:r>
      <w:r w:rsidRPr="00D80174">
        <w:t>“prohibit</w:t>
      </w:r>
      <w:r w:rsidR="006655F2">
        <w:t>[]</w:t>
      </w:r>
      <w:r w:rsidRPr="00D80174">
        <w:t xml:space="preserve"> employers from coercing settlements by withholding wages concededly due.</w:t>
      </w:r>
      <w:r w:rsidR="00261BBD">
        <w:t xml:space="preserve">  </w:t>
      </w:r>
      <w:r w:rsidR="00EF6AD2">
        <w:t>[W]</w:t>
      </w:r>
      <w:r w:rsidRPr="00D80174">
        <w:t xml:space="preserve">ages are not considered ‘due’ and unreleasable under Labor Code section 206.5, unless they are required to be paid under </w:t>
      </w:r>
      <w:r w:rsidRPr="00D80174">
        <w:t>Labor Code section 206.  When a bona fide dispute exists, the disputed amounts are not ‘due,’ and the bona fide dispute can be voluntarily settled with a release and a payment—even if the payment is for an amount less than the total wages claimed by the em</w:t>
      </w:r>
      <w:r w:rsidRPr="00D80174">
        <w:t>ployee.”  (</w:t>
      </w:r>
      <w:r w:rsidRPr="00FA4197">
        <w:rPr>
          <w:i/>
          <w:iCs/>
        </w:rPr>
        <w:t>Watkins v. Wachovia Corp.</w:t>
      </w:r>
      <w:r w:rsidR="00713D7A">
        <w:t xml:space="preserve">, </w:t>
      </w:r>
      <w:r w:rsidR="00713D7A" w:rsidRPr="00713D7A">
        <w:rPr>
          <w:i/>
          <w:iCs/>
        </w:rPr>
        <w:t>supra</w:t>
      </w:r>
      <w:r w:rsidR="00713D7A">
        <w:t>,</w:t>
      </w:r>
      <w:r w:rsidRPr="00D80174">
        <w:t xml:space="preserve"> 172 Cal.App.4th </w:t>
      </w:r>
      <w:r w:rsidR="00713D7A">
        <w:t xml:space="preserve">at </w:t>
      </w:r>
      <w:r w:rsidR="00261BBD">
        <w:t>p</w:t>
      </w:r>
      <w:r w:rsidR="00713D7A">
        <w:t xml:space="preserve">p. </w:t>
      </w:r>
      <w:r w:rsidR="00261BBD">
        <w:t>1586-</w:t>
      </w:r>
      <w:r w:rsidRPr="00D80174">
        <w:t>1587.)</w:t>
      </w:r>
      <w:r>
        <w:t xml:space="preserve">  </w:t>
      </w:r>
      <w:r w:rsidR="000A4E76">
        <w:t>In other words</w:t>
      </w:r>
      <w:r w:rsidR="005D16AC">
        <w:t xml:space="preserve">, </w:t>
      </w:r>
      <w:r w:rsidR="005D16AC" w:rsidRPr="005D16AC">
        <w:t>“‘</w:t>
      </w:r>
      <w:r w:rsidR="005D16AC">
        <w:t>w</w:t>
      </w:r>
      <w:r w:rsidR="005D16AC" w:rsidRPr="005D16AC">
        <w:t xml:space="preserve">ages </w:t>
      </w:r>
      <w:r w:rsidR="005D16AC" w:rsidRPr="005D16AC">
        <w:lastRenderedPageBreak/>
        <w:t>are not “due” if there is a good faith dispute as to whether they are owed.’”  (</w:t>
      </w:r>
      <w:r w:rsidR="005D16AC" w:rsidRPr="005D16AC">
        <w:rPr>
          <w:i/>
          <w:iCs/>
        </w:rPr>
        <w:t>Chindarah v. Pick Up Stix, Inc.</w:t>
      </w:r>
      <w:r w:rsidR="005D16AC" w:rsidRPr="005D16AC">
        <w:t xml:space="preserve"> (2009) 171 Cal.App.4th 796, 802.)</w:t>
      </w:r>
    </w:p>
    <w:p w14:paraId="516E9D8A" w14:textId="3BC26F40" w:rsidR="009534B8" w:rsidRDefault="00432A9A" w:rsidP="0088394F">
      <w:pPr>
        <w:tabs>
          <w:tab w:val="left" w:pos="1440"/>
          <w:tab w:val="left" w:pos="2880"/>
          <w:tab w:val="left" w:pos="4320"/>
          <w:tab w:val="left" w:pos="5760"/>
          <w:tab w:val="left" w:pos="7200"/>
          <w:tab w:val="left" w:pos="8640"/>
        </w:tabs>
        <w:spacing w:line="480" w:lineRule="atLeast"/>
      </w:pPr>
      <w:r>
        <w:tab/>
      </w:r>
      <w:r w:rsidR="00E975B4">
        <w:t>As discussed above</w:t>
      </w:r>
      <w:r w:rsidR="006D1C38">
        <w:t xml:space="preserve">, </w:t>
      </w:r>
      <w:r w:rsidR="0075628A">
        <w:t xml:space="preserve">Royalty </w:t>
      </w:r>
      <w:r w:rsidR="00825EC7">
        <w:t xml:space="preserve">contends </w:t>
      </w:r>
      <w:r w:rsidR="00652EBA">
        <w:t>the Porterville on-premises meal policy</w:t>
      </w:r>
      <w:r w:rsidR="004A3C9F">
        <w:t xml:space="preserve"> </w:t>
      </w:r>
      <w:r w:rsidR="00825EC7">
        <w:t xml:space="preserve">is lawful and disputes </w:t>
      </w:r>
      <w:r w:rsidR="00BE4A1E">
        <w:t>owing</w:t>
      </w:r>
      <w:r w:rsidR="004A3C9F">
        <w:t xml:space="preserve"> </w:t>
      </w:r>
      <w:r w:rsidR="000A1D42">
        <w:t xml:space="preserve">Porterville class members </w:t>
      </w:r>
      <w:r w:rsidR="00BE4A1E">
        <w:t>any</w:t>
      </w:r>
      <w:r w:rsidR="0075628A">
        <w:t xml:space="preserve"> premium pay</w:t>
      </w:r>
      <w:r w:rsidR="00057290">
        <w:t xml:space="preserve">.  </w:t>
      </w:r>
      <w:r w:rsidR="00ED2E4C">
        <w:t>While we</w:t>
      </w:r>
      <w:r w:rsidR="000875F3">
        <w:t xml:space="preserve"> disagree</w:t>
      </w:r>
      <w:r w:rsidR="00606815">
        <w:t xml:space="preserve">, </w:t>
      </w:r>
      <w:r w:rsidR="00DE6DCE">
        <w:t xml:space="preserve">Royalty’s </w:t>
      </w:r>
      <w:r w:rsidR="007F3ABD">
        <w:t xml:space="preserve">position </w:t>
      </w:r>
      <w:r w:rsidR="009811D4">
        <w:t xml:space="preserve">is not </w:t>
      </w:r>
      <w:r w:rsidR="007F3ABD">
        <w:t xml:space="preserve">so </w:t>
      </w:r>
      <w:r w:rsidR="00351C0D">
        <w:t xml:space="preserve">untenable </w:t>
      </w:r>
      <w:r w:rsidR="007F3ABD">
        <w:t xml:space="preserve">as </w:t>
      </w:r>
      <w:r w:rsidR="007F2438">
        <w:t xml:space="preserve">to </w:t>
      </w:r>
      <w:r w:rsidR="00E05693">
        <w:t xml:space="preserve">constitute bad </w:t>
      </w:r>
      <w:r w:rsidR="00B011D0">
        <w:t>faith</w:t>
      </w:r>
      <w:r w:rsidR="007F2438">
        <w:t>.</w:t>
      </w:r>
      <w:r w:rsidR="00E35ED9">
        <w:t xml:space="preserve"> </w:t>
      </w:r>
      <w:r w:rsidR="003A70BA">
        <w:t xml:space="preserve"> </w:t>
      </w:r>
      <w:r w:rsidR="00221B46">
        <w:t xml:space="preserve">As set forth above, </w:t>
      </w:r>
      <w:r w:rsidR="004076CF" w:rsidRPr="004076CF">
        <w:rPr>
          <w:i/>
          <w:iCs/>
        </w:rPr>
        <w:t>Brinker</w:t>
      </w:r>
      <w:r w:rsidR="004076CF">
        <w:t xml:space="preserve"> primarily </w:t>
      </w:r>
      <w:r w:rsidR="009927E5">
        <w:t>focus</w:t>
      </w:r>
      <w:r w:rsidR="004076CF">
        <w:t>ed</w:t>
      </w:r>
      <w:r w:rsidR="009927E5">
        <w:t xml:space="preserve"> on relief from duty</w:t>
      </w:r>
      <w:r w:rsidR="004076CF">
        <w:t xml:space="preserve"> and </w:t>
      </w:r>
      <w:r w:rsidR="00F87667">
        <w:t xml:space="preserve">suggested meal period requirements </w:t>
      </w:r>
      <w:r w:rsidR="004076CF">
        <w:t>“may vary from industry to industry.”  (</w:t>
      </w:r>
      <w:r w:rsidR="00F87667" w:rsidRPr="00B25115">
        <w:rPr>
          <w:i/>
          <w:iCs/>
        </w:rPr>
        <w:t>Brinker</w:t>
      </w:r>
      <w:r w:rsidR="00F87667" w:rsidRPr="00B25115">
        <w:t xml:space="preserve">, </w:t>
      </w:r>
      <w:r w:rsidR="00F87667" w:rsidRPr="00B25115">
        <w:rPr>
          <w:i/>
          <w:iCs/>
        </w:rPr>
        <w:t>supra</w:t>
      </w:r>
      <w:r w:rsidR="00F87667" w:rsidRPr="00B25115">
        <w:t xml:space="preserve">, 53 Cal.4th at p. </w:t>
      </w:r>
      <w:r w:rsidR="004076CF">
        <w:t xml:space="preserve">1040.)  </w:t>
      </w:r>
      <w:r>
        <w:t xml:space="preserve">Further, employers need only pay regular wages for </w:t>
      </w:r>
      <w:r w:rsidRPr="000A58DD">
        <w:t>on-duty</w:t>
      </w:r>
      <w:r>
        <w:t xml:space="preserve"> meal period</w:t>
      </w:r>
      <w:r>
        <w:t>s, not premium pay.  (</w:t>
      </w:r>
      <w:r>
        <w:rPr>
          <w:i/>
          <w:iCs/>
        </w:rPr>
        <w:t>Id</w:t>
      </w:r>
      <w:r>
        <w:t>. at pp. 1035-1036, 1039</w:t>
      </w:r>
      <w:r w:rsidR="00261BBD">
        <w:t>-1040</w:t>
      </w:r>
      <w:r>
        <w:t xml:space="preserve">.)  </w:t>
      </w:r>
      <w:r w:rsidR="00490E8D">
        <w:t>From this</w:t>
      </w:r>
      <w:r w:rsidR="00094855">
        <w:t xml:space="preserve">, it was not unreasonable for Royalty to believe </w:t>
      </w:r>
      <w:r w:rsidR="00D558A9">
        <w:t xml:space="preserve">it could restrict </w:t>
      </w:r>
      <w:r w:rsidR="000542C1">
        <w:t>employee freedom of movement</w:t>
      </w:r>
      <w:r w:rsidR="005F13BB">
        <w:t xml:space="preserve"> </w:t>
      </w:r>
      <w:r w:rsidR="00D558A9">
        <w:t xml:space="preserve">during meal periods </w:t>
      </w:r>
      <w:r w:rsidR="00BF21D8">
        <w:t xml:space="preserve">if </w:t>
      </w:r>
      <w:r w:rsidR="00785AA0">
        <w:t xml:space="preserve">it </w:t>
      </w:r>
      <w:r w:rsidR="00BF61D0">
        <w:t xml:space="preserve">provided relief from duty </w:t>
      </w:r>
      <w:r w:rsidR="005B01D7">
        <w:t xml:space="preserve">and </w:t>
      </w:r>
      <w:r w:rsidR="00BF61D0">
        <w:t xml:space="preserve">regular </w:t>
      </w:r>
      <w:r w:rsidR="00897782">
        <w:t>wages</w:t>
      </w:r>
      <w:r w:rsidR="000542C1">
        <w:t>.</w:t>
      </w:r>
    </w:p>
    <w:p w14:paraId="0F2C3FC7" w14:textId="1B9E9E76" w:rsidR="0088394F" w:rsidRDefault="00432A9A" w:rsidP="0088394F">
      <w:pPr>
        <w:tabs>
          <w:tab w:val="left" w:pos="1440"/>
          <w:tab w:val="left" w:pos="2880"/>
          <w:tab w:val="left" w:pos="4320"/>
          <w:tab w:val="left" w:pos="5760"/>
          <w:tab w:val="left" w:pos="7200"/>
          <w:tab w:val="left" w:pos="8640"/>
        </w:tabs>
        <w:spacing w:line="480" w:lineRule="atLeast"/>
      </w:pPr>
      <w:r>
        <w:tab/>
      </w:r>
      <w:r w:rsidR="000D0397">
        <w:t xml:space="preserve">Royalty’s </w:t>
      </w:r>
      <w:r w:rsidR="00FE0F7B">
        <w:t xml:space="preserve">position </w:t>
      </w:r>
      <w:r w:rsidR="00B87E6A">
        <w:t xml:space="preserve">is </w:t>
      </w:r>
      <w:r w:rsidR="0072795B">
        <w:t>also support</w:t>
      </w:r>
      <w:r w:rsidR="00B87E6A">
        <w:t>ed</w:t>
      </w:r>
      <w:r w:rsidR="0072795B">
        <w:t xml:space="preserve"> </w:t>
      </w:r>
      <w:r w:rsidR="00B87E6A">
        <w:t>b</w:t>
      </w:r>
      <w:r w:rsidR="00972F8E">
        <w:t>y</w:t>
      </w:r>
      <w:r w:rsidR="008C2230">
        <w:t xml:space="preserve"> </w:t>
      </w:r>
      <w:r w:rsidR="0072795B">
        <w:t xml:space="preserve">statements on the </w:t>
      </w:r>
      <w:r w:rsidR="000E378F">
        <w:t>Frequently Asked Questions</w:t>
      </w:r>
      <w:r w:rsidR="00B51137">
        <w:t xml:space="preserve"> (FAQ)</w:t>
      </w:r>
      <w:r w:rsidR="000E378F">
        <w:t xml:space="preserve"> section of the </w:t>
      </w:r>
      <w:r w:rsidR="0072795B">
        <w:t xml:space="preserve">Department of Labor Standards Enforcement’s website.  </w:t>
      </w:r>
      <w:r>
        <w:t xml:space="preserve">For example, </w:t>
      </w:r>
      <w:r w:rsidR="002A26B2">
        <w:t>Royalty cite</w:t>
      </w:r>
      <w:r w:rsidR="00301A65">
        <w:t>s</w:t>
      </w:r>
      <w:r w:rsidR="002A26B2">
        <w:t xml:space="preserve"> a portion of the FAQ </w:t>
      </w:r>
      <w:r>
        <w:t>contain</w:t>
      </w:r>
      <w:r w:rsidR="002A26B2">
        <w:t>ing</w:t>
      </w:r>
      <w:r>
        <w:t xml:space="preserve"> the following </w:t>
      </w:r>
      <w:r w:rsidR="000933FA">
        <w:t>guidance</w:t>
      </w:r>
      <w:r>
        <w:t>:</w:t>
      </w:r>
    </w:p>
    <w:p w14:paraId="2F977163" w14:textId="77777777" w:rsidR="0088394F" w:rsidRDefault="00432A9A" w:rsidP="0088394F">
      <w:pPr>
        <w:tabs>
          <w:tab w:val="left" w:pos="1440"/>
          <w:tab w:val="left" w:pos="2880"/>
          <w:tab w:val="left" w:pos="4320"/>
          <w:tab w:val="left" w:pos="5760"/>
          <w:tab w:val="left" w:pos="7200"/>
          <w:tab w:val="left" w:pos="8640"/>
        </w:tabs>
        <w:spacing w:line="480" w:lineRule="atLeast"/>
        <w:rPr>
          <w:b/>
          <w:bCs/>
        </w:rPr>
      </w:pPr>
      <w:r>
        <w:tab/>
        <w:t>“</w:t>
      </w:r>
      <w:r w:rsidRPr="00D00F87">
        <w:rPr>
          <w:b/>
          <w:bCs/>
        </w:rPr>
        <w:t>Q.  Can</w:t>
      </w:r>
      <w:r w:rsidRPr="000607B7">
        <w:rPr>
          <w:b/>
          <w:bCs/>
        </w:rPr>
        <w:t xml:space="preserve"> my employer require that I stay on its premises during my meal period?</w:t>
      </w:r>
      <w:r w:rsidRPr="000607B7">
        <w:t>”</w:t>
      </w:r>
    </w:p>
    <w:p w14:paraId="4AF064F9" w14:textId="26F9FFCC" w:rsidR="00387F33" w:rsidRDefault="00432A9A" w:rsidP="00946243">
      <w:pPr>
        <w:tabs>
          <w:tab w:val="left" w:pos="1440"/>
          <w:tab w:val="left" w:pos="2880"/>
          <w:tab w:val="left" w:pos="4320"/>
          <w:tab w:val="left" w:pos="5760"/>
          <w:tab w:val="left" w:pos="7200"/>
          <w:tab w:val="left" w:pos="8640"/>
        </w:tabs>
        <w:spacing w:line="480" w:lineRule="atLeast"/>
      </w:pPr>
      <w:r>
        <w:tab/>
        <w:t>“A.  Yes, your employer can require that you remain on its premises during your meal period, even if you are relieved of all work duties.  However[,] if that occurs, you are being de</w:t>
      </w:r>
      <w:r>
        <w:t xml:space="preserve">nied your time for your own purposes and in effect remain under the employer’s control and thus, </w:t>
      </w:r>
      <w:r w:rsidRPr="00597774">
        <w:rPr>
          <w:i/>
          <w:iCs/>
        </w:rPr>
        <w:t>the meal period must be paid</w:t>
      </w:r>
      <w:r>
        <w:t xml:space="preserve">.  </w:t>
      </w:r>
      <w:r w:rsidR="00D1361B">
        <w:t>[I]</w:t>
      </w:r>
      <w:r>
        <w:t xml:space="preserve">f you are required to eat on the premises, a suitable place for that purpose must be designated. </w:t>
      </w:r>
      <w:r w:rsidR="00ED2607">
        <w:t xml:space="preserve"> </w:t>
      </w:r>
      <w:r>
        <w:t>‘Suitable’ means a sheltere</w:t>
      </w:r>
      <w:r>
        <w:t>d place with facilities available for securing hot food and drink or for heating food or drink, and for consuming such food and drink.”  (Italics added.)</w:t>
      </w:r>
    </w:p>
    <w:p w14:paraId="0760AFA5" w14:textId="1675F450" w:rsidR="00FD756A" w:rsidRDefault="00432A9A" w:rsidP="006323D2">
      <w:pPr>
        <w:tabs>
          <w:tab w:val="left" w:pos="1440"/>
          <w:tab w:val="left" w:pos="2880"/>
          <w:tab w:val="left" w:pos="4320"/>
          <w:tab w:val="left" w:pos="5760"/>
          <w:tab w:val="left" w:pos="7200"/>
          <w:tab w:val="left" w:pos="8640"/>
        </w:tabs>
        <w:spacing w:line="480" w:lineRule="atLeast"/>
      </w:pPr>
      <w:r>
        <w:tab/>
      </w:r>
      <w:r w:rsidR="00BD65CB">
        <w:t xml:space="preserve">This </w:t>
      </w:r>
      <w:r w:rsidR="00735C51">
        <w:t xml:space="preserve">guidance </w:t>
      </w:r>
      <w:r w:rsidR="00EA1BEE">
        <w:t xml:space="preserve">fails to </w:t>
      </w:r>
      <w:r w:rsidR="00BD5CA9">
        <w:t xml:space="preserve">mention premium pay and </w:t>
      </w:r>
      <w:r w:rsidR="001D2A43">
        <w:t>suggests on-premises meal polic</w:t>
      </w:r>
      <w:r w:rsidR="00D70130">
        <w:t xml:space="preserve">ies are </w:t>
      </w:r>
      <w:r w:rsidR="002818C6">
        <w:t xml:space="preserve">legally </w:t>
      </w:r>
      <w:r w:rsidR="003F68BD">
        <w:t xml:space="preserve">compliant if </w:t>
      </w:r>
      <w:r w:rsidR="00D70130">
        <w:t xml:space="preserve">employees are paid wages.  </w:t>
      </w:r>
      <w:r w:rsidR="00B31ECD">
        <w:t xml:space="preserve">In response, </w:t>
      </w:r>
      <w:r w:rsidR="000905E0">
        <w:t>p</w:t>
      </w:r>
      <w:r w:rsidR="00F4355E">
        <w:t xml:space="preserve">laintiffs </w:t>
      </w:r>
      <w:r w:rsidR="000905E0">
        <w:t xml:space="preserve">cite </w:t>
      </w:r>
      <w:r>
        <w:t xml:space="preserve">a portion of the FAQ </w:t>
      </w:r>
      <w:r w:rsidR="00625708">
        <w:t>stating</w:t>
      </w:r>
      <w:r w:rsidR="00261BBD">
        <w:t xml:space="preserve"> that</w:t>
      </w:r>
      <w:r w:rsidR="00B661E1">
        <w:t xml:space="preserve"> </w:t>
      </w:r>
      <w:r>
        <w:t xml:space="preserve">“to satisfy its obligation to provide a meal period, an employer must actually relieve employees of all duty, relinquish control over their </w:t>
      </w:r>
      <w:r>
        <w:lastRenderedPageBreak/>
        <w:t>activities, permit them a reasonable opportunity to take an uninterrupted 30-minute break (in which they are free to come and go as they please), and must not impede or discourage employees from taking their meal period.</w:t>
      </w:r>
      <w:r w:rsidR="00416193">
        <w:t>”</w:t>
      </w:r>
      <w:r w:rsidR="00261BBD">
        <w:t xml:space="preserve"> </w:t>
      </w:r>
      <w:r>
        <w:t xml:space="preserve"> </w:t>
      </w:r>
      <w:r w:rsidR="00416193">
        <w:t xml:space="preserve">They then </w:t>
      </w:r>
      <w:r w:rsidR="00BA2F95">
        <w:t xml:space="preserve">quote a </w:t>
      </w:r>
      <w:r w:rsidR="003770C2">
        <w:t xml:space="preserve">separate </w:t>
      </w:r>
      <w:r w:rsidR="00BA2F95">
        <w:t xml:space="preserve">section </w:t>
      </w:r>
      <w:r w:rsidR="00E43F6F">
        <w:t xml:space="preserve">of the FAQ </w:t>
      </w:r>
      <w:r w:rsidR="005214E7">
        <w:t xml:space="preserve">stating </w:t>
      </w:r>
      <w:r w:rsidR="00406832">
        <w:t xml:space="preserve">that </w:t>
      </w:r>
      <w:r w:rsidR="005214E7">
        <w:t>“[i]f an employer fails to provide an employee a meal period in accordance with an applicable IWC Order, the employer must pay one additional hour of pay at the employee</w:t>
      </w:r>
      <w:r w:rsidR="00605B9F">
        <w:t>’</w:t>
      </w:r>
      <w:r w:rsidR="005214E7">
        <w:t>s regular rate of pay for each workday that the meal period is not provided.”</w:t>
      </w:r>
    </w:p>
    <w:p w14:paraId="384B41A6" w14:textId="5A47DE48" w:rsidR="00A710C1" w:rsidRPr="006160C5" w:rsidRDefault="00432A9A" w:rsidP="002240E1">
      <w:pPr>
        <w:tabs>
          <w:tab w:val="left" w:pos="1440"/>
          <w:tab w:val="left" w:pos="2880"/>
          <w:tab w:val="left" w:pos="4320"/>
          <w:tab w:val="left" w:pos="5760"/>
          <w:tab w:val="left" w:pos="7200"/>
          <w:tab w:val="left" w:pos="8640"/>
        </w:tabs>
        <w:spacing w:line="480" w:lineRule="atLeast"/>
      </w:pPr>
      <w:r>
        <w:tab/>
      </w:r>
      <w:r w:rsidR="00CE684A">
        <w:t>These portions of the FAQ</w:t>
      </w:r>
      <w:r w:rsidR="000412C1">
        <w:t xml:space="preserve"> </w:t>
      </w:r>
      <w:r w:rsidR="00B81070">
        <w:t xml:space="preserve">do not </w:t>
      </w:r>
      <w:r w:rsidR="00CE684A">
        <w:t>clearly</w:t>
      </w:r>
      <w:r w:rsidR="00B81070">
        <w:t xml:space="preserve"> </w:t>
      </w:r>
      <w:r w:rsidR="00B4761C">
        <w:t xml:space="preserve">state </w:t>
      </w:r>
      <w:r w:rsidR="00380C92">
        <w:t xml:space="preserve">Royalty had to provide premium pay </w:t>
      </w:r>
      <w:r w:rsidR="00B4761C" w:rsidRPr="004144E3">
        <w:rPr>
          <w:i/>
          <w:iCs/>
        </w:rPr>
        <w:t>and</w:t>
      </w:r>
      <w:r w:rsidR="00B4761C">
        <w:t xml:space="preserve"> </w:t>
      </w:r>
      <w:r w:rsidR="00380C92">
        <w:t xml:space="preserve">regular wages </w:t>
      </w:r>
      <w:r w:rsidR="00B4761C">
        <w:t xml:space="preserve">if it required </w:t>
      </w:r>
      <w:r w:rsidR="002C7809">
        <w:t xml:space="preserve">employees </w:t>
      </w:r>
      <w:r w:rsidR="00380C92">
        <w:t xml:space="preserve">to remain on </w:t>
      </w:r>
      <w:r w:rsidR="00410C04">
        <w:t xml:space="preserve">premises during meal periods.  </w:t>
      </w:r>
      <w:r w:rsidR="00CB6225">
        <w:t xml:space="preserve">Rather, based on the portion of the FAQ </w:t>
      </w:r>
      <w:r w:rsidR="002F1138">
        <w:t xml:space="preserve">Royalty </w:t>
      </w:r>
      <w:r w:rsidR="00CB6225">
        <w:t>cite</w:t>
      </w:r>
      <w:r w:rsidR="002F1138">
        <w:t>s</w:t>
      </w:r>
      <w:r w:rsidR="00CB6225">
        <w:t xml:space="preserve">, </w:t>
      </w:r>
      <w:r w:rsidR="002F1138">
        <w:t xml:space="preserve">Royalty could reasonably </w:t>
      </w:r>
      <w:r w:rsidR="00F95D2C">
        <w:t>conclude</w:t>
      </w:r>
      <w:r w:rsidR="002F1138">
        <w:t xml:space="preserve"> it </w:t>
      </w:r>
      <w:r w:rsidR="00320DD4">
        <w:t xml:space="preserve">could </w:t>
      </w:r>
      <w:r w:rsidR="002F1138">
        <w:t>satis</w:t>
      </w:r>
      <w:r w:rsidR="00320DD4">
        <w:t>fy</w:t>
      </w:r>
      <w:r w:rsidR="002F1138">
        <w:t xml:space="preserve"> its meal period obligation by paying employees </w:t>
      </w:r>
      <w:r w:rsidR="00E107D0">
        <w:t xml:space="preserve">their </w:t>
      </w:r>
      <w:r w:rsidR="00E107D0" w:rsidRPr="006160C5">
        <w:t xml:space="preserve">regular wages </w:t>
      </w:r>
      <w:r w:rsidR="002F1138" w:rsidRPr="006160C5">
        <w:t>durin</w:t>
      </w:r>
      <w:r w:rsidR="00E107D0" w:rsidRPr="006160C5">
        <w:t>g</w:t>
      </w:r>
      <w:r w:rsidR="002F1138" w:rsidRPr="006160C5">
        <w:t xml:space="preserve"> meal periods.</w:t>
      </w:r>
    </w:p>
    <w:p w14:paraId="25ED1F99" w14:textId="66B3A67C" w:rsidR="00C93109" w:rsidRPr="00261BBD" w:rsidRDefault="00432A9A" w:rsidP="00261BBD">
      <w:pPr>
        <w:pStyle w:val="ListParagraph"/>
        <w:keepNext/>
        <w:tabs>
          <w:tab w:val="left" w:pos="1440"/>
          <w:tab w:val="left" w:pos="2880"/>
          <w:tab w:val="left" w:pos="4320"/>
          <w:tab w:val="left" w:pos="5760"/>
          <w:tab w:val="left" w:pos="7200"/>
          <w:tab w:val="left" w:pos="8640"/>
        </w:tabs>
        <w:spacing w:before="360" w:line="480" w:lineRule="atLeast"/>
        <w:ind w:hanging="720"/>
        <w:rPr>
          <w:i/>
          <w:iCs/>
        </w:rPr>
      </w:pPr>
      <w:r>
        <w:rPr>
          <w:i/>
          <w:iCs/>
        </w:rPr>
        <w:t xml:space="preserve">B.  </w:t>
      </w:r>
      <w:r w:rsidR="00891EA8" w:rsidRPr="00261BBD">
        <w:rPr>
          <w:i/>
          <w:iCs/>
        </w:rPr>
        <w:t xml:space="preserve">The </w:t>
      </w:r>
      <w:r w:rsidR="00482C64" w:rsidRPr="00261BBD">
        <w:rPr>
          <w:i/>
          <w:iCs/>
        </w:rPr>
        <w:t>Dyer/Derian</w:t>
      </w:r>
      <w:r w:rsidRPr="00261BBD">
        <w:rPr>
          <w:i/>
          <w:iCs/>
        </w:rPr>
        <w:t xml:space="preserve"> </w:t>
      </w:r>
      <w:r w:rsidR="00891EA8" w:rsidRPr="00261BBD">
        <w:rPr>
          <w:i/>
          <w:iCs/>
        </w:rPr>
        <w:t xml:space="preserve">Employees’ </w:t>
      </w:r>
      <w:r w:rsidRPr="00261BBD">
        <w:rPr>
          <w:i/>
          <w:iCs/>
        </w:rPr>
        <w:t xml:space="preserve">PAGA </w:t>
      </w:r>
      <w:r>
        <w:rPr>
          <w:i/>
          <w:iCs/>
        </w:rPr>
        <w:t>C</w:t>
      </w:r>
      <w:r w:rsidRPr="00261BBD">
        <w:rPr>
          <w:i/>
          <w:iCs/>
        </w:rPr>
        <w:t>laim</w:t>
      </w:r>
    </w:p>
    <w:p w14:paraId="430641A6" w14:textId="2FDC5040" w:rsidR="00C93109" w:rsidRPr="00D57381" w:rsidRDefault="00432A9A" w:rsidP="00901077">
      <w:pPr>
        <w:tabs>
          <w:tab w:val="left" w:pos="1440"/>
          <w:tab w:val="left" w:pos="2880"/>
          <w:tab w:val="left" w:pos="4320"/>
          <w:tab w:val="left" w:pos="5760"/>
          <w:tab w:val="left" w:pos="7200"/>
          <w:tab w:val="left" w:pos="8640"/>
        </w:tabs>
        <w:spacing w:line="480" w:lineRule="atLeast"/>
      </w:pPr>
      <w:r w:rsidRPr="006160C5">
        <w:tab/>
      </w:r>
      <w:r w:rsidR="00E67834" w:rsidRPr="006160C5">
        <w:t>T</w:t>
      </w:r>
      <w:r w:rsidR="008A786D" w:rsidRPr="006160C5">
        <w:t xml:space="preserve">he trial court </w:t>
      </w:r>
      <w:r w:rsidR="000710DC" w:rsidRPr="006160C5">
        <w:t xml:space="preserve">dismissed the </w:t>
      </w:r>
      <w:r w:rsidR="00CB1111" w:rsidRPr="006160C5">
        <w:t xml:space="preserve">Dyer/Derian employees’ </w:t>
      </w:r>
      <w:r w:rsidR="000710DC" w:rsidRPr="006160C5">
        <w:t xml:space="preserve">representative PAGA </w:t>
      </w:r>
      <w:r w:rsidR="0005183A" w:rsidRPr="006160C5">
        <w:t xml:space="preserve">meal period </w:t>
      </w:r>
      <w:r w:rsidR="000710DC" w:rsidRPr="006160C5">
        <w:t>claim</w:t>
      </w:r>
      <w:r w:rsidR="0005183A" w:rsidRPr="006160C5">
        <w:t xml:space="preserve"> </w:t>
      </w:r>
      <w:r w:rsidR="00BE5DBB" w:rsidRPr="006160C5">
        <w:t xml:space="preserve">due to </w:t>
      </w:r>
      <w:r w:rsidR="0005183A" w:rsidRPr="006160C5">
        <w:t>unmanageab</w:t>
      </w:r>
      <w:r w:rsidR="00BE5DBB" w:rsidRPr="006160C5">
        <w:t>ility</w:t>
      </w:r>
      <w:r w:rsidR="00DC2047" w:rsidRPr="006160C5">
        <w:t xml:space="preserve">. </w:t>
      </w:r>
      <w:r w:rsidR="009207C1" w:rsidRPr="006160C5">
        <w:t xml:space="preserve"> </w:t>
      </w:r>
      <w:r w:rsidR="00E67834" w:rsidRPr="006160C5">
        <w:t xml:space="preserve">It then </w:t>
      </w:r>
      <w:r w:rsidR="009207C1" w:rsidRPr="006160C5">
        <w:t>awarded</w:t>
      </w:r>
      <w:r w:rsidR="009207C1">
        <w:t xml:space="preserve"> PAGA penalties to the </w:t>
      </w:r>
      <w:r w:rsidR="00004E69">
        <w:t xml:space="preserve">named </w:t>
      </w:r>
      <w:r w:rsidR="00482C64">
        <w:t>Dyer/Derian</w:t>
      </w:r>
      <w:r w:rsidR="00C23753">
        <w:t xml:space="preserve"> </w:t>
      </w:r>
      <w:r w:rsidR="00004E69">
        <w:t>plaintiffs</w:t>
      </w:r>
      <w:r w:rsidR="00F31E30">
        <w:t xml:space="preserve"> </w:t>
      </w:r>
      <w:r w:rsidR="00626781">
        <w:t xml:space="preserve">in an </w:t>
      </w:r>
      <w:r w:rsidR="00F31E30">
        <w:t>individual</w:t>
      </w:r>
      <w:r w:rsidR="00626781">
        <w:t xml:space="preserve"> capacity</w:t>
      </w:r>
      <w:r w:rsidR="00004E69">
        <w:t xml:space="preserve">. </w:t>
      </w:r>
      <w:r w:rsidR="009207C1">
        <w:t xml:space="preserve"> On appeal, </w:t>
      </w:r>
      <w:r w:rsidR="00B0362B">
        <w:t xml:space="preserve">plaintiffs </w:t>
      </w:r>
      <w:r w:rsidR="00E636BC">
        <w:t xml:space="preserve">maintain </w:t>
      </w:r>
      <w:r w:rsidR="00EA4319">
        <w:t xml:space="preserve">PAGA claims have no </w:t>
      </w:r>
      <w:r w:rsidR="00B0362B" w:rsidRPr="00FB5C3A">
        <w:t xml:space="preserve">manageability requirement.  </w:t>
      </w:r>
      <w:r w:rsidR="00E636BC" w:rsidRPr="00FB5C3A">
        <w:t xml:space="preserve">Relatedly, </w:t>
      </w:r>
      <w:r w:rsidR="00B0362B" w:rsidRPr="00FB5C3A">
        <w:t>Royalty</w:t>
      </w:r>
      <w:r w:rsidR="00E636BC" w:rsidRPr="00FB5C3A">
        <w:t xml:space="preserve"> cross-appeal</w:t>
      </w:r>
      <w:r w:rsidR="00B30A0D" w:rsidRPr="00FB5C3A">
        <w:t xml:space="preserve">s on grounds </w:t>
      </w:r>
      <w:r w:rsidR="00B0362B" w:rsidRPr="00FB5C3A">
        <w:t xml:space="preserve">the court </w:t>
      </w:r>
      <w:r w:rsidR="00E636BC" w:rsidRPr="00FB5C3A">
        <w:t xml:space="preserve">improperly </w:t>
      </w:r>
      <w:r w:rsidR="00335CD3" w:rsidRPr="00FB5C3A">
        <w:t xml:space="preserve">awarded </w:t>
      </w:r>
      <w:r w:rsidR="00854026" w:rsidRPr="00FB5C3A">
        <w:t xml:space="preserve">individual PAGA </w:t>
      </w:r>
      <w:r w:rsidR="00335CD3" w:rsidRPr="00FB5C3A">
        <w:t xml:space="preserve">penalties to </w:t>
      </w:r>
      <w:r w:rsidR="00642469" w:rsidRPr="00FB5C3A">
        <w:t xml:space="preserve">four Dyer/Derian </w:t>
      </w:r>
      <w:r w:rsidR="00335CD3" w:rsidRPr="00FB5C3A">
        <w:t>plaintiffs</w:t>
      </w:r>
      <w:r w:rsidR="003958B2" w:rsidRPr="00FB5C3A">
        <w:t>, arguing</w:t>
      </w:r>
      <w:r w:rsidR="00335CD3" w:rsidRPr="00FB5C3A">
        <w:t xml:space="preserve"> PAGA </w:t>
      </w:r>
      <w:r w:rsidR="00D57381" w:rsidRPr="00FB5C3A">
        <w:t xml:space="preserve">claims </w:t>
      </w:r>
      <w:r w:rsidR="003958B2" w:rsidRPr="00FB5C3A">
        <w:t xml:space="preserve">can only </w:t>
      </w:r>
      <w:r w:rsidR="009941EC" w:rsidRPr="00FB5C3A">
        <w:t xml:space="preserve">be </w:t>
      </w:r>
      <w:r w:rsidR="00D57381" w:rsidRPr="00FB5C3A">
        <w:t xml:space="preserve">brought in a </w:t>
      </w:r>
      <w:r w:rsidR="00335CD3" w:rsidRPr="00FB5C3A">
        <w:t>representative</w:t>
      </w:r>
      <w:r w:rsidR="00D57381" w:rsidRPr="00FB5C3A">
        <w:t xml:space="preserve"> capacity. </w:t>
      </w:r>
      <w:r w:rsidR="00DE7673" w:rsidRPr="00FB5C3A">
        <w:t xml:space="preserve"> </w:t>
      </w:r>
      <w:r w:rsidR="00E56CA2" w:rsidRPr="001C0FEE">
        <w:t xml:space="preserve">Since we </w:t>
      </w:r>
      <w:r w:rsidR="00FB5C3A" w:rsidRPr="001C0FEE">
        <w:t>agree with plaintiffs that a trial court cannot dismiss a PAGA claim based on manageability</w:t>
      </w:r>
      <w:r w:rsidR="00E56CA2" w:rsidRPr="001C0FEE">
        <w:t xml:space="preserve">, </w:t>
      </w:r>
      <w:r w:rsidR="00FB5C3A" w:rsidRPr="001C0FEE">
        <w:t xml:space="preserve">we need not address Royalty’s </w:t>
      </w:r>
      <w:r w:rsidR="009F6245" w:rsidRPr="001C0FEE">
        <w:t>cross-appeal.</w:t>
      </w:r>
    </w:p>
    <w:p w14:paraId="6550EAD0" w14:textId="64ED57FF" w:rsidR="002D500B" w:rsidRDefault="00432A9A" w:rsidP="00261BBD">
      <w:pPr>
        <w:pStyle w:val="ListParagraph"/>
        <w:tabs>
          <w:tab w:val="left" w:pos="1440"/>
          <w:tab w:val="left" w:pos="2880"/>
          <w:tab w:val="left" w:pos="4320"/>
          <w:tab w:val="left" w:pos="5760"/>
          <w:tab w:val="left" w:pos="7200"/>
          <w:tab w:val="left" w:pos="8640"/>
        </w:tabs>
        <w:spacing w:before="360" w:line="480" w:lineRule="atLeast"/>
        <w:ind w:left="1800" w:hanging="360"/>
        <w:rPr>
          <w:i/>
          <w:iCs/>
        </w:rPr>
      </w:pPr>
      <w:r>
        <w:rPr>
          <w:i/>
          <w:iCs/>
        </w:rPr>
        <w:t xml:space="preserve">1.  </w:t>
      </w:r>
      <w:r w:rsidR="00595C9C" w:rsidRPr="00916E61">
        <w:rPr>
          <w:i/>
          <w:iCs/>
        </w:rPr>
        <w:t>Manageability</w:t>
      </w:r>
    </w:p>
    <w:p w14:paraId="04E6A6FB" w14:textId="489545AB" w:rsidR="00C44EC0" w:rsidRPr="0083405D" w:rsidRDefault="00432A9A" w:rsidP="00927DA4">
      <w:pPr>
        <w:tabs>
          <w:tab w:val="left" w:pos="1440"/>
          <w:tab w:val="left" w:pos="2880"/>
          <w:tab w:val="left" w:pos="4320"/>
          <w:tab w:val="left" w:pos="5760"/>
          <w:tab w:val="left" w:pos="7200"/>
          <w:tab w:val="left" w:pos="8640"/>
        </w:tabs>
        <w:spacing w:line="480" w:lineRule="atLeast"/>
      </w:pPr>
      <w:r>
        <w:tab/>
      </w:r>
      <w:r w:rsidR="008B4A3D" w:rsidRPr="008B4A3D">
        <w:t xml:space="preserve">The trial court’s order decertifying the Dyer/Derian meal break subclass also dismissed “[t]he meal break-related claims that Plaintiffs bring for the Dyer and Derian locations under [PAGA] . . .  because, for the various reasons noted [in the </w:t>
      </w:r>
      <w:r w:rsidR="008B4A3D" w:rsidRPr="008B4A3D">
        <w:lastRenderedPageBreak/>
        <w:t>decertification order], there are numerous individualized issues that render Plaintiffs’ PAGA meal break claims unmanageable.”</w:t>
      </w:r>
      <w:r>
        <w:rPr>
          <w:rStyle w:val="FootnoteReference"/>
        </w:rPr>
        <w:footnoteReference w:id="8"/>
      </w:r>
      <w:r w:rsidR="00D7263E" w:rsidRPr="0083405D">
        <w:t xml:space="preserve"> </w:t>
      </w:r>
      <w:r w:rsidR="00AD24EA" w:rsidRPr="0083405D">
        <w:t xml:space="preserve"> </w:t>
      </w:r>
      <w:r w:rsidR="005E4EFA">
        <w:t>Since w</w:t>
      </w:r>
      <w:r w:rsidR="007336C3">
        <w:t xml:space="preserve">e conclude a court cannot </w:t>
      </w:r>
      <w:r w:rsidR="00F86036">
        <w:t xml:space="preserve">dismiss a PAGA claim based on </w:t>
      </w:r>
      <w:r w:rsidR="006F53F9">
        <w:t xml:space="preserve">manageability, </w:t>
      </w:r>
      <w:r w:rsidR="001F629A" w:rsidRPr="0083405D">
        <w:t>w</w:t>
      </w:r>
      <w:r w:rsidR="001823FC" w:rsidRPr="0083405D">
        <w:t xml:space="preserve">e reverse this portion of the </w:t>
      </w:r>
      <w:r w:rsidR="000364A0" w:rsidRPr="0083405D">
        <w:t xml:space="preserve">order </w:t>
      </w:r>
      <w:r w:rsidR="001823FC" w:rsidRPr="0083405D">
        <w:t xml:space="preserve">and remand for further proceedings </w:t>
      </w:r>
      <w:r w:rsidR="00F47298" w:rsidRPr="0083405D">
        <w:t>in light of this opinion.</w:t>
      </w:r>
    </w:p>
    <w:p w14:paraId="36826BE6" w14:textId="7B5CB4BB" w:rsidR="005F0E3C" w:rsidRPr="00D148FB" w:rsidRDefault="00432A9A" w:rsidP="00B2123C">
      <w:pPr>
        <w:tabs>
          <w:tab w:val="left" w:pos="1440"/>
          <w:tab w:val="left" w:pos="2880"/>
          <w:tab w:val="left" w:pos="4320"/>
          <w:tab w:val="left" w:pos="5760"/>
          <w:tab w:val="left" w:pos="7200"/>
          <w:tab w:val="left" w:pos="8640"/>
        </w:tabs>
        <w:spacing w:line="480" w:lineRule="atLeast"/>
      </w:pPr>
      <w:r w:rsidRPr="0083405D">
        <w:tab/>
      </w:r>
      <w:r w:rsidR="002F03EC" w:rsidRPr="0083405D">
        <w:t xml:space="preserve">We </w:t>
      </w:r>
      <w:r w:rsidR="00661C75">
        <w:t xml:space="preserve">know </w:t>
      </w:r>
      <w:r w:rsidR="002F03EC" w:rsidRPr="0083405D">
        <w:t xml:space="preserve">of only one published California case </w:t>
      </w:r>
      <w:r w:rsidR="002B4269" w:rsidRPr="0083405D">
        <w:t xml:space="preserve">that has considered </w:t>
      </w:r>
      <w:r w:rsidR="00B8087A" w:rsidRPr="0083405D">
        <w:t xml:space="preserve">whether </w:t>
      </w:r>
      <w:r w:rsidR="000B1820" w:rsidRPr="0083405D">
        <w:t xml:space="preserve">a trial court </w:t>
      </w:r>
      <w:r w:rsidR="00B8087A" w:rsidRPr="0083405D">
        <w:t xml:space="preserve">may </w:t>
      </w:r>
      <w:r w:rsidR="000B1820" w:rsidRPr="0083405D">
        <w:t>dismiss a</w:t>
      </w:r>
      <w:r w:rsidR="007A49E5" w:rsidRPr="0083405D">
        <w:t>n unmanageable</w:t>
      </w:r>
      <w:r w:rsidR="000B1820" w:rsidRPr="0083405D">
        <w:t xml:space="preserve"> </w:t>
      </w:r>
      <w:r w:rsidR="002F03EC" w:rsidRPr="0083405D">
        <w:t xml:space="preserve">PAGA claim.  </w:t>
      </w:r>
      <w:r w:rsidR="00D148FB">
        <w:t xml:space="preserve">A </w:t>
      </w:r>
      <w:r w:rsidR="00182761" w:rsidRPr="0083405D">
        <w:t>recently decided</w:t>
      </w:r>
      <w:r w:rsidR="00D148FB">
        <w:t xml:space="preserve"> case, </w:t>
      </w:r>
      <w:r w:rsidR="00B25AC1" w:rsidRPr="0083405D">
        <w:rPr>
          <w:i/>
          <w:iCs/>
        </w:rPr>
        <w:t>Wesson</w:t>
      </w:r>
      <w:r w:rsidR="00261BBD">
        <w:t xml:space="preserve">, </w:t>
      </w:r>
      <w:r w:rsidR="00261BBD">
        <w:rPr>
          <w:i/>
          <w:iCs/>
        </w:rPr>
        <w:t>supra</w:t>
      </w:r>
      <w:r w:rsidR="00261BBD">
        <w:t xml:space="preserve">, </w:t>
      </w:r>
      <w:r w:rsidR="00B25AC1" w:rsidRPr="0083405D">
        <w:t xml:space="preserve">68 Cal.App.5th </w:t>
      </w:r>
      <w:r w:rsidR="00261BBD">
        <w:t xml:space="preserve">at </w:t>
      </w:r>
      <w:r w:rsidR="00A25F8A">
        <w:t>pages</w:t>
      </w:r>
      <w:r w:rsidR="00261BBD">
        <w:t xml:space="preserve"> 765-766,</w:t>
      </w:r>
      <w:r w:rsidR="00B25AC1" w:rsidRPr="0083405D">
        <w:t xml:space="preserve"> </w:t>
      </w:r>
      <w:r w:rsidR="004D5B8F" w:rsidRPr="0083405D">
        <w:t>held that</w:t>
      </w:r>
      <w:r w:rsidR="002F03EC" w:rsidRPr="0083405D">
        <w:t xml:space="preserve"> </w:t>
      </w:r>
      <w:r w:rsidR="004D5B8F" w:rsidRPr="0083405D">
        <w:t>“courts have inherent authority to ensure that PAGA claims can be fairly and efficiently tried and, if necessary, may strike a claim that cannot be rendered manageable.”</w:t>
      </w:r>
      <w:r w:rsidR="00261BBD">
        <w:t xml:space="preserve">  </w:t>
      </w:r>
      <w:r w:rsidR="001D7F7E" w:rsidRPr="0083405D">
        <w:t xml:space="preserve">It </w:t>
      </w:r>
      <w:r w:rsidR="00875647" w:rsidRPr="0083405D">
        <w:t>reasoned</w:t>
      </w:r>
      <w:r w:rsidR="001D7F7E" w:rsidRPr="0083405D">
        <w:t xml:space="preserve">, </w:t>
      </w:r>
      <w:r w:rsidR="00BB5F68" w:rsidRPr="0083405D">
        <w:t>“[a] PAGA action may . . . cover a vast number of employees, each of whom may have markedly different experiences relevant to the alleged violations.  Under those circumstances, determining whether the employer committed Labor Code violations with respect to each employee may raise practical difficulties and may prove to be unmanageable.”  (</w:t>
      </w:r>
      <w:r w:rsidR="008F7B69" w:rsidRPr="0083405D">
        <w:rPr>
          <w:i/>
          <w:iCs/>
        </w:rPr>
        <w:t>Ibid</w:t>
      </w:r>
      <w:r w:rsidR="00BB5F68" w:rsidRPr="0083405D">
        <w:t xml:space="preserve">.) </w:t>
      </w:r>
      <w:r w:rsidR="00261BBD">
        <w:t xml:space="preserve"> </w:t>
      </w:r>
      <w:r w:rsidR="00BB026D" w:rsidRPr="0083405D">
        <w:t>“</w:t>
      </w:r>
      <w:r w:rsidR="008C7265" w:rsidRPr="0083405D">
        <w:t>[A]</w:t>
      </w:r>
      <w:r w:rsidR="00B2123C" w:rsidRPr="0083405D">
        <w:t xml:space="preserve"> court is </w:t>
      </w:r>
      <w:r w:rsidR="00BB026D" w:rsidRPr="0083405D">
        <w:t xml:space="preserve">[not] </w:t>
      </w:r>
      <w:r w:rsidR="00B2123C" w:rsidRPr="0083405D">
        <w:t>powerless to address the challenges presented by large and complex PAGA actions and is</w:t>
      </w:r>
      <w:r w:rsidR="004648E0" w:rsidRPr="0083405D">
        <w:t xml:space="preserve"> [not]</w:t>
      </w:r>
      <w:r w:rsidR="00B2123C" w:rsidRPr="0083405D">
        <w:t xml:space="preserve"> bound to hold dozens, hundreds, or thousands of minitrials involving diverse questions, depending on the breadth of the plaintiff</w:t>
      </w:r>
      <w:r w:rsidR="0063274F" w:rsidRPr="0083405D">
        <w:t>’</w:t>
      </w:r>
      <w:r w:rsidR="00B2123C" w:rsidRPr="0083405D">
        <w:t>s claims.</w:t>
      </w:r>
      <w:r w:rsidR="004648E0" w:rsidRPr="0083405D">
        <w:t xml:space="preserve">  [C]</w:t>
      </w:r>
      <w:r w:rsidR="00B2123C" w:rsidRPr="0083405D">
        <w:t>ourts have inherent authority to manage litigation with the aim of protecting the parties’ rights and the courts’ ability to function.</w:t>
      </w:r>
      <w:r w:rsidR="005E2886" w:rsidRPr="0083405D">
        <w:t xml:space="preserve">  </w:t>
      </w:r>
      <w:r w:rsidR="006F6787">
        <w:t xml:space="preserve">[Citation.]  </w:t>
      </w:r>
      <w:r w:rsidR="00787F6A" w:rsidRPr="0083405D">
        <w:t xml:space="preserve">[T]rial courts may . . . exercise their inherent authority to ensure the manageability of PAGA claims and, if necessary, may preclude the use of this procedural device.”  </w:t>
      </w:r>
      <w:r w:rsidR="009344A1" w:rsidRPr="0083405D">
        <w:t>(</w:t>
      </w:r>
      <w:r w:rsidR="009344A1" w:rsidRPr="0083405D">
        <w:rPr>
          <w:i/>
          <w:iCs/>
        </w:rPr>
        <w:t>Id</w:t>
      </w:r>
      <w:r w:rsidR="009344A1" w:rsidRPr="0083405D">
        <w:t xml:space="preserve">. at pp. 766-767.)  </w:t>
      </w:r>
      <w:r w:rsidR="004228CF" w:rsidRPr="0083405D">
        <w:t xml:space="preserve">That is, courts may </w:t>
      </w:r>
      <w:r w:rsidR="007A59A6" w:rsidRPr="0083405D">
        <w:t>strike PAGA claims deemed to be unmanageable.</w:t>
      </w:r>
    </w:p>
    <w:p w14:paraId="596B0658" w14:textId="0A73B868" w:rsidR="004822FB" w:rsidRPr="0083405D" w:rsidRDefault="00432A9A" w:rsidP="00072DDC">
      <w:pPr>
        <w:tabs>
          <w:tab w:val="left" w:pos="1440"/>
          <w:tab w:val="left" w:pos="2880"/>
          <w:tab w:val="left" w:pos="4320"/>
          <w:tab w:val="left" w:pos="5760"/>
          <w:tab w:val="left" w:pos="7200"/>
          <w:tab w:val="left" w:pos="8640"/>
        </w:tabs>
        <w:spacing w:line="480" w:lineRule="atLeast"/>
      </w:pPr>
      <w:r w:rsidRPr="0083405D">
        <w:lastRenderedPageBreak/>
        <w:tab/>
      </w:r>
      <w:r w:rsidR="002D7BF5" w:rsidRPr="0083405D">
        <w:t xml:space="preserve">Aside from </w:t>
      </w:r>
      <w:r w:rsidR="008522CF" w:rsidRPr="0083405D">
        <w:rPr>
          <w:i/>
          <w:iCs/>
        </w:rPr>
        <w:t>Wesson</w:t>
      </w:r>
      <w:r w:rsidR="008522CF" w:rsidRPr="0083405D">
        <w:t>,</w:t>
      </w:r>
      <w:r w:rsidR="00331011" w:rsidRPr="0083405D">
        <w:t xml:space="preserve"> </w:t>
      </w:r>
      <w:r w:rsidR="008522CF" w:rsidRPr="0083405D">
        <w:t xml:space="preserve">federal district courts </w:t>
      </w:r>
      <w:r w:rsidR="005D796F" w:rsidRPr="0083405D">
        <w:t xml:space="preserve">disagree as to </w:t>
      </w:r>
      <w:r w:rsidR="008522CF" w:rsidRPr="0083405D">
        <w:t xml:space="preserve">whether </w:t>
      </w:r>
      <w:r w:rsidR="006E19C1" w:rsidRPr="0083405D">
        <w:t xml:space="preserve">PAGA </w:t>
      </w:r>
      <w:r w:rsidR="004116D4" w:rsidRPr="0083405D">
        <w:t xml:space="preserve">claims </w:t>
      </w:r>
      <w:r w:rsidR="006E19C1" w:rsidRPr="0083405D">
        <w:t xml:space="preserve">can be </w:t>
      </w:r>
      <w:r w:rsidR="00543A39" w:rsidRPr="0083405D">
        <w:t xml:space="preserve">struck </w:t>
      </w:r>
      <w:r w:rsidR="00250707" w:rsidRPr="0083405D">
        <w:t xml:space="preserve">based on </w:t>
      </w:r>
      <w:r w:rsidR="008522CF" w:rsidRPr="0083405D">
        <w:t xml:space="preserve">to manageability.  </w:t>
      </w:r>
      <w:r w:rsidR="00594939" w:rsidRPr="0083405D">
        <w:t xml:space="preserve">Some courts believe </w:t>
      </w:r>
      <w:r w:rsidR="00FE518F" w:rsidRPr="0083405D">
        <w:t xml:space="preserve">allowing dismissal of unmanageable PAGA claims </w:t>
      </w:r>
      <w:r w:rsidR="00706815" w:rsidRPr="0083405D">
        <w:t>conflict</w:t>
      </w:r>
      <w:r w:rsidR="00594939" w:rsidRPr="0083405D">
        <w:t>s</w:t>
      </w:r>
      <w:r w:rsidR="00706815" w:rsidRPr="0083405D">
        <w:t xml:space="preserve"> with PAGA’s purpose.  </w:t>
      </w:r>
      <w:r w:rsidRPr="0083405D">
        <w:t xml:space="preserve">“PAGA contemplates civil penalties for ‘a violation’ of the California Labor Code . . . </w:t>
      </w:r>
      <w:r w:rsidR="006F6787">
        <w:t xml:space="preserve">, </w:t>
      </w:r>
      <w:r w:rsidRPr="0083405D">
        <w:t>which will often require individualized assessme</w:t>
      </w:r>
      <w:r w:rsidRPr="0083405D">
        <w:t xml:space="preserve">nts of liability.  </w:t>
      </w:r>
      <w:r w:rsidR="00006389" w:rsidRPr="0083405D">
        <w:t xml:space="preserve">[Citations.]  </w:t>
      </w:r>
      <w:r w:rsidRPr="0083405D">
        <w:t xml:space="preserve">The purpose of PAGA </w:t>
      </w:r>
      <w:r w:rsidR="00006389" w:rsidRPr="0083405D">
        <w:t>‘</w:t>
      </w:r>
      <w:r w:rsidRPr="0083405D">
        <w:t>is to incentivize private parties to recover civil penalties for the government that otherwise may not have been assessed and collected by overburdened state enforcement agencies.</w:t>
      </w:r>
      <w:r w:rsidR="00006389" w:rsidRPr="0083405D">
        <w:t>’</w:t>
      </w:r>
      <w:r w:rsidRPr="0083405D">
        <w:t xml:space="preserve"> </w:t>
      </w:r>
      <w:r w:rsidR="00006389" w:rsidRPr="0083405D">
        <w:t xml:space="preserve"> [Citation.]  </w:t>
      </w:r>
      <w:r w:rsidRPr="0083405D">
        <w:t>Holding</w:t>
      </w:r>
      <w:r w:rsidRPr="0083405D">
        <w:t xml:space="preserve"> that individualized liability determinations make representative PAGA actions unmanageable, and therefore untenable, would impose a barrier on such actions that the state law enforcement agency does not face when it litigates those cases itself.</w:t>
      </w:r>
      <w:r w:rsidR="00E42BA0" w:rsidRPr="0083405D">
        <w:t xml:space="preserve">  [Citations.]</w:t>
      </w:r>
      <w:r w:rsidR="00840C5C" w:rsidRPr="0083405D">
        <w:t xml:space="preserve">  Imposing such a requirement, found nowhere in PAGA itself and apparently not imposed upon the government, would ‘obliterate [the] purpose’ of representative PAGA actions.  [Citation.]  Seeking civil penalties on behalf of aggrieved employees may make plaintiff’s case difficult to prove, and may require evidence regarding a significant number of individual employees.  But PAGA actions are unlike class actions; they are ‘distinct in purpose and function from a purely procedural rule,</w:t>
      </w:r>
      <w:r w:rsidR="00C91995" w:rsidRPr="0083405D">
        <w:t>’</w:t>
      </w:r>
      <w:r w:rsidR="00840C5C" w:rsidRPr="0083405D">
        <w:t xml:space="preserve"> </w:t>
      </w:r>
      <w:r w:rsidR="00AC5186" w:rsidRPr="0083405D">
        <w:t>. . . </w:t>
      </w:r>
      <w:r w:rsidR="00840C5C" w:rsidRPr="0083405D">
        <w:t xml:space="preserve">the purpose of PAGA is not </w:t>
      </w:r>
      <w:r w:rsidR="00C91995" w:rsidRPr="0083405D">
        <w:t>‘</w:t>
      </w:r>
      <w:r w:rsidR="00840C5C" w:rsidRPr="0083405D">
        <w:t>to allow a collection of individual plaintiffs to sue the same defendant in one consolidated action for the sake of convenience and efficiency.</w:t>
      </w:r>
      <w:r w:rsidR="00C91995" w:rsidRPr="0083405D">
        <w:t>’</w:t>
      </w:r>
      <w:r w:rsidR="00840C5C" w:rsidRPr="0083405D">
        <w:t xml:space="preserve"> </w:t>
      </w:r>
      <w:r w:rsidR="00C91995" w:rsidRPr="0083405D">
        <w:t xml:space="preserve"> [Citation.]  </w:t>
      </w:r>
      <w:r w:rsidR="00840C5C" w:rsidRPr="0083405D">
        <w:t xml:space="preserve">In short, the imposition of a manageability requirement—which finds its genesis in </w:t>
      </w:r>
      <w:r w:rsidR="002B5E92" w:rsidRPr="0083405D">
        <w:t xml:space="preserve">[class action </w:t>
      </w:r>
      <w:r w:rsidR="004477C6" w:rsidRPr="0083405D">
        <w:t>procedure</w:t>
      </w:r>
      <w:r w:rsidR="002B5E92" w:rsidRPr="0083405D">
        <w:t>]</w:t>
      </w:r>
      <w:r w:rsidR="00840C5C" w:rsidRPr="0083405D">
        <w:t>—makes little sense in this context.</w:t>
      </w:r>
      <w:r w:rsidR="00006389" w:rsidRPr="0083405D">
        <w:t>”</w:t>
      </w:r>
      <w:r w:rsidR="009100D4" w:rsidRPr="0083405D">
        <w:t xml:space="preserve">  (</w:t>
      </w:r>
      <w:r w:rsidR="009100D4" w:rsidRPr="0083405D">
        <w:rPr>
          <w:i/>
          <w:iCs/>
        </w:rPr>
        <w:t>Zackaria v. Wal-Mart Stores, Inc.</w:t>
      </w:r>
      <w:r w:rsidR="009100D4" w:rsidRPr="0083405D">
        <w:t xml:space="preserve"> (C.D. Cal. 2015) 142 F.Supp.3d 949, 959</w:t>
      </w:r>
      <w:r w:rsidR="006F6787">
        <w:t>-960</w:t>
      </w:r>
      <w:r w:rsidR="001A114E" w:rsidRPr="0083405D">
        <w:t xml:space="preserve"> (</w:t>
      </w:r>
      <w:r w:rsidR="001A114E" w:rsidRPr="0083405D">
        <w:rPr>
          <w:i/>
          <w:iCs/>
        </w:rPr>
        <w:t>Zackaria</w:t>
      </w:r>
      <w:r w:rsidR="001A114E" w:rsidRPr="0083405D">
        <w:t>)</w:t>
      </w:r>
      <w:r w:rsidR="00CB28E7" w:rsidRPr="0083405D">
        <w:t>.)</w:t>
      </w:r>
    </w:p>
    <w:p w14:paraId="3DA11FDB" w14:textId="6ED9E4B4" w:rsidR="00ED0C2F" w:rsidRPr="0083405D" w:rsidRDefault="00432A9A" w:rsidP="00CC5E32">
      <w:pPr>
        <w:tabs>
          <w:tab w:val="left" w:pos="1440"/>
          <w:tab w:val="left" w:pos="2880"/>
          <w:tab w:val="left" w:pos="4320"/>
          <w:tab w:val="left" w:pos="5760"/>
          <w:tab w:val="left" w:pos="7200"/>
          <w:tab w:val="left" w:pos="8640"/>
        </w:tabs>
        <w:spacing w:line="480" w:lineRule="atLeast"/>
      </w:pPr>
      <w:r w:rsidRPr="0083405D">
        <w:tab/>
        <w:t xml:space="preserve">In contrast, district courts that </w:t>
      </w:r>
      <w:r w:rsidR="00B23A0A" w:rsidRPr="0083405D">
        <w:t xml:space="preserve">have struck </w:t>
      </w:r>
      <w:r w:rsidR="00D7334C" w:rsidRPr="0083405D">
        <w:t xml:space="preserve">unmanageable PAGA </w:t>
      </w:r>
      <w:r w:rsidR="00537BD8" w:rsidRPr="0083405D">
        <w:t xml:space="preserve">claims </w:t>
      </w:r>
      <w:r w:rsidR="00B23A0A" w:rsidRPr="0083405D">
        <w:t xml:space="preserve">have done </w:t>
      </w:r>
      <w:r w:rsidR="0079191F" w:rsidRPr="0083405D">
        <w:t xml:space="preserve">so on similar grounds as </w:t>
      </w:r>
      <w:r w:rsidR="00537BD8" w:rsidRPr="0083405D">
        <w:rPr>
          <w:i/>
          <w:iCs/>
        </w:rPr>
        <w:t>Wesson</w:t>
      </w:r>
      <w:r w:rsidR="00C7544E" w:rsidRPr="0083405D">
        <w:t>.</w:t>
      </w:r>
      <w:r w:rsidR="00537BD8" w:rsidRPr="0083405D">
        <w:t xml:space="preserve">  </w:t>
      </w:r>
      <w:r w:rsidR="00DC0C9F" w:rsidRPr="0083405D">
        <w:t xml:space="preserve">They believe PAGA claims can be stricken </w:t>
      </w:r>
      <w:r w:rsidR="00492172" w:rsidRPr="0083405D">
        <w:t>“where establishing liability based on Labor Code violations would be unmanageable due to the individualized assessments required to prove violations based on the plaintiff’s allegations and the defendant’s evidence of the necessary inquiries.”  (</w:t>
      </w:r>
      <w:r w:rsidR="00492172" w:rsidRPr="0083405D">
        <w:rPr>
          <w:i/>
          <w:iCs/>
        </w:rPr>
        <w:t>Amiri v. Cox Communications California, LLC</w:t>
      </w:r>
      <w:r w:rsidR="00492172" w:rsidRPr="0083405D">
        <w:t xml:space="preserve"> (C.D. Cal. 2017) 272 F.Supp.3d 1187, </w:t>
      </w:r>
      <w:r w:rsidR="006F6787">
        <w:t>1193-</w:t>
      </w:r>
      <w:r w:rsidR="00492172" w:rsidRPr="0083405D">
        <w:t xml:space="preserve">1194.) </w:t>
      </w:r>
      <w:r w:rsidR="0036763E" w:rsidRPr="0083405D">
        <w:t xml:space="preserve"> </w:t>
      </w:r>
      <w:r w:rsidR="00DA5D0A" w:rsidRPr="0083405D">
        <w:lastRenderedPageBreak/>
        <w:t xml:space="preserve">Like </w:t>
      </w:r>
      <w:r w:rsidR="00DA5D0A" w:rsidRPr="0083405D">
        <w:rPr>
          <w:i/>
          <w:iCs/>
        </w:rPr>
        <w:t>Wesson</w:t>
      </w:r>
      <w:r w:rsidR="00DA5D0A" w:rsidRPr="0083405D">
        <w:t xml:space="preserve">, </w:t>
      </w:r>
      <w:r w:rsidR="006E06E3" w:rsidRPr="0083405D">
        <w:t xml:space="preserve">these district courts have </w:t>
      </w:r>
      <w:r w:rsidR="007A54AE" w:rsidRPr="0083405D">
        <w:t xml:space="preserve">determined </w:t>
      </w:r>
      <w:r w:rsidR="005E08B8" w:rsidRPr="0083405D">
        <w:t xml:space="preserve">unmanageable </w:t>
      </w:r>
      <w:r w:rsidR="001764DC" w:rsidRPr="0083405D">
        <w:t xml:space="preserve">PAGA claims </w:t>
      </w:r>
      <w:r w:rsidR="007A54AE" w:rsidRPr="0083405D">
        <w:t xml:space="preserve">can be </w:t>
      </w:r>
      <w:r w:rsidR="00301B42" w:rsidRPr="0083405D">
        <w:t>struck under the court’s inherent authority</w:t>
      </w:r>
      <w:r w:rsidR="007A54AE" w:rsidRPr="0083405D">
        <w:t xml:space="preserve">.  Such power </w:t>
      </w:r>
      <w:r w:rsidR="004F77C7" w:rsidRPr="0083405D">
        <w:t xml:space="preserve">is not </w:t>
      </w:r>
      <w:r w:rsidR="00537BD8" w:rsidRPr="0083405D">
        <w:t xml:space="preserve">“‘“governed </w:t>
      </w:r>
      <w:r w:rsidR="004F77C7" w:rsidRPr="0083405D">
        <w:t xml:space="preserve">. . . </w:t>
      </w:r>
      <w:r w:rsidR="00537BD8" w:rsidRPr="0083405D">
        <w:t>by rule or statute but by the control necessarily vested in courts to manage their own affairs so as to achieve the orderly and expeditious disposition of cases.”’”  (</w:t>
      </w:r>
      <w:r w:rsidR="00537BD8" w:rsidRPr="0083405D">
        <w:rPr>
          <w:i/>
          <w:iCs/>
        </w:rPr>
        <w:t>Valadez v. CSX Intermodal Terminals, Inc.</w:t>
      </w:r>
      <w:r w:rsidR="00537BD8" w:rsidRPr="0083405D">
        <w:t xml:space="preserve"> (N.D. Cal. 2018) 298 F.Supp.3d 1254, 1266.)</w:t>
      </w:r>
    </w:p>
    <w:p w14:paraId="128D5031" w14:textId="781AE8EF" w:rsidR="00580419" w:rsidRPr="0083405D" w:rsidRDefault="00432A9A" w:rsidP="00580419">
      <w:pPr>
        <w:tabs>
          <w:tab w:val="left" w:pos="1440"/>
          <w:tab w:val="left" w:pos="2880"/>
          <w:tab w:val="left" w:pos="4320"/>
          <w:tab w:val="left" w:pos="5760"/>
          <w:tab w:val="left" w:pos="7200"/>
          <w:tab w:val="left" w:pos="8640"/>
        </w:tabs>
        <w:spacing w:line="480" w:lineRule="atLeast"/>
      </w:pPr>
      <w:r w:rsidRPr="0083405D">
        <w:tab/>
      </w:r>
      <w:r w:rsidR="0022672F" w:rsidRPr="0083405D">
        <w:t xml:space="preserve">After reviewing both </w:t>
      </w:r>
      <w:r w:rsidR="00AB4CE7" w:rsidRPr="0083405D">
        <w:t>perspectives</w:t>
      </w:r>
      <w:r w:rsidR="0022672F" w:rsidRPr="0083405D">
        <w:t>, w</w:t>
      </w:r>
      <w:r w:rsidRPr="0083405D">
        <w:t xml:space="preserve">e respectfully disagree with </w:t>
      </w:r>
      <w:r w:rsidRPr="0083405D">
        <w:rPr>
          <w:i/>
          <w:iCs/>
        </w:rPr>
        <w:t>Wesson</w:t>
      </w:r>
      <w:r w:rsidRPr="0083405D">
        <w:t xml:space="preserve"> </w:t>
      </w:r>
      <w:r w:rsidR="00433978" w:rsidRPr="0083405D">
        <w:t>and agree with the reasoning of the district court</w:t>
      </w:r>
      <w:r w:rsidR="0022672F" w:rsidRPr="0083405D">
        <w:t>s</w:t>
      </w:r>
      <w:r w:rsidR="00433978" w:rsidRPr="0083405D">
        <w:t xml:space="preserve"> </w:t>
      </w:r>
      <w:r w:rsidR="00AB4CE7" w:rsidRPr="0083405D">
        <w:t xml:space="preserve">that have refused to </w:t>
      </w:r>
      <w:r w:rsidR="0026606B">
        <w:t xml:space="preserve">dismiss PAGA </w:t>
      </w:r>
      <w:r w:rsidR="00433978" w:rsidRPr="0083405D">
        <w:t>claims</w:t>
      </w:r>
      <w:r w:rsidR="002E26B7">
        <w:t xml:space="preserve"> </w:t>
      </w:r>
      <w:r w:rsidR="00517B44">
        <w:t xml:space="preserve">based on </w:t>
      </w:r>
      <w:r w:rsidR="002E26B7">
        <w:t>manageability</w:t>
      </w:r>
      <w:r w:rsidR="00433978" w:rsidRPr="0083405D">
        <w:t xml:space="preserve">.  </w:t>
      </w:r>
      <w:r w:rsidR="008A4DA9" w:rsidRPr="0083405D">
        <w:t xml:space="preserve">As our Supreme Court has </w:t>
      </w:r>
      <w:r w:rsidR="00702667" w:rsidRPr="0083405D">
        <w:t>clarified</w:t>
      </w:r>
      <w:r w:rsidR="008A4DA9" w:rsidRPr="0083405D">
        <w:t xml:space="preserve">, </w:t>
      </w:r>
      <w:r w:rsidR="005F48F1" w:rsidRPr="0083405D">
        <w:t>“‘a representative action under PAGA is not a class action.’”</w:t>
      </w:r>
      <w:r w:rsidR="008A4DA9" w:rsidRPr="0083405D">
        <w:t xml:space="preserve">  (</w:t>
      </w:r>
      <w:r w:rsidR="008A4DA9" w:rsidRPr="0083405D">
        <w:rPr>
          <w:i/>
          <w:iCs/>
        </w:rPr>
        <w:t>Kim v. Reins International California, Inc.</w:t>
      </w:r>
      <w:r w:rsidR="00C20F16">
        <w:t xml:space="preserve">, </w:t>
      </w:r>
      <w:r w:rsidR="00C20F16" w:rsidRPr="00C20F16">
        <w:rPr>
          <w:i/>
          <w:iCs/>
        </w:rPr>
        <w:t>supra</w:t>
      </w:r>
      <w:r w:rsidR="00C20F16">
        <w:t>,</w:t>
      </w:r>
      <w:r w:rsidR="008A4DA9" w:rsidRPr="0083405D">
        <w:t xml:space="preserve"> 9 Cal.5th </w:t>
      </w:r>
      <w:r w:rsidR="00C20F16">
        <w:t xml:space="preserve">at </w:t>
      </w:r>
      <w:r w:rsidR="006F6787">
        <w:t>p</w:t>
      </w:r>
      <w:r w:rsidR="00C20F16">
        <w:t xml:space="preserve">p. </w:t>
      </w:r>
      <w:r w:rsidR="006F6787">
        <w:t>86-</w:t>
      </w:r>
      <w:r w:rsidR="008A4DA9" w:rsidRPr="0083405D">
        <w:t>87.)</w:t>
      </w:r>
      <w:r w:rsidR="002D736C" w:rsidRPr="0083405D">
        <w:t xml:space="preserve">  </w:t>
      </w:r>
      <w:r w:rsidR="006F6787">
        <w:t>“</w:t>
      </w:r>
      <w:r w:rsidR="0031409E" w:rsidRPr="0083405D">
        <w:t xml:space="preserve">The latter </w:t>
      </w:r>
      <w:r w:rsidR="00012547" w:rsidRPr="0083405D">
        <w:t>is a procedural device for aggregating claims ‘when the parties are numerous, and it is impracticable to bring them all before the court.’”  (</w:t>
      </w:r>
      <w:r w:rsidR="006F6787">
        <w:rPr>
          <w:i/>
          <w:iCs/>
        </w:rPr>
        <w:t>Ibid.</w:t>
      </w:r>
      <w:r w:rsidR="00012547" w:rsidRPr="0083405D">
        <w:t>)</w:t>
      </w:r>
      <w:r w:rsidR="00B21E9E" w:rsidRPr="0083405D">
        <w:t xml:space="preserve">  </w:t>
      </w:r>
      <w:r w:rsidR="00624AB1" w:rsidRPr="0083405D">
        <w:t xml:space="preserve">In comparison, </w:t>
      </w:r>
      <w:r w:rsidR="00B21E9E" w:rsidRPr="0083405D">
        <w:t xml:space="preserve">PAGA </w:t>
      </w:r>
      <w:r w:rsidR="00196B69" w:rsidRPr="0083405D">
        <w:t xml:space="preserve">claims </w:t>
      </w:r>
      <w:r w:rsidR="00531A73" w:rsidRPr="0083405D">
        <w:t>are</w:t>
      </w:r>
      <w:r w:rsidR="004958FF">
        <w:t xml:space="preserve"> administrative</w:t>
      </w:r>
      <w:r w:rsidR="00531A73" w:rsidRPr="0083405D">
        <w:t xml:space="preserve"> </w:t>
      </w:r>
      <w:r w:rsidR="00B21E9E" w:rsidRPr="0083405D">
        <w:t>law enforcement actions</w:t>
      </w:r>
      <w:r w:rsidR="00531A73" w:rsidRPr="0083405D">
        <w:t xml:space="preserve"> </w:t>
      </w:r>
      <w:r w:rsidR="00FA511E" w:rsidRPr="0083405D">
        <w:t xml:space="preserve">that </w:t>
      </w:r>
      <w:r w:rsidR="00D645E0" w:rsidRPr="0083405D">
        <w:t>“are different from conventional civil suits.  The Legislature’s sole purpose in enacting PAGA was ‘to augment the limited enforcement capability of the [</w:t>
      </w:r>
      <w:r w:rsidR="00130C67" w:rsidRPr="0083405D">
        <w:t>Labor Workforce Development Agency (</w:t>
      </w:r>
      <w:r w:rsidR="00D645E0" w:rsidRPr="0083405D">
        <w:t>LWDA</w:t>
      </w:r>
      <w:r w:rsidR="000E358F" w:rsidRPr="0083405D">
        <w:t>)</w:t>
      </w:r>
      <w:r w:rsidR="00D645E0" w:rsidRPr="0083405D">
        <w:t>] by empowering employees to enforce the Labor Code as representatives of the Agency.’  [Citations.]  Accordingly, a PAGA claim is an enforcement action between the LWDA and the employer, with the PAGA plaintiff acting on behalf of the government.</w:t>
      </w:r>
      <w:r w:rsidR="009B2229" w:rsidRPr="0083405D">
        <w:t>”  (</w:t>
      </w:r>
      <w:r w:rsidR="007F79BD" w:rsidRPr="0083405D">
        <w:rPr>
          <w:i/>
          <w:iCs/>
        </w:rPr>
        <w:t>Id</w:t>
      </w:r>
      <w:r w:rsidR="009B2229" w:rsidRPr="0083405D">
        <w:t>.</w:t>
      </w:r>
      <w:r w:rsidR="006F6787">
        <w:t xml:space="preserve"> at p. 86.</w:t>
      </w:r>
      <w:r w:rsidR="009B2229" w:rsidRPr="0083405D">
        <w:t>)</w:t>
      </w:r>
      <w:r w:rsidR="00572A1C" w:rsidRPr="0083405D">
        <w:t xml:space="preserve">  The civil penalties recovered in a PAGA action </w:t>
      </w:r>
      <w:r w:rsidR="00E61454" w:rsidRPr="0083405D">
        <w:t xml:space="preserve">are </w:t>
      </w:r>
      <w:r w:rsidR="00572A1C" w:rsidRPr="0083405D">
        <w:t xml:space="preserve">“recovered on the state’s behalf </w:t>
      </w:r>
      <w:r w:rsidR="00E61454" w:rsidRPr="0083405D">
        <w:t xml:space="preserve">[and] </w:t>
      </w:r>
      <w:r w:rsidR="00572A1C" w:rsidRPr="0083405D">
        <w:t xml:space="preserve">are intended to ‘remediate present violations and deter future ones,’ </w:t>
      </w:r>
      <w:r w:rsidR="00572A1C" w:rsidRPr="006F6787">
        <w:rPr>
          <w:i/>
          <w:iCs/>
        </w:rPr>
        <w:t>not</w:t>
      </w:r>
      <w:r w:rsidR="00572A1C" w:rsidRPr="0083405D">
        <w:t xml:space="preserve"> to redress employees’ injuries.”  (</w:t>
      </w:r>
      <w:r w:rsidR="00E61454" w:rsidRPr="0083405D">
        <w:rPr>
          <w:i/>
          <w:iCs/>
        </w:rPr>
        <w:t>Ibid</w:t>
      </w:r>
      <w:r w:rsidR="00572A1C" w:rsidRPr="0083405D">
        <w:t>.)</w:t>
      </w:r>
    </w:p>
    <w:p w14:paraId="33944951" w14:textId="7DA7CF40" w:rsidR="00B94B5D" w:rsidRPr="0083405D" w:rsidRDefault="00432A9A" w:rsidP="00F27AF7">
      <w:pPr>
        <w:tabs>
          <w:tab w:val="left" w:pos="1440"/>
          <w:tab w:val="left" w:pos="2880"/>
          <w:tab w:val="left" w:pos="4320"/>
          <w:tab w:val="left" w:pos="5760"/>
          <w:tab w:val="left" w:pos="7200"/>
          <w:tab w:val="left" w:pos="8640"/>
        </w:tabs>
        <w:spacing w:line="480" w:lineRule="atLeast"/>
      </w:pPr>
      <w:r w:rsidRPr="0083405D">
        <w:tab/>
      </w:r>
      <w:r w:rsidR="00F628C5">
        <w:t xml:space="preserve">Due to </w:t>
      </w:r>
      <w:r w:rsidR="0012617A">
        <w:t xml:space="preserve">their </w:t>
      </w:r>
      <w:r w:rsidR="00F628C5">
        <w:t>differences</w:t>
      </w:r>
      <w:r w:rsidRPr="0083405D">
        <w:t xml:space="preserve">, our Supreme Court </w:t>
      </w:r>
      <w:r w:rsidR="000E1635">
        <w:t xml:space="preserve">has </w:t>
      </w:r>
      <w:r w:rsidRPr="0083405D">
        <w:t xml:space="preserve">held </w:t>
      </w:r>
      <w:r w:rsidR="007C0721">
        <w:t xml:space="preserve">that </w:t>
      </w:r>
      <w:r w:rsidRPr="0083405D">
        <w:t xml:space="preserve">PAGA plaintiffs need not meet class action </w:t>
      </w:r>
      <w:r w:rsidR="007D2322" w:rsidRPr="0083405D">
        <w:t xml:space="preserve">certification </w:t>
      </w:r>
      <w:r w:rsidRPr="0083405D">
        <w:t>requirements when pursuing PAGA penalties.  (</w:t>
      </w:r>
      <w:r w:rsidRPr="0083405D">
        <w:rPr>
          <w:i/>
          <w:iCs/>
        </w:rPr>
        <w:t xml:space="preserve">Arias v. </w:t>
      </w:r>
      <w:r w:rsidRPr="0083405D">
        <w:rPr>
          <w:i/>
          <w:iCs/>
        </w:rPr>
        <w:t>Superior Court</w:t>
      </w:r>
      <w:r w:rsidR="00E21D88">
        <w:t xml:space="preserve">, </w:t>
      </w:r>
      <w:r w:rsidR="00E21D88" w:rsidRPr="00E21D88">
        <w:rPr>
          <w:i/>
          <w:iCs/>
        </w:rPr>
        <w:t>supra</w:t>
      </w:r>
      <w:r w:rsidR="00E21D88">
        <w:t>,</w:t>
      </w:r>
      <w:r w:rsidRPr="0083405D">
        <w:t xml:space="preserve"> 46 Cal.4th </w:t>
      </w:r>
      <w:r w:rsidR="00E21D88">
        <w:t xml:space="preserve">at p. </w:t>
      </w:r>
      <w:r w:rsidRPr="0083405D">
        <w:t>975</w:t>
      </w:r>
      <w:r w:rsidR="00B366E9">
        <w:t xml:space="preserve">; see </w:t>
      </w:r>
      <w:r w:rsidR="00B366E9" w:rsidRPr="00F27AF7">
        <w:rPr>
          <w:i/>
          <w:iCs/>
        </w:rPr>
        <w:t>Kim v. Reins International California, Inc.</w:t>
      </w:r>
      <w:r w:rsidR="00B366E9">
        <w:t xml:space="preserve">, </w:t>
      </w:r>
      <w:r w:rsidR="00B366E9" w:rsidRPr="00C20F16">
        <w:rPr>
          <w:i/>
          <w:iCs/>
        </w:rPr>
        <w:t>supra</w:t>
      </w:r>
      <w:r w:rsidR="00B366E9">
        <w:t xml:space="preserve">, 9 Cal.5th </w:t>
      </w:r>
      <w:r w:rsidR="006F6787">
        <w:t>at pp.</w:t>
      </w:r>
      <w:r w:rsidR="00B366E9">
        <w:t xml:space="preserve"> 86-87</w:t>
      </w:r>
      <w:r w:rsidRPr="0083405D">
        <w:t xml:space="preserve">.)  </w:t>
      </w:r>
      <w:r w:rsidR="00C5341C">
        <w:t>A</w:t>
      </w:r>
      <w:r w:rsidR="00F71C66">
        <w:t xml:space="preserve">s district courts have noted, </w:t>
      </w:r>
      <w:r w:rsidR="00C5341C">
        <w:t xml:space="preserve">though, </w:t>
      </w:r>
      <w:r w:rsidR="00F71C66">
        <w:t xml:space="preserve">dismissal of a claim based on manageability is rooted in class action procedure.  </w:t>
      </w:r>
      <w:r w:rsidR="00F71C66" w:rsidRPr="0083405D">
        <w:t>(</w:t>
      </w:r>
      <w:r w:rsidR="00F71C66" w:rsidRPr="0083405D">
        <w:rPr>
          <w:i/>
          <w:iCs/>
        </w:rPr>
        <w:t>Zackaria</w:t>
      </w:r>
      <w:r w:rsidR="00F71C66">
        <w:t xml:space="preserve">, </w:t>
      </w:r>
      <w:r w:rsidR="00F71C66" w:rsidRPr="00F71C66">
        <w:rPr>
          <w:i/>
          <w:iCs/>
        </w:rPr>
        <w:t>supra</w:t>
      </w:r>
      <w:r w:rsidR="00F71C66">
        <w:t>,</w:t>
      </w:r>
      <w:r w:rsidR="00F71C66" w:rsidRPr="0083405D">
        <w:rPr>
          <w:i/>
          <w:iCs/>
        </w:rPr>
        <w:t xml:space="preserve"> </w:t>
      </w:r>
      <w:r w:rsidR="00F71C66" w:rsidRPr="0083405D">
        <w:t xml:space="preserve">142 F.Supp.3d </w:t>
      </w:r>
      <w:r w:rsidR="00F71C66">
        <w:t xml:space="preserve">at pp. </w:t>
      </w:r>
      <w:r w:rsidR="00F71C66" w:rsidRPr="0083405D">
        <w:t>958-959</w:t>
      </w:r>
      <w:r w:rsidR="00F71C66">
        <w:t>.)</w:t>
      </w:r>
      <w:r w:rsidR="00F71C66" w:rsidRPr="0083405D">
        <w:t xml:space="preserve"> </w:t>
      </w:r>
      <w:r w:rsidR="00F71C66">
        <w:t xml:space="preserve"> </w:t>
      </w:r>
      <w:r w:rsidR="009F085E">
        <w:t>Indeed, m</w:t>
      </w:r>
      <w:r w:rsidR="007D2322" w:rsidRPr="0083405D">
        <w:t xml:space="preserve">anageability is a key requirement </w:t>
      </w:r>
      <w:r w:rsidR="00E53472">
        <w:t xml:space="preserve">for </w:t>
      </w:r>
      <w:r w:rsidR="007D2322" w:rsidRPr="0083405D">
        <w:t>class certification</w:t>
      </w:r>
      <w:r w:rsidR="004C049A" w:rsidRPr="0083405D">
        <w:t xml:space="preserve">. </w:t>
      </w:r>
      <w:r w:rsidR="00991FCC">
        <w:t xml:space="preserve"> </w:t>
      </w:r>
      <w:r w:rsidRPr="0083405D">
        <w:t>(</w:t>
      </w:r>
      <w:r w:rsidRPr="0083405D">
        <w:rPr>
          <w:i/>
          <w:iCs/>
        </w:rPr>
        <w:t>Duran v. U.S. Bank National Assn.</w:t>
      </w:r>
      <w:r w:rsidRPr="0083405D">
        <w:t xml:space="preserve"> (2014) 59 Cal.4th </w:t>
      </w:r>
      <w:r w:rsidRPr="0083405D">
        <w:lastRenderedPageBreak/>
        <w:t>1,</w:t>
      </w:r>
      <w:r w:rsidRPr="0083405D">
        <w:t xml:space="preserve"> </w:t>
      </w:r>
      <w:r w:rsidR="003A0E0D">
        <w:t>28-</w:t>
      </w:r>
      <w:r w:rsidRPr="0083405D">
        <w:t>29</w:t>
      </w:r>
      <w:r w:rsidR="004C049A" w:rsidRPr="0083405D">
        <w:t>.</w:t>
      </w:r>
      <w:r w:rsidRPr="0083405D">
        <w:t>)</w:t>
      </w:r>
      <w:r w:rsidR="00433A77" w:rsidRPr="0083405D">
        <w:t xml:space="preserve">  </w:t>
      </w:r>
      <w:r w:rsidR="00A13D2B">
        <w:t>Accordingly, r</w:t>
      </w:r>
      <w:r w:rsidR="00790DD2" w:rsidRPr="0083405D">
        <w:t xml:space="preserve">equiring that PAGA claims be manageable </w:t>
      </w:r>
      <w:r w:rsidR="00FD01E5">
        <w:t xml:space="preserve">would </w:t>
      </w:r>
      <w:r w:rsidR="00FD01E5" w:rsidRPr="0083405D">
        <w:t>graft a</w:t>
      </w:r>
      <w:r w:rsidR="00FD01E5">
        <w:t xml:space="preserve"> </w:t>
      </w:r>
      <w:r w:rsidR="004D5EFC">
        <w:t xml:space="preserve">crucial </w:t>
      </w:r>
      <w:r w:rsidR="00FD01E5" w:rsidRPr="0083405D">
        <w:t>element of class certification onto PAGA claims</w:t>
      </w:r>
      <w:r w:rsidR="00FD01E5">
        <w:t xml:space="preserve">, undercutting </w:t>
      </w:r>
      <w:r w:rsidR="001D3724">
        <w:t>our Supreme Court’s prior holdings</w:t>
      </w:r>
      <w:r w:rsidR="00FD01E5">
        <w:t>.</w:t>
      </w:r>
    </w:p>
    <w:p w14:paraId="5FBE650E" w14:textId="473A986C" w:rsidR="00276E66" w:rsidRPr="0083405D" w:rsidRDefault="00432A9A" w:rsidP="00367B3E">
      <w:pPr>
        <w:tabs>
          <w:tab w:val="left" w:pos="1440"/>
          <w:tab w:val="left" w:pos="2880"/>
          <w:tab w:val="left" w:pos="4320"/>
          <w:tab w:val="left" w:pos="5760"/>
          <w:tab w:val="left" w:pos="7200"/>
          <w:tab w:val="left" w:pos="8640"/>
        </w:tabs>
        <w:spacing w:line="480" w:lineRule="atLeast"/>
      </w:pPr>
      <w:r w:rsidRPr="0083405D">
        <w:tab/>
      </w:r>
      <w:r w:rsidR="00AF3409" w:rsidRPr="0083405D">
        <w:t>Moreover, u</w:t>
      </w:r>
      <w:r w:rsidR="00A70ED8" w:rsidRPr="0083405D">
        <w:t xml:space="preserve">nlike a typical civil action, </w:t>
      </w:r>
      <w:r w:rsidR="00AA0C75" w:rsidRPr="0083405D">
        <w:t xml:space="preserve">PAGA </w:t>
      </w:r>
      <w:r w:rsidR="00051C26">
        <w:t xml:space="preserve">claims </w:t>
      </w:r>
      <w:r w:rsidR="00EA6E48">
        <w:t xml:space="preserve">are effectively administrative enforcement actions.  The </w:t>
      </w:r>
      <w:r w:rsidR="00AA0C75" w:rsidRPr="0083405D">
        <w:t xml:space="preserve">plaintiff </w:t>
      </w:r>
      <w:r w:rsidR="00BF7ACE" w:rsidRPr="0083405D">
        <w:t xml:space="preserve">acts </w:t>
      </w:r>
      <w:r w:rsidR="00AA0C75" w:rsidRPr="0083405D">
        <w:t>“as the proxy or agent of the state’s labor law enforcement agencies</w:t>
      </w:r>
      <w:r w:rsidR="00C67327" w:rsidRPr="0083405D">
        <w:t>” and “</w:t>
      </w:r>
      <w:r w:rsidR="00AA0C75" w:rsidRPr="0083405D">
        <w:t xml:space="preserve">represents the same legal right and interest as state labor law enforcement agencies—namely, recovery of civil penalties that otherwise would have been assessed and collected by the </w:t>
      </w:r>
      <w:r w:rsidR="00130C67" w:rsidRPr="0083405D">
        <w:t>[LWDA]</w:t>
      </w:r>
      <w:r w:rsidR="00AA0C75" w:rsidRPr="0083405D">
        <w:t>.”  (</w:t>
      </w:r>
      <w:r w:rsidR="00AA0C75" w:rsidRPr="0083405D">
        <w:rPr>
          <w:i/>
          <w:iCs/>
        </w:rPr>
        <w:t>Arias v. Superior Court</w:t>
      </w:r>
      <w:r w:rsidR="00E21D88">
        <w:t xml:space="preserve">, </w:t>
      </w:r>
      <w:r w:rsidR="00E21D88" w:rsidRPr="00E21D88">
        <w:rPr>
          <w:i/>
          <w:iCs/>
        </w:rPr>
        <w:t>supra</w:t>
      </w:r>
      <w:r w:rsidR="00E21D88">
        <w:t>,</w:t>
      </w:r>
      <w:r w:rsidR="00AA0C75" w:rsidRPr="0083405D">
        <w:t xml:space="preserve"> 46 Cal.4th </w:t>
      </w:r>
      <w:r w:rsidR="00E21D88">
        <w:t xml:space="preserve">at p. </w:t>
      </w:r>
      <w:r w:rsidR="00AA0C75" w:rsidRPr="0083405D">
        <w:t>986</w:t>
      </w:r>
      <w:r w:rsidR="00EF3270" w:rsidRPr="0083405D">
        <w:t xml:space="preserve">.) </w:t>
      </w:r>
      <w:r w:rsidR="000E4F78" w:rsidRPr="0083405D">
        <w:t xml:space="preserve"> </w:t>
      </w:r>
      <w:r w:rsidR="00555211">
        <w:t xml:space="preserve">“PAGA is a civil action only in the sense that its designated forum is the trial courts.  PAGA plaintiffs are still mere proxies for the state, bringing what would otherwise be an administrative regulatory enforcement action on its behalf.  </w:t>
      </w:r>
      <w:r w:rsidR="00555211" w:rsidRPr="006B37EF">
        <w:t>The action is still subject to the same legal rights and interests as the state</w:t>
      </w:r>
      <w:r w:rsidR="00555211">
        <w:t>.”  (</w:t>
      </w:r>
      <w:r w:rsidR="00555211" w:rsidRPr="003B3862">
        <w:rPr>
          <w:i/>
          <w:iCs/>
        </w:rPr>
        <w:t>LaFace v. Ralphs Grocery Company</w:t>
      </w:r>
      <w:r w:rsidR="00555211">
        <w:t xml:space="preserve"> </w:t>
      </w:r>
      <w:r w:rsidR="006F6787">
        <w:t>(</w:t>
      </w:r>
      <w:r w:rsidR="00555211">
        <w:t xml:space="preserve">Feb. 18, 2022, B305494) __ Cal.App. </w:t>
      </w:r>
      <w:r w:rsidR="006F6787">
        <w:t>5th</w:t>
      </w:r>
      <w:r w:rsidR="00555211">
        <w:t xml:space="preserve">__, __ [2022 WL 498847, </w:t>
      </w:r>
      <w:r w:rsidR="006F6787">
        <w:t>p.</w:t>
      </w:r>
      <w:r w:rsidR="00555211">
        <w:t xml:space="preserve"> *7] (</w:t>
      </w:r>
      <w:r w:rsidR="00555211" w:rsidRPr="00412BC0">
        <w:rPr>
          <w:i/>
          <w:iCs/>
        </w:rPr>
        <w:t>LaFace</w:t>
      </w:r>
      <w:r w:rsidR="00555211">
        <w:t xml:space="preserve">).)  </w:t>
      </w:r>
      <w:r w:rsidR="00025F40" w:rsidRPr="0083405D">
        <w:t>“</w:t>
      </w:r>
      <w:r w:rsidR="00E440D7">
        <w:t>[A]</w:t>
      </w:r>
      <w:r w:rsidR="00025F40" w:rsidRPr="0083405D">
        <w:t xml:space="preserve"> PAGA litigant’s status as ‘the proxy or agent’ of the state [citation] is not merely semantic; it reflects a PAGA litigant’s substantive role in enforcing our labor laws on behalf of state law enforcement agencies.”  (</w:t>
      </w:r>
      <w:r w:rsidR="00025F40" w:rsidRPr="0083405D">
        <w:rPr>
          <w:i/>
          <w:iCs/>
        </w:rPr>
        <w:t>Iskanian v. CLS Transportation Los Angeles, LLC</w:t>
      </w:r>
      <w:r w:rsidR="00025F40" w:rsidRPr="0083405D">
        <w:t xml:space="preserve"> (2014) 59 Cal.4th 348, </w:t>
      </w:r>
      <w:r w:rsidR="006F6787">
        <w:t>387-</w:t>
      </w:r>
      <w:r w:rsidR="00025F40" w:rsidRPr="0083405D">
        <w:t>388</w:t>
      </w:r>
      <w:r w:rsidR="0073415B">
        <w:t xml:space="preserve">; </w:t>
      </w:r>
      <w:r w:rsidR="00ED6BD5" w:rsidRPr="0083405D">
        <w:rPr>
          <w:i/>
          <w:iCs/>
        </w:rPr>
        <w:t>Williams v. Superior Court</w:t>
      </w:r>
      <w:r w:rsidR="00ED6BD5" w:rsidRPr="0083405D">
        <w:t xml:space="preserve"> (2017) 3 Cal.5th 531, 546</w:t>
      </w:r>
      <w:r w:rsidR="00ED6BD5">
        <w:t xml:space="preserve"> [“</w:t>
      </w:r>
      <w:r w:rsidR="00ED6BD5" w:rsidRPr="00ED6BD5">
        <w:t>PAGA was intended to advance the state</w:t>
      </w:r>
      <w:r w:rsidR="00ED6BD5">
        <w:t>’</w:t>
      </w:r>
      <w:r w:rsidR="00ED6BD5" w:rsidRPr="00ED6BD5">
        <w:t>s public policy of affording employees workplaces free of Labor Code violations, notwithstanding the inability of state agencies to monitor every employer or industry</w:t>
      </w:r>
      <w:r w:rsidR="00ED6BD5">
        <w:t>”].)</w:t>
      </w:r>
    </w:p>
    <w:p w14:paraId="7DBF9EE6" w14:textId="7189992E" w:rsidR="00CB167D" w:rsidRPr="0083405D" w:rsidRDefault="00432A9A" w:rsidP="005A7D65">
      <w:pPr>
        <w:tabs>
          <w:tab w:val="left" w:pos="1440"/>
          <w:tab w:val="left" w:pos="2880"/>
          <w:tab w:val="left" w:pos="4320"/>
          <w:tab w:val="left" w:pos="5760"/>
          <w:tab w:val="left" w:pos="7200"/>
          <w:tab w:val="left" w:pos="8640"/>
        </w:tabs>
        <w:spacing w:line="480" w:lineRule="atLeast"/>
      </w:pPr>
      <w:r w:rsidRPr="0083405D">
        <w:tab/>
      </w:r>
      <w:r w:rsidR="002C3BA3" w:rsidRPr="0083405D">
        <w:t xml:space="preserve">Allowing courts to dismiss PAGA claims based on manageability would </w:t>
      </w:r>
      <w:r w:rsidR="002D0903" w:rsidRPr="0083405D">
        <w:t xml:space="preserve">interfere with PAGA’s </w:t>
      </w:r>
      <w:r w:rsidR="00F92520" w:rsidRPr="0083405D">
        <w:t xml:space="preserve">express </w:t>
      </w:r>
      <w:r w:rsidR="005B1D62" w:rsidRPr="0083405D">
        <w:t>design as a law enforcement mechanism</w:t>
      </w:r>
      <w:r w:rsidR="000E358F" w:rsidRPr="0083405D">
        <w:t xml:space="preserve">.  </w:t>
      </w:r>
      <w:r w:rsidR="00F57CAC">
        <w:t>T</w:t>
      </w:r>
      <w:r w:rsidR="00F7052D" w:rsidRPr="0083405D">
        <w:t xml:space="preserve">he LWDA </w:t>
      </w:r>
      <w:r w:rsidR="008B357A" w:rsidRPr="0083405D">
        <w:t xml:space="preserve">is not </w:t>
      </w:r>
      <w:r w:rsidR="00AE7382">
        <w:t xml:space="preserve">subject to </w:t>
      </w:r>
      <w:r w:rsidR="00F7052D" w:rsidRPr="0083405D">
        <w:t xml:space="preserve">a manageability requirement when it </w:t>
      </w:r>
      <w:r w:rsidR="00155E51" w:rsidRPr="0083405D">
        <w:t xml:space="preserve">investigates Labor Code violations and assesses fines internally.  </w:t>
      </w:r>
      <w:r w:rsidR="00DB143D" w:rsidRPr="0083405D">
        <w:t>(</w:t>
      </w:r>
      <w:r w:rsidR="00DB143D" w:rsidRPr="0083405D">
        <w:rPr>
          <w:i/>
          <w:iCs/>
        </w:rPr>
        <w:t>Zackaria</w:t>
      </w:r>
      <w:r w:rsidR="001A114E" w:rsidRPr="0083405D">
        <w:t xml:space="preserve">, </w:t>
      </w:r>
      <w:r w:rsidR="001A114E" w:rsidRPr="0083405D">
        <w:rPr>
          <w:i/>
          <w:iCs/>
        </w:rPr>
        <w:t>supra</w:t>
      </w:r>
      <w:r w:rsidR="001A114E" w:rsidRPr="0083405D">
        <w:t xml:space="preserve">, </w:t>
      </w:r>
      <w:r w:rsidR="00DB143D" w:rsidRPr="0083405D">
        <w:t>142 F.Supp.3d at pp. 958-959</w:t>
      </w:r>
      <w:r w:rsidR="00155E51" w:rsidRPr="0083405D">
        <w:t xml:space="preserve">.)  </w:t>
      </w:r>
      <w:r w:rsidR="005A7D65">
        <w:t xml:space="preserve">And “where the LWDA has discretion to assess a civil penalty, the courts are to exercise the </w:t>
      </w:r>
      <w:r w:rsidR="005A7D65" w:rsidRPr="003B3862">
        <w:rPr>
          <w:i/>
          <w:iCs/>
        </w:rPr>
        <w:t>same discretion</w:t>
      </w:r>
      <w:r w:rsidR="005A7D65">
        <w:t xml:space="preserve">, subject </w:t>
      </w:r>
      <w:r w:rsidR="005A7D65" w:rsidRPr="006F6787">
        <w:t>to</w:t>
      </w:r>
      <w:r w:rsidR="005A7D65" w:rsidRPr="003B3862">
        <w:rPr>
          <w:i/>
          <w:iCs/>
        </w:rPr>
        <w:t xml:space="preserve"> the same limitations and conditions</w:t>
      </w:r>
      <w:r w:rsidR="005A7D65">
        <w:t xml:space="preserve"> as the LWDA.</w:t>
      </w:r>
      <w:r w:rsidR="003B3862">
        <w:t>”  (</w:t>
      </w:r>
      <w:r w:rsidR="005A7D65" w:rsidRPr="003B3862">
        <w:rPr>
          <w:i/>
          <w:iCs/>
        </w:rPr>
        <w:t>LaFace</w:t>
      </w:r>
      <w:r w:rsidR="00412BC0">
        <w:t xml:space="preserve">, </w:t>
      </w:r>
      <w:r w:rsidR="00412BC0" w:rsidRPr="00412BC0">
        <w:rPr>
          <w:i/>
          <w:iCs/>
        </w:rPr>
        <w:t>supra</w:t>
      </w:r>
      <w:r w:rsidR="00412BC0">
        <w:t>,</w:t>
      </w:r>
      <w:r w:rsidR="005A7D65" w:rsidRPr="003B3862">
        <w:rPr>
          <w:i/>
          <w:iCs/>
        </w:rPr>
        <w:t xml:space="preserve"> </w:t>
      </w:r>
      <w:r w:rsidR="003B3862">
        <w:t>__ Cal.App.</w:t>
      </w:r>
      <w:r w:rsidR="006F6787">
        <w:t>5th</w:t>
      </w:r>
      <w:r w:rsidR="003B3862">
        <w:t xml:space="preserve"> __, __ [</w:t>
      </w:r>
      <w:r w:rsidR="005A7D65">
        <w:t xml:space="preserve">2022 WL 498847, at </w:t>
      </w:r>
      <w:r w:rsidR="006F6787">
        <w:t xml:space="preserve">p. </w:t>
      </w:r>
      <w:r w:rsidR="005A7D65">
        <w:t>*7</w:t>
      </w:r>
      <w:r w:rsidR="003B3862">
        <w:t>]</w:t>
      </w:r>
      <w:r w:rsidR="005E791E">
        <w:t>; § 2699, subd. (e)(1)</w:t>
      </w:r>
      <w:r w:rsidR="003B3862">
        <w:t xml:space="preserve">.)  </w:t>
      </w:r>
      <w:r w:rsidR="009E56FD">
        <w:lastRenderedPageBreak/>
        <w:t>I</w:t>
      </w:r>
      <w:r w:rsidR="00711AED" w:rsidRPr="0083405D">
        <w:t xml:space="preserve">mposing a manageability requirement would create an extra hurdle </w:t>
      </w:r>
      <w:r w:rsidR="0056345B" w:rsidRPr="0083405D">
        <w:t xml:space="preserve">in </w:t>
      </w:r>
      <w:r w:rsidR="00684BB5" w:rsidRPr="0083405D">
        <w:t xml:space="preserve">PAGA </w:t>
      </w:r>
      <w:r w:rsidR="0056345B" w:rsidRPr="0083405D">
        <w:t xml:space="preserve">cases that </w:t>
      </w:r>
      <w:r w:rsidR="00000667">
        <w:t xml:space="preserve">does </w:t>
      </w:r>
      <w:r w:rsidR="0056345B" w:rsidRPr="0083405D">
        <w:t xml:space="preserve">not apply </w:t>
      </w:r>
      <w:r w:rsidR="00426DF3" w:rsidRPr="0083405D">
        <w:t>to LWDA</w:t>
      </w:r>
      <w:r w:rsidR="00986A38">
        <w:t xml:space="preserve"> enforcement actions</w:t>
      </w:r>
      <w:r w:rsidR="002D1A58">
        <w:t xml:space="preserve">.  This would undermine </w:t>
      </w:r>
      <w:r w:rsidR="00F04668" w:rsidRPr="0083405D">
        <w:t>PAGA’s purpose</w:t>
      </w:r>
      <w:r w:rsidR="00C95F69">
        <w:t xml:space="preserve"> as an</w:t>
      </w:r>
      <w:r w:rsidR="00AE3AA6">
        <w:t xml:space="preserve"> “</w:t>
      </w:r>
      <w:r w:rsidR="00AE3AA6" w:rsidRPr="00AE3AA6">
        <w:t>administrative enforcement action conducted in court on behalf of the state by an aggrieved employee</w:t>
      </w:r>
      <w:r w:rsidR="00794E51" w:rsidRPr="00794E51">
        <w:t>.</w:t>
      </w:r>
      <w:r w:rsidR="00AE3AA6">
        <w:t>”</w:t>
      </w:r>
      <w:r w:rsidR="00F04668" w:rsidRPr="0083405D">
        <w:t xml:space="preserve">  (</w:t>
      </w:r>
      <w:r w:rsidR="001023FA" w:rsidRPr="0083405D">
        <w:t xml:space="preserve">See </w:t>
      </w:r>
      <w:r w:rsidR="00030A15" w:rsidRPr="003B3862">
        <w:rPr>
          <w:i/>
          <w:iCs/>
        </w:rPr>
        <w:t>LaFace</w:t>
      </w:r>
      <w:r w:rsidR="00030A15">
        <w:t xml:space="preserve">, at </w:t>
      </w:r>
      <w:r w:rsidR="006E5C85">
        <w:t xml:space="preserve">p. </w:t>
      </w:r>
      <w:r w:rsidR="00030A15">
        <w:t xml:space="preserve">*5; </w:t>
      </w:r>
      <w:r w:rsidR="00F04668" w:rsidRPr="0083405D">
        <w:rPr>
          <w:i/>
          <w:iCs/>
        </w:rPr>
        <w:t>Williams v. Superior Court</w:t>
      </w:r>
      <w:r w:rsidR="00F04668" w:rsidRPr="0083405D">
        <w:t xml:space="preserve">, </w:t>
      </w:r>
      <w:r w:rsidR="00F04668" w:rsidRPr="0083405D">
        <w:rPr>
          <w:i/>
          <w:iCs/>
        </w:rPr>
        <w:t>supra</w:t>
      </w:r>
      <w:r w:rsidR="00F04668" w:rsidRPr="0083405D">
        <w:t>, 3 Cal.5th at p. 548 [</w:t>
      </w:r>
      <w:r w:rsidR="009118AD" w:rsidRPr="0083405D">
        <w:t>“</w:t>
      </w:r>
      <w:r w:rsidR="00C93423" w:rsidRPr="0083405D">
        <w:t>Hurdles that impede the effective prosecution of representative PAGA actions undermine the Legislature</w:t>
      </w:r>
      <w:r w:rsidR="00711AED" w:rsidRPr="0083405D">
        <w:t>’</w:t>
      </w:r>
      <w:r w:rsidR="00C93423" w:rsidRPr="0083405D">
        <w:t>s objectives”</w:t>
      </w:r>
      <w:r w:rsidR="00F04668" w:rsidRPr="0083405D">
        <w:t>].)</w:t>
      </w:r>
    </w:p>
    <w:p w14:paraId="34C2755B" w14:textId="1CA5C771" w:rsidR="00F11903" w:rsidRPr="0083405D" w:rsidRDefault="00432A9A" w:rsidP="006B182E">
      <w:pPr>
        <w:tabs>
          <w:tab w:val="left" w:pos="1440"/>
          <w:tab w:val="left" w:pos="2880"/>
          <w:tab w:val="left" w:pos="4320"/>
          <w:tab w:val="left" w:pos="5760"/>
          <w:tab w:val="left" w:pos="7200"/>
          <w:tab w:val="left" w:pos="8640"/>
        </w:tabs>
        <w:spacing w:line="480" w:lineRule="atLeast"/>
      </w:pPr>
      <w:r w:rsidRPr="0083405D">
        <w:tab/>
      </w:r>
      <w:r w:rsidR="00C3660F" w:rsidRPr="0083405D">
        <w:t xml:space="preserve">We </w:t>
      </w:r>
      <w:r w:rsidR="00C14440">
        <w:t>understand</w:t>
      </w:r>
      <w:r w:rsidR="00921ED2" w:rsidRPr="0083405D">
        <w:t xml:space="preserve"> </w:t>
      </w:r>
      <w:r w:rsidR="00C404A4" w:rsidRPr="0083405D">
        <w:t xml:space="preserve">the concerns expressed in </w:t>
      </w:r>
      <w:r w:rsidR="00C3660F" w:rsidRPr="0083405D">
        <w:rPr>
          <w:i/>
          <w:iCs/>
        </w:rPr>
        <w:t>Wesson</w:t>
      </w:r>
      <w:r w:rsidR="00C3660F" w:rsidRPr="0083405D">
        <w:t xml:space="preserve">.  </w:t>
      </w:r>
      <w:r w:rsidR="00ED3C31">
        <w:t>S</w:t>
      </w:r>
      <w:r w:rsidR="00DF03D8">
        <w:t>ome</w:t>
      </w:r>
      <w:r w:rsidR="00C404A4" w:rsidRPr="0083405D">
        <w:t xml:space="preserve"> </w:t>
      </w:r>
      <w:r w:rsidR="00732D40" w:rsidRPr="0083405D">
        <w:t>PAGA claim</w:t>
      </w:r>
      <w:r w:rsidR="00A313CB" w:rsidRPr="0083405D">
        <w:t>s</w:t>
      </w:r>
      <w:r w:rsidR="00732D40" w:rsidRPr="0083405D">
        <w:t xml:space="preserve"> </w:t>
      </w:r>
      <w:r w:rsidR="00ED3C31">
        <w:t xml:space="preserve">involve </w:t>
      </w:r>
      <w:r w:rsidR="008678D8" w:rsidRPr="0083405D">
        <w:t xml:space="preserve">hundreds </w:t>
      </w:r>
      <w:r w:rsidR="00E3600C" w:rsidRPr="0083405D">
        <w:t xml:space="preserve">or thousands </w:t>
      </w:r>
      <w:r w:rsidR="008678D8" w:rsidRPr="0083405D">
        <w:t xml:space="preserve">of </w:t>
      </w:r>
      <w:r w:rsidR="008E66BA" w:rsidRPr="0083405D">
        <w:t xml:space="preserve">alleged aggrieved </w:t>
      </w:r>
      <w:r w:rsidR="008678D8" w:rsidRPr="0083405D">
        <w:t xml:space="preserve">employees, each </w:t>
      </w:r>
      <w:r w:rsidR="00291355" w:rsidRPr="0083405D">
        <w:t xml:space="preserve">with unique factual </w:t>
      </w:r>
      <w:r w:rsidR="00C80110" w:rsidRPr="0083405D">
        <w:t xml:space="preserve">circumstances.  </w:t>
      </w:r>
      <w:r w:rsidR="00ED08BE" w:rsidRPr="0083405D">
        <w:t xml:space="preserve">We do not intend our ruling to mean that in such scenarios, a court must allow </w:t>
      </w:r>
      <w:r w:rsidR="00477266" w:rsidRPr="0083405D">
        <w:t xml:space="preserve">for </w:t>
      </w:r>
      <w:r w:rsidR="00ED08BE" w:rsidRPr="0083405D">
        <w:t xml:space="preserve">each </w:t>
      </w:r>
      <w:r w:rsidR="005F793B" w:rsidRPr="0083405D">
        <w:t xml:space="preserve">of these </w:t>
      </w:r>
      <w:r w:rsidR="00C037C4" w:rsidRPr="0083405D">
        <w:t xml:space="preserve">alleged aggrieved </w:t>
      </w:r>
      <w:r w:rsidR="00685141" w:rsidRPr="0083405D">
        <w:t>employee</w:t>
      </w:r>
      <w:r w:rsidR="00A97245" w:rsidRPr="0083405D">
        <w:t>s</w:t>
      </w:r>
      <w:r w:rsidR="00685141" w:rsidRPr="0083405D">
        <w:t xml:space="preserve"> </w:t>
      </w:r>
      <w:r w:rsidR="00327F7B" w:rsidRPr="0083405D">
        <w:t xml:space="preserve">to be examined </w:t>
      </w:r>
      <w:r w:rsidR="00A97245" w:rsidRPr="0083405D">
        <w:t>at trial</w:t>
      </w:r>
      <w:r w:rsidR="008C09AE" w:rsidRPr="0083405D">
        <w:t xml:space="preserve">.  </w:t>
      </w:r>
      <w:r w:rsidR="00BD5F61" w:rsidRPr="0083405D">
        <w:t xml:space="preserve">Such a scenario would be unduly expensive, </w:t>
      </w:r>
      <w:r w:rsidR="007A2F5A" w:rsidRPr="0083405D">
        <w:t>impractical</w:t>
      </w:r>
      <w:r w:rsidR="00BD5F61" w:rsidRPr="0083405D">
        <w:t xml:space="preserve">, and place far too great a burden on our already busy trial courts. </w:t>
      </w:r>
      <w:r w:rsidR="004234EE">
        <w:t xml:space="preserve"> </w:t>
      </w:r>
      <w:r w:rsidRPr="0083405D">
        <w:t xml:space="preserve">Rather, </w:t>
      </w:r>
      <w:r w:rsidR="00C9317F" w:rsidRPr="0083405D">
        <w:t xml:space="preserve">courts </w:t>
      </w:r>
      <w:r w:rsidRPr="0083405D">
        <w:t>may</w:t>
      </w:r>
      <w:r w:rsidR="00B965EA" w:rsidRPr="0083405D">
        <w:t xml:space="preserve">, </w:t>
      </w:r>
      <w:r w:rsidR="00C16C68" w:rsidRPr="0083405D">
        <w:t xml:space="preserve">where appropriate and </w:t>
      </w:r>
      <w:r w:rsidR="00B965EA" w:rsidRPr="0083405D">
        <w:t xml:space="preserve">within reason, limit </w:t>
      </w:r>
      <w:r w:rsidR="00721B3D" w:rsidRPr="0083405D">
        <w:t xml:space="preserve">witness testimony </w:t>
      </w:r>
      <w:r w:rsidR="00CA0084" w:rsidRPr="0083405D">
        <w:t xml:space="preserve">and other forms of evidence </w:t>
      </w:r>
      <w:r w:rsidR="00721B3D" w:rsidRPr="0083405D">
        <w:t xml:space="preserve">when </w:t>
      </w:r>
      <w:r w:rsidR="00062CDF" w:rsidRPr="0083405D">
        <w:t>determin</w:t>
      </w:r>
      <w:r w:rsidR="00721B3D" w:rsidRPr="0083405D">
        <w:t>ing</w:t>
      </w:r>
      <w:r w:rsidR="00062CDF" w:rsidRPr="0083405D">
        <w:t xml:space="preserve"> the number of violations that occurred</w:t>
      </w:r>
      <w:r w:rsidR="00644AE9" w:rsidRPr="0083405D">
        <w:t xml:space="preserve"> and the amount of penalties to assess</w:t>
      </w:r>
      <w:r w:rsidR="00062CDF" w:rsidRPr="0083405D">
        <w:t xml:space="preserve">.  </w:t>
      </w:r>
      <w:r w:rsidR="00E1711C" w:rsidRPr="0083405D">
        <w:t>(</w:t>
      </w:r>
      <w:r w:rsidR="0025448D" w:rsidRPr="0083405D">
        <w:t xml:space="preserve">See </w:t>
      </w:r>
      <w:r w:rsidR="0053689F" w:rsidRPr="0083405D">
        <w:t xml:space="preserve">Code Civ. Proc., § 128, subd. (a)(3) &amp; (8); </w:t>
      </w:r>
      <w:r w:rsidR="00E1711C" w:rsidRPr="0083405D">
        <w:t>§ 2699, subds. (a), (f) &amp; (g)</w:t>
      </w:r>
      <w:r w:rsidR="006B182E" w:rsidRPr="0083405D">
        <w:t xml:space="preserve">; see also </w:t>
      </w:r>
      <w:r w:rsidR="006B182E" w:rsidRPr="0083405D">
        <w:rPr>
          <w:i/>
          <w:iCs/>
        </w:rPr>
        <w:t>Elkins v. Superior Court</w:t>
      </w:r>
      <w:r w:rsidR="006B182E" w:rsidRPr="0083405D">
        <w:t xml:space="preserve"> (2007) 41 Cal.4th 1337, 1351-1352</w:t>
      </w:r>
      <w:r w:rsidR="00E1711C" w:rsidRPr="0083405D">
        <w:t xml:space="preserve">.) </w:t>
      </w:r>
      <w:r w:rsidR="00CA01FD" w:rsidRPr="0083405D">
        <w:t xml:space="preserve"> </w:t>
      </w:r>
      <w:r w:rsidR="005837DE" w:rsidRPr="0083405D">
        <w:t xml:space="preserve">Consequently, </w:t>
      </w:r>
      <w:r w:rsidR="00F86A98" w:rsidRPr="0083405D">
        <w:t xml:space="preserve">in cases with individualized circumstances and </w:t>
      </w:r>
      <w:r w:rsidR="003A4D4A">
        <w:t xml:space="preserve">vast </w:t>
      </w:r>
      <w:r w:rsidR="00F86A98" w:rsidRPr="0083405D">
        <w:t xml:space="preserve">numbers of alleged aggrieved employees, </w:t>
      </w:r>
      <w:r w:rsidR="00E558C5" w:rsidRPr="0083405D">
        <w:t xml:space="preserve">PAGA </w:t>
      </w:r>
      <w:r w:rsidR="002819B4" w:rsidRPr="0083405D">
        <w:t xml:space="preserve">plaintiffs may </w:t>
      </w:r>
      <w:r w:rsidR="00681C1C" w:rsidRPr="0083405D">
        <w:t>have difficult</w:t>
      </w:r>
      <w:r w:rsidR="00F55463" w:rsidRPr="0083405D">
        <w:t>y</w:t>
      </w:r>
      <w:r w:rsidR="00681C1C" w:rsidRPr="0083405D">
        <w:t xml:space="preserve"> proving </w:t>
      </w:r>
      <w:r w:rsidR="008D4260">
        <w:t xml:space="preserve">purported </w:t>
      </w:r>
      <w:r w:rsidR="00F55463" w:rsidRPr="0083405D">
        <w:t xml:space="preserve">violations </w:t>
      </w:r>
      <w:r w:rsidR="00DA0137" w:rsidRPr="0083405D">
        <w:t xml:space="preserve">suffered by </w:t>
      </w:r>
      <w:r w:rsidR="00F55463" w:rsidRPr="0083405D">
        <w:t>other employees</w:t>
      </w:r>
      <w:r w:rsidR="00DA0137" w:rsidRPr="0083405D">
        <w:t xml:space="preserve">. </w:t>
      </w:r>
      <w:r w:rsidR="001A114E" w:rsidRPr="0083405D">
        <w:t xml:space="preserve"> </w:t>
      </w:r>
      <w:r w:rsidR="00C9317F" w:rsidRPr="0083405D">
        <w:t>“At trial, plaintiff may prove that defendant violated the California Labor Code with respect to the employees it describes as ‘aggrieved employees,’ some of the employees, or he may not prove any violations at all.  But the fact that proving his claim may be difficult or even somewhat burdensome for himself and for defendant does not mean that he cannot bring it at all.”  (</w:t>
      </w:r>
      <w:r w:rsidR="00C9317F" w:rsidRPr="0083405D">
        <w:rPr>
          <w:i/>
          <w:iCs/>
        </w:rPr>
        <w:t>Zackaria</w:t>
      </w:r>
      <w:r w:rsidR="008873C8" w:rsidRPr="0083405D">
        <w:t xml:space="preserve">, </w:t>
      </w:r>
      <w:r w:rsidR="008873C8" w:rsidRPr="0083405D">
        <w:rPr>
          <w:i/>
          <w:iCs/>
        </w:rPr>
        <w:t>supra</w:t>
      </w:r>
      <w:r w:rsidR="008873C8" w:rsidRPr="0083405D">
        <w:t>,</w:t>
      </w:r>
      <w:r w:rsidR="00C9317F" w:rsidRPr="0083405D">
        <w:t xml:space="preserve"> 142 F.Supp.3d </w:t>
      </w:r>
      <w:r w:rsidR="008873C8" w:rsidRPr="0083405D">
        <w:t xml:space="preserve">at pp. </w:t>
      </w:r>
      <w:r w:rsidR="00C9317F" w:rsidRPr="0083405D">
        <w:t>959</w:t>
      </w:r>
      <w:r w:rsidR="006E5C85">
        <w:t>-960</w:t>
      </w:r>
      <w:r w:rsidR="00C9317F" w:rsidRPr="0083405D">
        <w:t>.)</w:t>
      </w:r>
    </w:p>
    <w:p w14:paraId="4FC5457B" w14:textId="6BB8BC87" w:rsidR="002D04AD" w:rsidRPr="0083405D" w:rsidRDefault="00432A9A" w:rsidP="00B2123C">
      <w:pPr>
        <w:tabs>
          <w:tab w:val="left" w:pos="1440"/>
          <w:tab w:val="left" w:pos="2880"/>
          <w:tab w:val="left" w:pos="4320"/>
          <w:tab w:val="left" w:pos="5760"/>
          <w:tab w:val="left" w:pos="7200"/>
          <w:tab w:val="left" w:pos="8640"/>
        </w:tabs>
        <w:spacing w:line="480" w:lineRule="atLeast"/>
      </w:pPr>
      <w:r w:rsidRPr="0083405D">
        <w:tab/>
      </w:r>
      <w:r w:rsidR="007A6A8B" w:rsidRPr="0083405D">
        <w:t xml:space="preserve">This </w:t>
      </w:r>
      <w:r w:rsidR="006D60F2" w:rsidRPr="0083405D">
        <w:t xml:space="preserve">approach may also encourage plaintiffs’ counsel to be </w:t>
      </w:r>
      <w:r w:rsidR="00E20CD8" w:rsidRPr="0083405D">
        <w:t xml:space="preserve">prudent in their approach to PAGA claims and </w:t>
      </w:r>
      <w:r w:rsidR="0080177F">
        <w:t xml:space="preserve">to </w:t>
      </w:r>
      <w:r w:rsidR="000B3E42" w:rsidRPr="0083405D">
        <w:t xml:space="preserve">ensure they can </w:t>
      </w:r>
      <w:r w:rsidR="00CF37F9">
        <w:t xml:space="preserve">efficiently prove </w:t>
      </w:r>
      <w:r w:rsidR="008D0A83">
        <w:t xml:space="preserve">alleged </w:t>
      </w:r>
      <w:r w:rsidR="00CF37F9">
        <w:t xml:space="preserve">violations </w:t>
      </w:r>
      <w:r w:rsidR="003F6F4F">
        <w:t xml:space="preserve">to </w:t>
      </w:r>
      <w:r w:rsidR="00801A4B">
        <w:t>un</w:t>
      </w:r>
      <w:r w:rsidR="003F6F4F">
        <w:t xml:space="preserve">represented </w:t>
      </w:r>
      <w:r w:rsidR="00CF37F9">
        <w:t>employees</w:t>
      </w:r>
      <w:r w:rsidR="000B3E42" w:rsidRPr="0083405D">
        <w:t xml:space="preserve">.  </w:t>
      </w:r>
      <w:r w:rsidR="008E2979">
        <w:t>W</w:t>
      </w:r>
      <w:r w:rsidR="005618CA">
        <w:t xml:space="preserve">e encourage </w:t>
      </w:r>
      <w:r w:rsidR="00374C2D">
        <w:t xml:space="preserve">counsel to work with </w:t>
      </w:r>
      <w:r w:rsidR="005618CA">
        <w:t xml:space="preserve">the trial courts </w:t>
      </w:r>
      <w:r w:rsidR="00FC29F1">
        <w:t xml:space="preserve">during trial planning </w:t>
      </w:r>
      <w:r w:rsidR="00B20794">
        <w:t xml:space="preserve">to define a </w:t>
      </w:r>
      <w:r w:rsidR="00231A15">
        <w:t xml:space="preserve">workable group or groups of </w:t>
      </w:r>
      <w:r w:rsidR="00B20794">
        <w:t>aggrieved employees</w:t>
      </w:r>
      <w:r w:rsidR="001442E4">
        <w:t xml:space="preserve"> for which </w:t>
      </w:r>
      <w:r w:rsidR="001442E4">
        <w:lastRenderedPageBreak/>
        <w:t xml:space="preserve">violations can </w:t>
      </w:r>
      <w:r w:rsidR="00AB4C10">
        <w:t xml:space="preserve">more easily </w:t>
      </w:r>
      <w:r w:rsidR="00FC29F1">
        <w:t xml:space="preserve">be </w:t>
      </w:r>
      <w:r w:rsidR="001442E4">
        <w:t>shown</w:t>
      </w:r>
      <w:r w:rsidR="00B20794">
        <w:t>.</w:t>
      </w:r>
      <w:r>
        <w:rPr>
          <w:rStyle w:val="FootnoteReference"/>
        </w:rPr>
        <w:footnoteReference w:id="9"/>
      </w:r>
      <w:r w:rsidR="00B20794">
        <w:t xml:space="preserve">  </w:t>
      </w:r>
      <w:r w:rsidR="004C2028" w:rsidRPr="0083405D">
        <w:t xml:space="preserve">If </w:t>
      </w:r>
      <w:r w:rsidR="007B445D">
        <w:t>PAGA plaintiffs are unable to do so</w:t>
      </w:r>
      <w:r w:rsidR="00AE1623" w:rsidRPr="0083405D">
        <w:t xml:space="preserve">, they </w:t>
      </w:r>
      <w:r w:rsidR="007B445D">
        <w:t xml:space="preserve">risk being awarded </w:t>
      </w:r>
      <w:r w:rsidR="00AE1623" w:rsidRPr="0083405D">
        <w:t xml:space="preserve">a paltry </w:t>
      </w:r>
      <w:r w:rsidR="00BE5C52" w:rsidRPr="0083405D">
        <w:t xml:space="preserve">sum </w:t>
      </w:r>
      <w:r w:rsidR="00AE1623" w:rsidRPr="0083405D">
        <w:t xml:space="preserve">of penalties, if any.  </w:t>
      </w:r>
      <w:r w:rsidR="00CA3CF5" w:rsidRPr="0083405D">
        <w:t xml:space="preserve">Such an outcome is not </w:t>
      </w:r>
      <w:r w:rsidR="00EF7AFE" w:rsidRPr="0083405D">
        <w:t xml:space="preserve">unfair </w:t>
      </w:r>
      <w:r w:rsidR="00264171" w:rsidRPr="0083405D">
        <w:t xml:space="preserve">to </w:t>
      </w:r>
      <w:r w:rsidR="00EF7AFE" w:rsidRPr="0083405D">
        <w:t xml:space="preserve">the unrepresented aggrieved employees.  </w:t>
      </w:r>
      <w:r w:rsidR="00511787">
        <w:t xml:space="preserve">Unlike </w:t>
      </w:r>
      <w:r w:rsidR="00C05744" w:rsidRPr="0083405D">
        <w:t>a class action, “absent employees do not own a personal claim for PAGA civil penalties [citation], and whatever personal claims the absent employees might have for relief are not at stake</w:t>
      </w:r>
      <w:r w:rsidR="006E5C85">
        <w:t xml:space="preserve"> [citations].</w:t>
      </w:r>
      <w:r w:rsidR="00C05744" w:rsidRPr="0083405D">
        <w:t>”  (</w:t>
      </w:r>
      <w:r w:rsidR="00C05744" w:rsidRPr="0083405D">
        <w:rPr>
          <w:i/>
          <w:iCs/>
        </w:rPr>
        <w:t>Williams v. Superior Court</w:t>
      </w:r>
      <w:r w:rsidR="00DF38B1" w:rsidRPr="0083405D">
        <w:t xml:space="preserve">, </w:t>
      </w:r>
      <w:r w:rsidR="00DF38B1" w:rsidRPr="0083405D">
        <w:rPr>
          <w:i/>
          <w:iCs/>
        </w:rPr>
        <w:t>supra</w:t>
      </w:r>
      <w:r w:rsidR="00DF38B1" w:rsidRPr="0083405D">
        <w:t>,</w:t>
      </w:r>
      <w:r w:rsidR="00C05744" w:rsidRPr="0083405D">
        <w:t xml:space="preserve"> 3 Cal.5th </w:t>
      </w:r>
      <w:r w:rsidR="00DF38B1" w:rsidRPr="0083405D">
        <w:t xml:space="preserve">at p. </w:t>
      </w:r>
      <w:r w:rsidR="00C05744" w:rsidRPr="0083405D">
        <w:t>547</w:t>
      </w:r>
      <w:r w:rsidR="006E5C85">
        <w:t>, fn. 4</w:t>
      </w:r>
      <w:r w:rsidR="00C05744" w:rsidRPr="0083405D">
        <w:t xml:space="preserve">.)  </w:t>
      </w:r>
      <w:r w:rsidR="0035712C">
        <w:t>Rather, t</w:t>
      </w:r>
      <w:r w:rsidR="00583E9C" w:rsidRPr="0083405D">
        <w:t xml:space="preserve">he civil penalties awarded under PAGA are </w:t>
      </w:r>
      <w:r w:rsidR="00D8754E" w:rsidRPr="0083405D">
        <w:t>“‘intended to punish the wrongdoer and to deter future misconduct.’”  (</w:t>
      </w:r>
      <w:r w:rsidR="00D8754E" w:rsidRPr="0083405D">
        <w:rPr>
          <w:i/>
          <w:iCs/>
        </w:rPr>
        <w:t xml:space="preserve">Raines v. Coastal Pacific Food Distributors, Inc. </w:t>
      </w:r>
      <w:r w:rsidR="00D8754E" w:rsidRPr="0083405D">
        <w:t>(2018) 23 Cal.App.5th 667, 681.)</w:t>
      </w:r>
      <w:r w:rsidR="001C7B17" w:rsidRPr="0083405D">
        <w:t xml:space="preserve">  </w:t>
      </w:r>
      <w:r w:rsidR="00397719">
        <w:t>I</w:t>
      </w:r>
      <w:r w:rsidR="001B6A7F" w:rsidRPr="0083405D">
        <w:t xml:space="preserve">f a plaintiff </w:t>
      </w:r>
      <w:r w:rsidR="000301B8">
        <w:t xml:space="preserve">alleges </w:t>
      </w:r>
      <w:r w:rsidR="001B6A7F" w:rsidRPr="0083405D">
        <w:t>widespread violations of the Labor Code by an employer</w:t>
      </w:r>
      <w:r w:rsidR="008E13FD" w:rsidRPr="0083405D">
        <w:t xml:space="preserve"> in a PAGA action</w:t>
      </w:r>
      <w:r w:rsidR="000301B8">
        <w:t xml:space="preserve"> but cannot prove them</w:t>
      </w:r>
      <w:r w:rsidR="0059369B">
        <w:t xml:space="preserve"> </w:t>
      </w:r>
      <w:r w:rsidR="000A4670">
        <w:t>in a</w:t>
      </w:r>
      <w:r w:rsidR="00F1603F">
        <w:t>n efficient</w:t>
      </w:r>
      <w:r w:rsidR="000A4670">
        <w:t xml:space="preserve"> manner</w:t>
      </w:r>
      <w:r w:rsidR="001B6A7F" w:rsidRPr="0083405D">
        <w:t xml:space="preserve">, it </w:t>
      </w:r>
      <w:r w:rsidR="00B67DAF" w:rsidRPr="0083405D">
        <w:t xml:space="preserve">does not seem unreasonable </w:t>
      </w:r>
      <w:r w:rsidR="00AE25A5" w:rsidRPr="0083405D">
        <w:t xml:space="preserve">for </w:t>
      </w:r>
      <w:r w:rsidR="001B6A7F" w:rsidRPr="0083405D">
        <w:t xml:space="preserve">the punishment </w:t>
      </w:r>
      <w:r w:rsidR="00BA1F22" w:rsidRPr="0083405D">
        <w:t xml:space="preserve">assessed </w:t>
      </w:r>
      <w:r w:rsidR="00AE25A5" w:rsidRPr="0083405D">
        <w:t xml:space="preserve">to </w:t>
      </w:r>
      <w:r w:rsidR="00334D47" w:rsidRPr="0083405D">
        <w:t>be minimal.</w:t>
      </w:r>
    </w:p>
    <w:p w14:paraId="5B2BCAC2" w14:textId="0FC5695E" w:rsidR="00650494" w:rsidRPr="0083405D" w:rsidRDefault="00432A9A" w:rsidP="00B3193F">
      <w:pPr>
        <w:tabs>
          <w:tab w:val="left" w:pos="1440"/>
          <w:tab w:val="left" w:pos="2880"/>
          <w:tab w:val="left" w:pos="4320"/>
          <w:tab w:val="left" w:pos="5760"/>
          <w:tab w:val="left" w:pos="7200"/>
          <w:tab w:val="left" w:pos="8640"/>
        </w:tabs>
        <w:spacing w:line="480" w:lineRule="atLeast"/>
      </w:pPr>
      <w:r w:rsidRPr="0083405D">
        <w:tab/>
      </w:r>
      <w:r w:rsidRPr="0083405D">
        <w:t xml:space="preserve">Since we reverse the trial court’s ruling dismissing the PAGA claims as unmanageable, we need not address </w:t>
      </w:r>
      <w:r w:rsidR="00940645" w:rsidRPr="0083405D">
        <w:t xml:space="preserve">Royalty’s argument that the court erred by </w:t>
      </w:r>
      <w:r w:rsidR="00B3193F" w:rsidRPr="0083405D">
        <w:t>awarding</w:t>
      </w:r>
      <w:r w:rsidR="003B5038">
        <w:t xml:space="preserve"> PAGA</w:t>
      </w:r>
      <w:r w:rsidR="00B3193F" w:rsidRPr="0083405D">
        <w:t xml:space="preserve"> penalties </w:t>
      </w:r>
      <w:r w:rsidR="00993BD8">
        <w:t xml:space="preserve">to </w:t>
      </w:r>
      <w:r w:rsidR="0006211E">
        <w:t xml:space="preserve">Dyer/Derian </w:t>
      </w:r>
      <w:r w:rsidR="00993BD8">
        <w:t>plaintiffs in their individual capacity</w:t>
      </w:r>
      <w:r w:rsidR="00B3193F" w:rsidRPr="0083405D">
        <w:t xml:space="preserve">.  </w:t>
      </w:r>
      <w:r w:rsidR="003E0BE5" w:rsidRPr="0083405D">
        <w:t xml:space="preserve">On remand, we </w:t>
      </w:r>
      <w:r w:rsidR="006E5C85">
        <w:t>direct</w:t>
      </w:r>
      <w:r w:rsidR="003E0BE5" w:rsidRPr="0083405D">
        <w:t xml:space="preserve"> the court to </w:t>
      </w:r>
      <w:r w:rsidR="00402EE6" w:rsidRPr="0083405D">
        <w:t xml:space="preserve">hold a new trial on </w:t>
      </w:r>
      <w:r w:rsidR="0005701C">
        <w:t xml:space="preserve">this </w:t>
      </w:r>
      <w:r w:rsidR="00AF2CC0">
        <w:t xml:space="preserve">portion of the </w:t>
      </w:r>
      <w:r w:rsidR="00402EE6" w:rsidRPr="0083405D">
        <w:t>PAGA claim</w:t>
      </w:r>
      <w:r w:rsidR="00185751" w:rsidRPr="0083405D">
        <w:t xml:space="preserve">.  </w:t>
      </w:r>
      <w:r w:rsidR="00F46F7B">
        <w:t xml:space="preserve">Prior to trial, </w:t>
      </w:r>
      <w:r w:rsidR="00B71713">
        <w:t xml:space="preserve">we </w:t>
      </w:r>
      <w:r w:rsidR="006E5C85">
        <w:t>direct</w:t>
      </w:r>
      <w:r w:rsidR="00B71713">
        <w:t xml:space="preserve"> the </w:t>
      </w:r>
      <w:r w:rsidR="00F46F7B">
        <w:t xml:space="preserve">parties and court </w:t>
      </w:r>
      <w:r w:rsidR="00B71713">
        <w:t xml:space="preserve">to </w:t>
      </w:r>
      <w:r w:rsidR="00F46F7B">
        <w:t xml:space="preserve">discuss </w:t>
      </w:r>
      <w:r w:rsidR="007B234E">
        <w:t xml:space="preserve">whether </w:t>
      </w:r>
      <w:r w:rsidR="00A447A1">
        <w:t xml:space="preserve">the pool of </w:t>
      </w:r>
      <w:r w:rsidR="00BA3E72">
        <w:t xml:space="preserve">alleged </w:t>
      </w:r>
      <w:r w:rsidR="00167B05">
        <w:t>aggrieved employee</w:t>
      </w:r>
      <w:r w:rsidR="00BA3E72">
        <w:t>s</w:t>
      </w:r>
      <w:r w:rsidR="00167B05">
        <w:t xml:space="preserve"> </w:t>
      </w:r>
      <w:r w:rsidR="005F5CDA">
        <w:t xml:space="preserve">should </w:t>
      </w:r>
      <w:r w:rsidR="00A447A1">
        <w:t>be narrowed</w:t>
      </w:r>
      <w:r w:rsidR="00E64AF0">
        <w:t xml:space="preserve"> </w:t>
      </w:r>
      <w:r w:rsidR="000933D3">
        <w:t xml:space="preserve">or divided </w:t>
      </w:r>
      <w:r w:rsidR="00E64AF0">
        <w:t xml:space="preserve">to effectively prove the </w:t>
      </w:r>
      <w:r w:rsidR="00203F88">
        <w:t xml:space="preserve">alleged </w:t>
      </w:r>
      <w:r w:rsidR="00E64AF0">
        <w:t>violations at trial</w:t>
      </w:r>
      <w:r w:rsidR="00167B05">
        <w:t xml:space="preserve">.  </w:t>
      </w:r>
      <w:r w:rsidR="00185751" w:rsidRPr="0083405D">
        <w:t xml:space="preserve">We </w:t>
      </w:r>
      <w:r w:rsidR="00167B05">
        <w:t xml:space="preserve">also </w:t>
      </w:r>
      <w:r w:rsidR="00185751" w:rsidRPr="0083405D">
        <w:t xml:space="preserve">leave it in the trial court’s discretion to determine whether additional </w:t>
      </w:r>
      <w:r w:rsidR="00A507CD">
        <w:t xml:space="preserve">evidence, including </w:t>
      </w:r>
      <w:r w:rsidR="006F4C12">
        <w:t xml:space="preserve">new </w:t>
      </w:r>
      <w:r w:rsidR="00A507CD">
        <w:t xml:space="preserve">witnesses, is </w:t>
      </w:r>
      <w:r w:rsidR="00C67A5C" w:rsidRPr="0083405D">
        <w:t xml:space="preserve">necessary </w:t>
      </w:r>
      <w:r w:rsidR="00B5285C" w:rsidRPr="0083405D">
        <w:t>t</w:t>
      </w:r>
      <w:r w:rsidR="00C67A5C" w:rsidRPr="0083405D">
        <w:t xml:space="preserve">o determine the </w:t>
      </w:r>
      <w:r w:rsidR="00595DD4">
        <w:t xml:space="preserve">extent of the </w:t>
      </w:r>
      <w:r w:rsidR="00DA7D98" w:rsidRPr="0083405D">
        <w:t xml:space="preserve">Labor Code </w:t>
      </w:r>
      <w:r w:rsidR="00C67A5C" w:rsidRPr="0083405D">
        <w:t xml:space="preserve">violations </w:t>
      </w:r>
      <w:r w:rsidR="00B5285C" w:rsidRPr="0083405D">
        <w:t>alleged.</w:t>
      </w:r>
      <w:r w:rsidR="003233AB" w:rsidRPr="0083405D">
        <w:t xml:space="preserve">  As alluded to above, if plaintiffs are unable to show widespread violations affecting unrepresented employees</w:t>
      </w:r>
      <w:r w:rsidR="008F73CF" w:rsidRPr="0083405D">
        <w:t xml:space="preserve"> in a reasonable manner</w:t>
      </w:r>
      <w:r w:rsidR="003233AB" w:rsidRPr="0083405D">
        <w:t xml:space="preserve">, </w:t>
      </w:r>
      <w:r w:rsidR="002C17CE" w:rsidRPr="0083405D">
        <w:t xml:space="preserve">the court </w:t>
      </w:r>
      <w:r w:rsidR="008F73CF" w:rsidRPr="0083405D">
        <w:t xml:space="preserve">shall </w:t>
      </w:r>
      <w:r w:rsidR="002C17CE" w:rsidRPr="0083405D">
        <w:t xml:space="preserve">award penalties </w:t>
      </w:r>
      <w:r w:rsidR="008F73CF" w:rsidRPr="0083405D">
        <w:t xml:space="preserve">to the aggrieved employees </w:t>
      </w:r>
      <w:r w:rsidR="002C17CE" w:rsidRPr="0083405D">
        <w:t>to the extent of plaintiffs’ proof.</w:t>
      </w:r>
    </w:p>
    <w:p w14:paraId="49BE9AB4" w14:textId="7744BBD7" w:rsidR="000E3B53" w:rsidRPr="00943634" w:rsidRDefault="00432A9A" w:rsidP="006E5C85">
      <w:pPr>
        <w:pStyle w:val="ListParagraph"/>
        <w:keepNext/>
        <w:tabs>
          <w:tab w:val="left" w:pos="1440"/>
          <w:tab w:val="left" w:pos="2880"/>
          <w:tab w:val="left" w:pos="4320"/>
          <w:tab w:val="left" w:pos="5760"/>
          <w:tab w:val="left" w:pos="7200"/>
          <w:tab w:val="left" w:pos="8640"/>
        </w:tabs>
        <w:spacing w:before="360" w:line="480" w:lineRule="atLeast"/>
        <w:ind w:left="1080" w:hanging="1080"/>
        <w:rPr>
          <w:i/>
          <w:iCs/>
        </w:rPr>
      </w:pPr>
      <w:r>
        <w:rPr>
          <w:i/>
          <w:iCs/>
        </w:rPr>
        <w:lastRenderedPageBreak/>
        <w:t xml:space="preserve">C.  </w:t>
      </w:r>
      <w:r w:rsidR="008E641E" w:rsidRPr="00943634">
        <w:rPr>
          <w:i/>
          <w:iCs/>
        </w:rPr>
        <w:t>Statute of limitations</w:t>
      </w:r>
      <w:r w:rsidR="00CB0167" w:rsidRPr="00943634">
        <w:rPr>
          <w:i/>
          <w:iCs/>
        </w:rPr>
        <w:t xml:space="preserve"> for</w:t>
      </w:r>
      <w:r w:rsidR="00A424F1" w:rsidRPr="00943634">
        <w:rPr>
          <w:i/>
          <w:iCs/>
        </w:rPr>
        <w:t xml:space="preserve"> the</w:t>
      </w:r>
      <w:r w:rsidR="00CB0167" w:rsidRPr="00943634">
        <w:rPr>
          <w:i/>
          <w:iCs/>
        </w:rPr>
        <w:t xml:space="preserve"> Porterville </w:t>
      </w:r>
      <w:r w:rsidR="00A424F1" w:rsidRPr="00943634">
        <w:rPr>
          <w:i/>
          <w:iCs/>
        </w:rPr>
        <w:t>M</w:t>
      </w:r>
      <w:r w:rsidR="00CB0167" w:rsidRPr="00943634">
        <w:rPr>
          <w:i/>
          <w:iCs/>
        </w:rPr>
        <w:t xml:space="preserve">eal </w:t>
      </w:r>
      <w:r w:rsidR="00A424F1" w:rsidRPr="00943634">
        <w:rPr>
          <w:i/>
          <w:iCs/>
        </w:rPr>
        <w:t>P</w:t>
      </w:r>
      <w:r w:rsidR="00CB0167" w:rsidRPr="00943634">
        <w:rPr>
          <w:i/>
          <w:iCs/>
        </w:rPr>
        <w:t xml:space="preserve">eriod </w:t>
      </w:r>
      <w:r w:rsidR="00A424F1" w:rsidRPr="00943634">
        <w:rPr>
          <w:i/>
          <w:iCs/>
        </w:rPr>
        <w:t>C</w:t>
      </w:r>
      <w:r w:rsidR="00CB0167" w:rsidRPr="00943634">
        <w:rPr>
          <w:i/>
          <w:iCs/>
        </w:rPr>
        <w:t>laim</w:t>
      </w:r>
    </w:p>
    <w:p w14:paraId="33079ABB" w14:textId="6E613EBA" w:rsidR="00077C4F" w:rsidRDefault="00432A9A" w:rsidP="00052AAB">
      <w:pPr>
        <w:tabs>
          <w:tab w:val="left" w:pos="1440"/>
          <w:tab w:val="left" w:pos="2880"/>
          <w:tab w:val="left" w:pos="4320"/>
          <w:tab w:val="left" w:pos="5760"/>
          <w:tab w:val="left" w:pos="7200"/>
          <w:tab w:val="left" w:pos="8640"/>
        </w:tabs>
        <w:spacing w:line="480" w:lineRule="atLeast"/>
      </w:pPr>
      <w:r w:rsidRPr="00A407B6">
        <w:rPr>
          <w:i/>
          <w:iCs/>
        </w:rPr>
        <w:tab/>
      </w:r>
      <w:r w:rsidR="00BA4B88">
        <w:t xml:space="preserve">The Porterville class’s meal period claim </w:t>
      </w:r>
      <w:r w:rsidR="003F7A1E">
        <w:t xml:space="preserve">was </w:t>
      </w:r>
      <w:r w:rsidR="00BA4B88">
        <w:t xml:space="preserve">based on Porterville’s </w:t>
      </w:r>
      <w:r w:rsidR="00556CA5">
        <w:t>on-premises meal policy</w:t>
      </w:r>
      <w:r w:rsidR="007954FC">
        <w:t>.  Plaintiffs first alleged this</w:t>
      </w:r>
      <w:r w:rsidR="003F7A1E">
        <w:t xml:space="preserve"> policy </w:t>
      </w:r>
      <w:r w:rsidR="0013752F">
        <w:t xml:space="preserve">and </w:t>
      </w:r>
      <w:r w:rsidR="00B83E58">
        <w:t xml:space="preserve">the </w:t>
      </w:r>
      <w:r w:rsidR="0009330A">
        <w:t xml:space="preserve">related </w:t>
      </w:r>
      <w:r w:rsidR="0013752F">
        <w:t xml:space="preserve">claims </w:t>
      </w:r>
      <w:r w:rsidR="003F7A1E">
        <w:t>in the TAC</w:t>
      </w:r>
      <w:r w:rsidR="0013752F">
        <w:t xml:space="preserve">.  </w:t>
      </w:r>
      <w:r w:rsidR="00B83E58">
        <w:t>T</w:t>
      </w:r>
      <w:r w:rsidR="00200A1E">
        <w:t xml:space="preserve">he court </w:t>
      </w:r>
      <w:r w:rsidR="003F7A1E">
        <w:t xml:space="preserve">ruled </w:t>
      </w:r>
      <w:r w:rsidR="00200A1E">
        <w:t xml:space="preserve">these </w:t>
      </w:r>
      <w:r w:rsidR="001D7EF7">
        <w:t xml:space="preserve">allegations </w:t>
      </w:r>
      <w:r w:rsidR="00EC0089" w:rsidRPr="009B3E0B">
        <w:t>did not relate back to any prior pleading</w:t>
      </w:r>
      <w:r w:rsidR="003F76A2">
        <w:t xml:space="preserve"> and applied </w:t>
      </w:r>
      <w:r w:rsidR="00A03AE6">
        <w:t xml:space="preserve">a four-year statute of limitations </w:t>
      </w:r>
      <w:r w:rsidR="003B65BD">
        <w:t xml:space="preserve">on this claim </w:t>
      </w:r>
      <w:r w:rsidR="00A03AE6">
        <w:t xml:space="preserve">to the </w:t>
      </w:r>
      <w:r w:rsidR="006A45D8">
        <w:t>TAC</w:t>
      </w:r>
      <w:r w:rsidR="00A03AE6">
        <w:t>’s filing date</w:t>
      </w:r>
      <w:r w:rsidR="00315706">
        <w:t xml:space="preserve"> (November 17, 2016)</w:t>
      </w:r>
      <w:r w:rsidR="000F34D6">
        <w:t xml:space="preserve">.  </w:t>
      </w:r>
      <w:r w:rsidR="00680086">
        <w:t xml:space="preserve">It </w:t>
      </w:r>
      <w:r w:rsidR="00160174">
        <w:t xml:space="preserve">reasoned </w:t>
      </w:r>
      <w:r w:rsidR="000F34D6" w:rsidRPr="008C077E">
        <w:t xml:space="preserve">the SAC only included “two named plaintiffs, both of whom worked [at Dyer and Derian].”  </w:t>
      </w:r>
      <w:r w:rsidR="003A3855">
        <w:t xml:space="preserve">And </w:t>
      </w:r>
      <w:r w:rsidR="000F34D6" w:rsidRPr="008C077E">
        <w:t xml:space="preserve">while these two plaintiffs “could raise issues common to Porterville like missed or late meal periods or rest violations, they could not” assert claims based on the on-premises meal policy because it was unique to Porterville. </w:t>
      </w:r>
      <w:r w:rsidR="003414B3" w:rsidRPr="008C077E">
        <w:t xml:space="preserve"> </w:t>
      </w:r>
      <w:r w:rsidR="004C054C">
        <w:t xml:space="preserve">Based on this </w:t>
      </w:r>
      <w:r w:rsidR="00DE43B9" w:rsidRPr="008C077E">
        <w:t>finding</w:t>
      </w:r>
      <w:r w:rsidR="004C054C">
        <w:t>, the court</w:t>
      </w:r>
      <w:r w:rsidR="00DE43B9" w:rsidRPr="008C077E">
        <w:t xml:space="preserve"> </w:t>
      </w:r>
      <w:r w:rsidR="008C077E">
        <w:t xml:space="preserve">restricted </w:t>
      </w:r>
      <w:r w:rsidR="006E717A">
        <w:t xml:space="preserve">recovery on this claim </w:t>
      </w:r>
      <w:r w:rsidR="003F76A2" w:rsidRPr="008C077E">
        <w:t xml:space="preserve">to </w:t>
      </w:r>
      <w:r w:rsidR="00A407B6" w:rsidRPr="008C077E">
        <w:t xml:space="preserve">violations </w:t>
      </w:r>
      <w:r w:rsidR="00430BDE" w:rsidRPr="008C077E">
        <w:t xml:space="preserve">occurring </w:t>
      </w:r>
      <w:r w:rsidR="006E717A">
        <w:t xml:space="preserve">at Porterville </w:t>
      </w:r>
      <w:r w:rsidR="00B97583" w:rsidRPr="008C077E">
        <w:t xml:space="preserve">between </w:t>
      </w:r>
      <w:r w:rsidR="00EC0089" w:rsidRPr="008C077E">
        <w:t>November 17, 2012</w:t>
      </w:r>
      <w:r w:rsidR="00C131E5">
        <w:t>,</w:t>
      </w:r>
      <w:r w:rsidR="00EC0089" w:rsidRPr="008C077E">
        <w:t xml:space="preserve"> </w:t>
      </w:r>
      <w:r w:rsidR="00646618" w:rsidRPr="008C077E">
        <w:t xml:space="preserve">and </w:t>
      </w:r>
      <w:r w:rsidR="00EC0089" w:rsidRPr="008C077E">
        <w:t>June 14, 2017.</w:t>
      </w:r>
    </w:p>
    <w:p w14:paraId="561EE80F" w14:textId="23B059C9" w:rsidR="005F6821" w:rsidRPr="00E13C2C" w:rsidRDefault="00432A9A" w:rsidP="00052AAB">
      <w:pPr>
        <w:tabs>
          <w:tab w:val="left" w:pos="1440"/>
          <w:tab w:val="left" w:pos="2880"/>
          <w:tab w:val="left" w:pos="4320"/>
          <w:tab w:val="left" w:pos="5760"/>
          <w:tab w:val="left" w:pos="7200"/>
          <w:tab w:val="left" w:pos="8640"/>
        </w:tabs>
        <w:spacing w:line="480" w:lineRule="atLeast"/>
      </w:pPr>
      <w:r>
        <w:tab/>
      </w:r>
      <w:r w:rsidR="003B2FC8">
        <w:t>On appeal, p</w:t>
      </w:r>
      <w:r w:rsidR="000D4404">
        <w:t xml:space="preserve">laintiffs </w:t>
      </w:r>
      <w:r w:rsidR="00C57A53">
        <w:t xml:space="preserve">contend </w:t>
      </w:r>
      <w:r w:rsidR="004647E5">
        <w:t xml:space="preserve">the </w:t>
      </w:r>
      <w:r w:rsidR="00043D7C">
        <w:t>Porterville</w:t>
      </w:r>
      <w:r w:rsidR="00563CE7">
        <w:t xml:space="preserve"> </w:t>
      </w:r>
      <w:r w:rsidR="004647E5">
        <w:t>meal period claim relate</w:t>
      </w:r>
      <w:r w:rsidR="00043D7C">
        <w:t>s</w:t>
      </w:r>
      <w:r w:rsidR="004647E5">
        <w:t xml:space="preserve"> back to the SAC</w:t>
      </w:r>
      <w:r w:rsidR="00C57A53">
        <w:t xml:space="preserve">, </w:t>
      </w:r>
      <w:r w:rsidR="004647E5">
        <w:t>filed on October 22, 2014</w:t>
      </w:r>
      <w:r w:rsidR="00122087">
        <w:t xml:space="preserve">, </w:t>
      </w:r>
      <w:r w:rsidR="008859F2">
        <w:t xml:space="preserve">which would allow </w:t>
      </w:r>
      <w:r w:rsidR="00122087">
        <w:t>recover</w:t>
      </w:r>
      <w:r w:rsidR="001112A7">
        <w:t>y</w:t>
      </w:r>
      <w:r w:rsidR="00122087">
        <w:t xml:space="preserve"> for </w:t>
      </w:r>
      <w:r w:rsidR="00BA4B88">
        <w:t xml:space="preserve">meal period </w:t>
      </w:r>
      <w:r w:rsidR="00122087">
        <w:t>violation</w:t>
      </w:r>
      <w:r w:rsidR="008D5035">
        <w:t>s</w:t>
      </w:r>
      <w:r w:rsidR="00122087">
        <w:t xml:space="preserve"> </w:t>
      </w:r>
      <w:r w:rsidR="001112A7">
        <w:t xml:space="preserve">at Porterville </w:t>
      </w:r>
      <w:r w:rsidR="006C3561">
        <w:t xml:space="preserve">occurring </w:t>
      </w:r>
      <w:r w:rsidR="00122087">
        <w:t xml:space="preserve">between </w:t>
      </w:r>
      <w:r w:rsidR="00304BF3">
        <w:t>October 22, 2010</w:t>
      </w:r>
      <w:r w:rsidR="00C131E5">
        <w:t>,</w:t>
      </w:r>
      <w:r w:rsidR="00304BF3">
        <w:t xml:space="preserve"> </w:t>
      </w:r>
      <w:r w:rsidR="00122087">
        <w:t xml:space="preserve">and </w:t>
      </w:r>
      <w:r w:rsidR="00304BF3">
        <w:t>June 14, 2017</w:t>
      </w:r>
      <w:r w:rsidR="00D9366D">
        <w:t xml:space="preserve">. </w:t>
      </w:r>
      <w:r w:rsidR="000C4CD8">
        <w:t xml:space="preserve"> </w:t>
      </w:r>
      <w:r w:rsidR="00E13C2C">
        <w:t xml:space="preserve">We </w:t>
      </w:r>
      <w:r w:rsidR="00A74F2F">
        <w:t xml:space="preserve">agree </w:t>
      </w:r>
      <w:r w:rsidR="00DC655D">
        <w:t xml:space="preserve">with plaintiffs and </w:t>
      </w:r>
      <w:r w:rsidR="006E5C85">
        <w:t>direct</w:t>
      </w:r>
      <w:r w:rsidR="00F046E8">
        <w:t xml:space="preserve"> the court </w:t>
      </w:r>
      <w:r w:rsidR="00B14A6F">
        <w:t xml:space="preserve">on remand </w:t>
      </w:r>
      <w:r w:rsidR="00F046E8">
        <w:t xml:space="preserve">to recalculate the amount of </w:t>
      </w:r>
      <w:r w:rsidR="000A6691">
        <w:t xml:space="preserve">premium pay owed to </w:t>
      </w:r>
      <w:r w:rsidR="00FE1311">
        <w:t xml:space="preserve">the </w:t>
      </w:r>
      <w:r w:rsidR="000A6691">
        <w:t xml:space="preserve">Porterville </w:t>
      </w:r>
      <w:r w:rsidR="00EF55E2">
        <w:t xml:space="preserve">class </w:t>
      </w:r>
      <w:r w:rsidR="00A5612A">
        <w:t xml:space="preserve">for meal period violations </w:t>
      </w:r>
      <w:r w:rsidR="00C51B63">
        <w:t>based on this earlier date</w:t>
      </w:r>
      <w:r w:rsidR="004D39BA">
        <w:t>.</w:t>
      </w:r>
      <w:r>
        <w:rPr>
          <w:rStyle w:val="FootnoteReference"/>
        </w:rPr>
        <w:footnoteReference w:id="10"/>
      </w:r>
    </w:p>
    <w:p w14:paraId="3ED22D9B" w14:textId="2CBD38D4" w:rsidR="00762519" w:rsidRDefault="00432A9A" w:rsidP="006E5C85">
      <w:pPr>
        <w:pStyle w:val="ListParagraph"/>
        <w:keepNext/>
        <w:tabs>
          <w:tab w:val="left" w:pos="1440"/>
          <w:tab w:val="left" w:pos="2880"/>
          <w:tab w:val="left" w:pos="4320"/>
          <w:tab w:val="left" w:pos="5760"/>
          <w:tab w:val="left" w:pos="7200"/>
          <w:tab w:val="left" w:pos="8640"/>
        </w:tabs>
        <w:spacing w:before="360" w:line="480" w:lineRule="atLeast"/>
        <w:ind w:left="1440"/>
      </w:pPr>
      <w:r>
        <w:rPr>
          <w:i/>
          <w:iCs/>
        </w:rPr>
        <w:t xml:space="preserve">1.  </w:t>
      </w:r>
      <w:r w:rsidR="00E226AA">
        <w:rPr>
          <w:i/>
          <w:iCs/>
        </w:rPr>
        <w:t xml:space="preserve">Applicable </w:t>
      </w:r>
      <w:r>
        <w:rPr>
          <w:i/>
          <w:iCs/>
        </w:rPr>
        <w:t>l</w:t>
      </w:r>
      <w:r w:rsidR="00E226AA">
        <w:rPr>
          <w:i/>
          <w:iCs/>
        </w:rPr>
        <w:t>aw</w:t>
      </w:r>
    </w:p>
    <w:p w14:paraId="2A151035" w14:textId="7CF39DE9" w:rsidR="005F681F" w:rsidRDefault="00432A9A" w:rsidP="005F681F">
      <w:pPr>
        <w:tabs>
          <w:tab w:val="left" w:pos="1440"/>
          <w:tab w:val="left" w:pos="2880"/>
          <w:tab w:val="left" w:pos="4320"/>
          <w:tab w:val="left" w:pos="5760"/>
          <w:tab w:val="left" w:pos="7200"/>
          <w:tab w:val="left" w:pos="8640"/>
        </w:tabs>
        <w:spacing w:line="480" w:lineRule="atLeast"/>
        <w:rPr>
          <w:bCs/>
          <w:iCs/>
          <w:szCs w:val="26"/>
        </w:rPr>
      </w:pPr>
      <w:r>
        <w:rPr>
          <w:bCs/>
          <w:iCs/>
          <w:szCs w:val="26"/>
        </w:rPr>
        <w:tab/>
      </w:r>
      <w:r w:rsidR="00DA266D" w:rsidRPr="00B1349B">
        <w:rPr>
          <w:bCs/>
          <w:iCs/>
          <w:szCs w:val="26"/>
        </w:rPr>
        <w:t>“An amended complaint is considered a new action for purposes of the statute of limitations only if the claims do not ‘relate back’ to an earlier, timely</w:t>
      </w:r>
      <w:r w:rsidR="006E5C85">
        <w:rPr>
          <w:bCs/>
          <w:iCs/>
          <w:szCs w:val="26"/>
        </w:rPr>
        <w:t xml:space="preserve"> </w:t>
      </w:r>
      <w:r w:rsidR="00DA266D" w:rsidRPr="00B1349B">
        <w:rPr>
          <w:bCs/>
          <w:iCs/>
          <w:szCs w:val="26"/>
        </w:rPr>
        <w:t xml:space="preserve">filed complaint.  Under the relation-back doctrine, an amendment relates back to the original complaint if the amendment: </w:t>
      </w:r>
      <w:r w:rsidR="006E5C85">
        <w:rPr>
          <w:bCs/>
          <w:iCs/>
          <w:szCs w:val="26"/>
        </w:rPr>
        <w:t xml:space="preserve"> </w:t>
      </w:r>
      <w:r w:rsidR="00DA266D" w:rsidRPr="00B1349B">
        <w:rPr>
          <w:bCs/>
          <w:iCs/>
          <w:szCs w:val="26"/>
        </w:rPr>
        <w:t>(1) rests on the same general set of facts; (2) involves the same injury; and (3) refers to the same instrumentality.</w:t>
      </w:r>
      <w:r w:rsidR="00DA266D">
        <w:rPr>
          <w:bCs/>
          <w:iCs/>
          <w:szCs w:val="26"/>
        </w:rPr>
        <w:t xml:space="preserve">  [Citations.]  </w:t>
      </w:r>
      <w:r w:rsidR="00DA266D" w:rsidRPr="003B1CCF">
        <w:rPr>
          <w:bCs/>
          <w:iCs/>
          <w:szCs w:val="26"/>
        </w:rPr>
        <w:t xml:space="preserve">An amended complaint relates back to an earlier complaint if it is based on the same general set of facts, even if the plaintiff alleges a different legal theory or new cause of action. </w:t>
      </w:r>
      <w:r w:rsidR="00DA266D">
        <w:rPr>
          <w:bCs/>
          <w:iCs/>
          <w:szCs w:val="26"/>
        </w:rPr>
        <w:t xml:space="preserve"> </w:t>
      </w:r>
      <w:r w:rsidR="00DA266D">
        <w:rPr>
          <w:bCs/>
          <w:iCs/>
          <w:szCs w:val="26"/>
        </w:rPr>
        <w:lastRenderedPageBreak/>
        <w:t xml:space="preserve">[Citations.]  </w:t>
      </w:r>
      <w:r w:rsidR="00DA266D" w:rsidRPr="003B1CCF">
        <w:rPr>
          <w:bCs/>
          <w:iCs/>
          <w:szCs w:val="26"/>
        </w:rPr>
        <w:t xml:space="preserve">However, the doctrine will not apply if the </w:t>
      </w:r>
      <w:r w:rsidR="00DA266D">
        <w:rPr>
          <w:bCs/>
          <w:iCs/>
          <w:szCs w:val="26"/>
        </w:rPr>
        <w:t>‘</w:t>
      </w:r>
      <w:r w:rsidR="00DA266D" w:rsidRPr="003B1CCF">
        <w:rPr>
          <w:bCs/>
          <w:iCs/>
          <w:szCs w:val="26"/>
        </w:rPr>
        <w:t>the plaintiff seeks by amendment to recover upon a set of facts entirely unrelated to those pleaded in the original complaint.</w:t>
      </w:r>
      <w:r w:rsidR="00DA266D">
        <w:rPr>
          <w:bCs/>
          <w:iCs/>
          <w:szCs w:val="26"/>
        </w:rPr>
        <w:t>’</w:t>
      </w:r>
      <w:r w:rsidR="00DA266D" w:rsidRPr="00B1349B">
        <w:rPr>
          <w:bCs/>
          <w:iCs/>
          <w:szCs w:val="26"/>
        </w:rPr>
        <w:t>”  (</w:t>
      </w:r>
      <w:r w:rsidR="00DA266D" w:rsidRPr="00B1349B">
        <w:rPr>
          <w:bCs/>
          <w:i/>
          <w:szCs w:val="26"/>
        </w:rPr>
        <w:t>Pointe San Diego Residential Community, L.P. v. Procopio, Cory, Hargreaves &amp; Savitch, LLP</w:t>
      </w:r>
      <w:r w:rsidR="00DA266D" w:rsidRPr="00B1349B">
        <w:rPr>
          <w:bCs/>
          <w:iCs/>
          <w:szCs w:val="26"/>
        </w:rPr>
        <w:t xml:space="preserve"> (2011) 195 Cal.App.4th 265, 276</w:t>
      </w:r>
      <w:r w:rsidR="00DA266D">
        <w:rPr>
          <w:bCs/>
          <w:iCs/>
          <w:szCs w:val="26"/>
        </w:rPr>
        <w:t>-277</w:t>
      </w:r>
      <w:r w:rsidR="00124F3E">
        <w:rPr>
          <w:bCs/>
          <w:iCs/>
          <w:szCs w:val="26"/>
        </w:rPr>
        <w:t xml:space="preserve"> (</w:t>
      </w:r>
      <w:r w:rsidR="00124F3E" w:rsidRPr="00124F3E">
        <w:rPr>
          <w:bCs/>
          <w:i/>
          <w:szCs w:val="26"/>
        </w:rPr>
        <w:t>Pointe San Diego</w:t>
      </w:r>
      <w:r w:rsidR="00124F3E">
        <w:rPr>
          <w:bCs/>
          <w:iCs/>
          <w:szCs w:val="26"/>
        </w:rPr>
        <w:t>)</w:t>
      </w:r>
      <w:r w:rsidR="00DA266D">
        <w:rPr>
          <w:bCs/>
          <w:iCs/>
          <w:szCs w:val="26"/>
        </w:rPr>
        <w:t>.)</w:t>
      </w:r>
      <w:r w:rsidR="00EA2F81">
        <w:rPr>
          <w:bCs/>
          <w:iCs/>
          <w:szCs w:val="26"/>
        </w:rPr>
        <w:t xml:space="preserve">  </w:t>
      </w:r>
      <w:r w:rsidR="00673DE9">
        <w:rPr>
          <w:bCs/>
          <w:iCs/>
          <w:szCs w:val="26"/>
        </w:rPr>
        <w:t>Similarly</w:t>
      </w:r>
      <w:r w:rsidR="00EA2F81">
        <w:rPr>
          <w:bCs/>
          <w:iCs/>
          <w:szCs w:val="26"/>
        </w:rPr>
        <w:t xml:space="preserve">, </w:t>
      </w:r>
      <w:r w:rsidR="00AC622A" w:rsidRPr="00AC622A">
        <w:rPr>
          <w:bCs/>
          <w:iCs/>
          <w:szCs w:val="26"/>
        </w:rPr>
        <w:t>“</w:t>
      </w:r>
      <w:r w:rsidR="00AC622A">
        <w:rPr>
          <w:bCs/>
          <w:iCs/>
          <w:szCs w:val="26"/>
        </w:rPr>
        <w:t>a</w:t>
      </w:r>
      <w:r w:rsidR="00AC622A" w:rsidRPr="00AC622A">
        <w:rPr>
          <w:bCs/>
          <w:iCs/>
          <w:szCs w:val="26"/>
        </w:rPr>
        <w:t>n amended pleading that adds a new plaintiff will not relate back to the filing of the original complaint if the new party seeks to enforce an independent right or to impose greater liability against the defendants.”  (</w:t>
      </w:r>
      <w:r w:rsidR="00AC622A" w:rsidRPr="00AC622A">
        <w:rPr>
          <w:bCs/>
          <w:i/>
          <w:szCs w:val="26"/>
        </w:rPr>
        <w:t>San Diego Gas &amp; Electric Co. v. Superior Court</w:t>
      </w:r>
      <w:r w:rsidR="00AC622A" w:rsidRPr="00AC622A">
        <w:rPr>
          <w:bCs/>
          <w:iCs/>
          <w:szCs w:val="26"/>
        </w:rPr>
        <w:t xml:space="preserve"> (2007) 146 Cal.App.4th 1545, 1550.)</w:t>
      </w:r>
    </w:p>
    <w:p w14:paraId="6167A45B" w14:textId="254DDF98" w:rsidR="00D9798F" w:rsidRPr="000F34D6" w:rsidRDefault="00432A9A" w:rsidP="007C5FC3">
      <w:pPr>
        <w:tabs>
          <w:tab w:val="left" w:pos="1440"/>
          <w:tab w:val="left" w:pos="2880"/>
          <w:tab w:val="left" w:pos="4320"/>
          <w:tab w:val="left" w:pos="5760"/>
          <w:tab w:val="left" w:pos="7200"/>
          <w:tab w:val="left" w:pos="8640"/>
        </w:tabs>
        <w:spacing w:line="480" w:lineRule="atLeast"/>
        <w:rPr>
          <w:bCs/>
          <w:iCs/>
          <w:szCs w:val="26"/>
        </w:rPr>
      </w:pPr>
      <w:r>
        <w:rPr>
          <w:bCs/>
          <w:iCs/>
          <w:szCs w:val="26"/>
        </w:rPr>
        <w:tab/>
      </w:r>
      <w:r w:rsidR="00E06BB9">
        <w:rPr>
          <w:bCs/>
          <w:iCs/>
          <w:szCs w:val="26"/>
        </w:rPr>
        <w:t xml:space="preserve">The primary consideration when applying the relation back doctrine is whether the </w:t>
      </w:r>
      <w:r w:rsidR="00E15720">
        <w:rPr>
          <w:bCs/>
          <w:iCs/>
          <w:szCs w:val="26"/>
        </w:rPr>
        <w:t xml:space="preserve">prior </w:t>
      </w:r>
      <w:r w:rsidR="00E06BB9">
        <w:rPr>
          <w:bCs/>
          <w:iCs/>
          <w:szCs w:val="26"/>
        </w:rPr>
        <w:t xml:space="preserve">complaint provided the defendant with sufficient notice of the claim in the amended complaint.  </w:t>
      </w:r>
      <w:r w:rsidR="00E06BB9" w:rsidRPr="00A57C0D">
        <w:rPr>
          <w:bCs/>
          <w:iCs/>
          <w:szCs w:val="26"/>
        </w:rPr>
        <w:t>(</w:t>
      </w:r>
      <w:r w:rsidR="00E06BB9" w:rsidRPr="00A57C0D">
        <w:rPr>
          <w:bCs/>
          <w:i/>
          <w:szCs w:val="26"/>
        </w:rPr>
        <w:t>Pointe San Diego</w:t>
      </w:r>
      <w:r w:rsidR="00E06BB9">
        <w:rPr>
          <w:bCs/>
          <w:iCs/>
          <w:szCs w:val="26"/>
        </w:rPr>
        <w:t xml:space="preserve">, </w:t>
      </w:r>
      <w:r w:rsidR="00E06BB9" w:rsidRPr="00A57C0D">
        <w:rPr>
          <w:bCs/>
          <w:i/>
          <w:szCs w:val="26"/>
        </w:rPr>
        <w:t>supra</w:t>
      </w:r>
      <w:r w:rsidR="00E06BB9">
        <w:rPr>
          <w:bCs/>
          <w:iCs/>
          <w:szCs w:val="26"/>
        </w:rPr>
        <w:t>,</w:t>
      </w:r>
      <w:r w:rsidR="00E06BB9" w:rsidRPr="00A57C0D">
        <w:rPr>
          <w:bCs/>
          <w:iCs/>
          <w:szCs w:val="26"/>
        </w:rPr>
        <w:t xml:space="preserve"> 195 Cal.App.4th </w:t>
      </w:r>
      <w:r w:rsidR="00E06BB9">
        <w:rPr>
          <w:bCs/>
          <w:iCs/>
          <w:szCs w:val="26"/>
        </w:rPr>
        <w:t xml:space="preserve">at p. </w:t>
      </w:r>
      <w:r w:rsidR="00E06BB9" w:rsidRPr="00A57C0D">
        <w:rPr>
          <w:bCs/>
          <w:iCs/>
          <w:szCs w:val="26"/>
        </w:rPr>
        <w:t>279.)</w:t>
      </w:r>
      <w:r w:rsidR="00E06BB9">
        <w:rPr>
          <w:bCs/>
          <w:iCs/>
          <w:szCs w:val="26"/>
        </w:rPr>
        <w:t xml:space="preserve">  </w:t>
      </w:r>
      <w:r w:rsidR="007A7298">
        <w:rPr>
          <w:bCs/>
          <w:iCs/>
          <w:szCs w:val="26"/>
        </w:rPr>
        <w:t xml:space="preserve">This </w:t>
      </w:r>
      <w:r w:rsidR="004424DB">
        <w:rPr>
          <w:bCs/>
          <w:iCs/>
          <w:szCs w:val="26"/>
        </w:rPr>
        <w:t xml:space="preserve">is due to </w:t>
      </w:r>
      <w:r w:rsidR="00D2375B">
        <w:rPr>
          <w:bCs/>
          <w:iCs/>
          <w:szCs w:val="26"/>
        </w:rPr>
        <w:t xml:space="preserve">the purpose </w:t>
      </w:r>
      <w:r w:rsidR="0087653B">
        <w:rPr>
          <w:bCs/>
          <w:iCs/>
          <w:szCs w:val="26"/>
        </w:rPr>
        <w:t xml:space="preserve">behind </w:t>
      </w:r>
      <w:r w:rsidR="00DA2DED">
        <w:rPr>
          <w:bCs/>
          <w:iCs/>
          <w:szCs w:val="26"/>
        </w:rPr>
        <w:t>s</w:t>
      </w:r>
      <w:r w:rsidR="008752DD">
        <w:rPr>
          <w:bCs/>
          <w:iCs/>
          <w:szCs w:val="26"/>
        </w:rPr>
        <w:t>t</w:t>
      </w:r>
      <w:r>
        <w:rPr>
          <w:bCs/>
          <w:iCs/>
          <w:szCs w:val="26"/>
        </w:rPr>
        <w:t>atute</w:t>
      </w:r>
      <w:r w:rsidR="0042024B">
        <w:rPr>
          <w:bCs/>
          <w:iCs/>
          <w:szCs w:val="26"/>
        </w:rPr>
        <w:t>s</w:t>
      </w:r>
      <w:r>
        <w:rPr>
          <w:bCs/>
          <w:iCs/>
          <w:szCs w:val="26"/>
        </w:rPr>
        <w:t xml:space="preserve"> of limitation</w:t>
      </w:r>
      <w:r w:rsidR="00CC42B2">
        <w:rPr>
          <w:bCs/>
          <w:iCs/>
          <w:szCs w:val="26"/>
        </w:rPr>
        <w:t xml:space="preserve">.  They </w:t>
      </w:r>
      <w:r w:rsidR="009511BC">
        <w:rPr>
          <w:bCs/>
          <w:iCs/>
          <w:szCs w:val="26"/>
        </w:rPr>
        <w:t xml:space="preserve">are intended </w:t>
      </w:r>
      <w:r w:rsidR="008F3630">
        <w:rPr>
          <w:bCs/>
          <w:iCs/>
          <w:szCs w:val="26"/>
        </w:rPr>
        <w:t xml:space="preserve">to provide </w:t>
      </w:r>
      <w:r>
        <w:rPr>
          <w:bCs/>
          <w:iCs/>
          <w:szCs w:val="26"/>
        </w:rPr>
        <w:t>defendant</w:t>
      </w:r>
      <w:r w:rsidR="006D18C8">
        <w:rPr>
          <w:bCs/>
          <w:iCs/>
          <w:szCs w:val="26"/>
        </w:rPr>
        <w:t>s</w:t>
      </w:r>
      <w:r>
        <w:rPr>
          <w:bCs/>
          <w:iCs/>
          <w:szCs w:val="26"/>
        </w:rPr>
        <w:t xml:space="preserve"> with </w:t>
      </w:r>
      <w:r w:rsidR="0037754F">
        <w:rPr>
          <w:bCs/>
          <w:iCs/>
          <w:szCs w:val="26"/>
        </w:rPr>
        <w:t xml:space="preserve">adequate </w:t>
      </w:r>
      <w:r>
        <w:rPr>
          <w:bCs/>
          <w:iCs/>
          <w:szCs w:val="26"/>
        </w:rPr>
        <w:t>notice</w:t>
      </w:r>
      <w:r w:rsidR="00B14FB5">
        <w:rPr>
          <w:bCs/>
          <w:iCs/>
          <w:szCs w:val="26"/>
        </w:rPr>
        <w:t xml:space="preserve"> of claim</w:t>
      </w:r>
      <w:r w:rsidR="006D18C8">
        <w:rPr>
          <w:bCs/>
          <w:iCs/>
          <w:szCs w:val="26"/>
        </w:rPr>
        <w:t>s</w:t>
      </w:r>
      <w:r w:rsidR="000E179F">
        <w:rPr>
          <w:bCs/>
          <w:iCs/>
          <w:szCs w:val="26"/>
        </w:rPr>
        <w:t>,</w:t>
      </w:r>
      <w:r w:rsidR="00B14FB5">
        <w:rPr>
          <w:bCs/>
          <w:iCs/>
          <w:szCs w:val="26"/>
        </w:rPr>
        <w:t xml:space="preserve"> </w:t>
      </w:r>
      <w:r w:rsidR="008F3630">
        <w:rPr>
          <w:bCs/>
          <w:iCs/>
          <w:szCs w:val="26"/>
        </w:rPr>
        <w:t xml:space="preserve">so </w:t>
      </w:r>
      <w:r w:rsidR="006D18C8">
        <w:rPr>
          <w:bCs/>
          <w:iCs/>
          <w:szCs w:val="26"/>
        </w:rPr>
        <w:t xml:space="preserve">they </w:t>
      </w:r>
      <w:r w:rsidR="005E1158">
        <w:rPr>
          <w:bCs/>
          <w:iCs/>
          <w:szCs w:val="26"/>
        </w:rPr>
        <w:t xml:space="preserve">have </w:t>
      </w:r>
      <w:r w:rsidR="008200C4">
        <w:rPr>
          <w:bCs/>
          <w:iCs/>
          <w:szCs w:val="26"/>
        </w:rPr>
        <w:t xml:space="preserve">sufficient time to </w:t>
      </w:r>
      <w:r w:rsidR="00B14FB5">
        <w:rPr>
          <w:bCs/>
          <w:iCs/>
          <w:szCs w:val="26"/>
        </w:rPr>
        <w:t xml:space="preserve">prepare </w:t>
      </w:r>
      <w:r w:rsidR="001C75DE">
        <w:rPr>
          <w:bCs/>
          <w:iCs/>
          <w:szCs w:val="26"/>
        </w:rPr>
        <w:t xml:space="preserve">a </w:t>
      </w:r>
      <w:r w:rsidR="00B14FB5">
        <w:rPr>
          <w:bCs/>
          <w:iCs/>
          <w:szCs w:val="26"/>
        </w:rPr>
        <w:t xml:space="preserve">defense.  This purpose is </w:t>
      </w:r>
      <w:r w:rsidR="00363C52">
        <w:rPr>
          <w:bCs/>
          <w:iCs/>
          <w:szCs w:val="26"/>
        </w:rPr>
        <w:t>met</w:t>
      </w:r>
      <w:r w:rsidR="00B14FB5">
        <w:rPr>
          <w:bCs/>
          <w:iCs/>
          <w:szCs w:val="26"/>
        </w:rPr>
        <w:t xml:space="preserve"> </w:t>
      </w:r>
      <w:r w:rsidR="00363C52">
        <w:rPr>
          <w:bCs/>
          <w:iCs/>
          <w:szCs w:val="26"/>
        </w:rPr>
        <w:t xml:space="preserve">when </w:t>
      </w:r>
      <w:r w:rsidR="009D2A2A">
        <w:rPr>
          <w:bCs/>
          <w:iCs/>
          <w:szCs w:val="26"/>
        </w:rPr>
        <w:t xml:space="preserve">a </w:t>
      </w:r>
      <w:r w:rsidR="00AB2A0E">
        <w:rPr>
          <w:bCs/>
          <w:iCs/>
          <w:szCs w:val="26"/>
        </w:rPr>
        <w:t xml:space="preserve">new </w:t>
      </w:r>
      <w:r w:rsidR="009D2A2A">
        <w:rPr>
          <w:bCs/>
          <w:iCs/>
          <w:szCs w:val="26"/>
        </w:rPr>
        <w:t xml:space="preserve">claim </w:t>
      </w:r>
      <w:r w:rsidR="00B14FB5">
        <w:rPr>
          <w:bCs/>
          <w:iCs/>
          <w:szCs w:val="26"/>
        </w:rPr>
        <w:t xml:space="preserve">is based on the </w:t>
      </w:r>
      <w:r w:rsidR="003647E4">
        <w:rPr>
          <w:bCs/>
          <w:iCs/>
          <w:szCs w:val="26"/>
        </w:rPr>
        <w:t xml:space="preserve">same facts as </w:t>
      </w:r>
      <w:r w:rsidR="009D2A2A">
        <w:rPr>
          <w:bCs/>
          <w:iCs/>
          <w:szCs w:val="26"/>
        </w:rPr>
        <w:t xml:space="preserve">a prior </w:t>
      </w:r>
      <w:r w:rsidR="00AB2A0E">
        <w:rPr>
          <w:bCs/>
          <w:iCs/>
          <w:szCs w:val="26"/>
        </w:rPr>
        <w:t>complaint</w:t>
      </w:r>
      <w:r w:rsidR="003647E4">
        <w:rPr>
          <w:bCs/>
          <w:iCs/>
          <w:szCs w:val="26"/>
        </w:rPr>
        <w:t xml:space="preserve">.  </w:t>
      </w:r>
      <w:r w:rsidR="00D9629F" w:rsidRPr="005F681F">
        <w:rPr>
          <w:bCs/>
          <w:iCs/>
          <w:szCs w:val="26"/>
        </w:rPr>
        <w:t>(</w:t>
      </w:r>
      <w:r w:rsidR="00D9629F" w:rsidRPr="005F681F">
        <w:rPr>
          <w:bCs/>
          <w:i/>
          <w:szCs w:val="26"/>
        </w:rPr>
        <w:t>Scholes v. Lambirth Trucking Co.</w:t>
      </w:r>
      <w:r w:rsidR="00D9629F" w:rsidRPr="005F681F">
        <w:rPr>
          <w:bCs/>
          <w:iCs/>
          <w:szCs w:val="26"/>
        </w:rPr>
        <w:t xml:space="preserve"> (2017) 10 Cal.App.5th 590, 599.)</w:t>
      </w:r>
      <w:r w:rsidR="00D9629F">
        <w:rPr>
          <w:bCs/>
          <w:iCs/>
          <w:szCs w:val="26"/>
        </w:rPr>
        <w:t xml:space="preserve">  </w:t>
      </w:r>
      <w:r w:rsidR="0089490E">
        <w:rPr>
          <w:bCs/>
          <w:iCs/>
          <w:szCs w:val="26"/>
        </w:rPr>
        <w:t>Along with this consideration</w:t>
      </w:r>
      <w:r w:rsidR="003F3228">
        <w:rPr>
          <w:bCs/>
          <w:iCs/>
          <w:szCs w:val="26"/>
        </w:rPr>
        <w:t xml:space="preserve">, </w:t>
      </w:r>
      <w:bookmarkStart w:id="4" w:name="_Hlk91155228"/>
      <w:r w:rsidR="00C316D5">
        <w:rPr>
          <w:bCs/>
          <w:iCs/>
          <w:szCs w:val="26"/>
        </w:rPr>
        <w:t xml:space="preserve">though, </w:t>
      </w:r>
      <w:r w:rsidR="005C1D5C">
        <w:rPr>
          <w:bCs/>
          <w:iCs/>
          <w:szCs w:val="26"/>
        </w:rPr>
        <w:t>c</w:t>
      </w:r>
      <w:r w:rsidR="00A8038F">
        <w:rPr>
          <w:bCs/>
          <w:iCs/>
          <w:szCs w:val="26"/>
        </w:rPr>
        <w:t xml:space="preserve">ourts </w:t>
      </w:r>
      <w:r w:rsidR="00831C44">
        <w:rPr>
          <w:bCs/>
          <w:iCs/>
          <w:szCs w:val="26"/>
        </w:rPr>
        <w:t xml:space="preserve">should </w:t>
      </w:r>
      <w:r w:rsidR="00874B8D">
        <w:rPr>
          <w:bCs/>
          <w:iCs/>
          <w:szCs w:val="26"/>
        </w:rPr>
        <w:t>keep in mind</w:t>
      </w:r>
      <w:r w:rsidR="0089490E">
        <w:rPr>
          <w:bCs/>
          <w:iCs/>
          <w:szCs w:val="26"/>
        </w:rPr>
        <w:t xml:space="preserve"> </w:t>
      </w:r>
      <w:r w:rsidR="00D339AB">
        <w:rPr>
          <w:bCs/>
          <w:iCs/>
          <w:szCs w:val="26"/>
        </w:rPr>
        <w:t xml:space="preserve">our </w:t>
      </w:r>
      <w:r w:rsidR="004E6FF7">
        <w:rPr>
          <w:bCs/>
          <w:iCs/>
          <w:szCs w:val="26"/>
        </w:rPr>
        <w:t xml:space="preserve">state’s strong policy of deciding cases on their merits. </w:t>
      </w:r>
      <w:r w:rsidR="002354EC" w:rsidRPr="002354EC">
        <w:rPr>
          <w:bCs/>
          <w:iCs/>
        </w:rPr>
        <w:t xml:space="preserve"> (</w:t>
      </w:r>
      <w:r w:rsidR="00C709B6" w:rsidRPr="00A57C0D">
        <w:rPr>
          <w:bCs/>
          <w:i/>
          <w:szCs w:val="26"/>
        </w:rPr>
        <w:t>Pointe San Diego</w:t>
      </w:r>
      <w:r w:rsidR="00C709B6">
        <w:rPr>
          <w:bCs/>
          <w:iCs/>
          <w:szCs w:val="26"/>
        </w:rPr>
        <w:t xml:space="preserve">, at p. </w:t>
      </w:r>
      <w:r w:rsidR="002354EC" w:rsidRPr="002354EC">
        <w:rPr>
          <w:bCs/>
          <w:iCs/>
        </w:rPr>
        <w:t>277.)</w:t>
      </w:r>
      <w:bookmarkEnd w:id="4"/>
    </w:p>
    <w:p w14:paraId="2E0A00FC" w14:textId="7A6C85A8" w:rsidR="0013074E" w:rsidRDefault="00432A9A" w:rsidP="00912320">
      <w:pPr>
        <w:tabs>
          <w:tab w:val="left" w:pos="1440"/>
          <w:tab w:val="left" w:pos="2880"/>
          <w:tab w:val="left" w:pos="4320"/>
          <w:tab w:val="left" w:pos="5760"/>
          <w:tab w:val="left" w:pos="7200"/>
          <w:tab w:val="left" w:pos="8640"/>
        </w:tabs>
        <w:spacing w:line="480" w:lineRule="atLeast"/>
      </w:pPr>
      <w:r>
        <w:tab/>
        <w:t>Generally, c</w:t>
      </w:r>
      <w:r w:rsidR="007F51A6">
        <w:t xml:space="preserve">ourts have liberally applied </w:t>
      </w:r>
      <w:r w:rsidR="00234D81">
        <w:t>the relation</w:t>
      </w:r>
      <w:r w:rsidR="00351A92">
        <w:t>-back doctrine.</w:t>
      </w:r>
      <w:r w:rsidR="005A1153">
        <w:t xml:space="preserve">  For example, in </w:t>
      </w:r>
      <w:r w:rsidR="005A1153" w:rsidRPr="005A1153">
        <w:rPr>
          <w:i/>
          <w:iCs/>
        </w:rPr>
        <w:t>Barnes v. Wilson</w:t>
      </w:r>
      <w:r w:rsidR="005A1153">
        <w:t xml:space="preserve"> (1974) 40 Cal.App.3d 199</w:t>
      </w:r>
      <w:r w:rsidR="00896919">
        <w:t xml:space="preserve"> (</w:t>
      </w:r>
      <w:r w:rsidR="00896919" w:rsidRPr="00896919">
        <w:rPr>
          <w:i/>
          <w:iCs/>
        </w:rPr>
        <w:t>Barnes</w:t>
      </w:r>
      <w:r w:rsidR="00896919">
        <w:t>)</w:t>
      </w:r>
      <w:r w:rsidR="005A1153">
        <w:t xml:space="preserve">, the </w:t>
      </w:r>
      <w:r w:rsidR="005F300C">
        <w:t xml:space="preserve">decedent </w:t>
      </w:r>
      <w:r w:rsidR="009A1DCB">
        <w:t xml:space="preserve">was the victim of a stabbing in </w:t>
      </w:r>
      <w:r w:rsidR="00A70213">
        <w:t>the Golden Gloves T</w:t>
      </w:r>
      <w:r w:rsidR="009A1DCB">
        <w:t xml:space="preserve">avern.  His heirs sued the owners of the </w:t>
      </w:r>
      <w:r w:rsidR="00094301">
        <w:t>Golden Gloves</w:t>
      </w:r>
      <w:r w:rsidR="006E5C85">
        <w:t xml:space="preserve"> Tavern</w:t>
      </w:r>
      <w:r w:rsidR="009A1DCB">
        <w:t>, alleging they “</w:t>
      </w:r>
      <w:r w:rsidR="009A1DCB" w:rsidRPr="009A1DCB">
        <w:t>negligently failed to warn patrons of the unreasonable risk created by the presence of the assailant and negligently failed to provide protection for their patrons.</w:t>
      </w:r>
      <w:r w:rsidR="009A1DCB">
        <w:t>”  (</w:t>
      </w:r>
      <w:r w:rsidR="009A1DCB" w:rsidRPr="008A4829">
        <w:rPr>
          <w:i/>
          <w:iCs/>
        </w:rPr>
        <w:t>Id</w:t>
      </w:r>
      <w:r w:rsidR="009A1DCB">
        <w:t xml:space="preserve">. at p. </w:t>
      </w:r>
      <w:r w:rsidR="008A4829">
        <w:t>201.)  The heirs later amended their complain</w:t>
      </w:r>
      <w:r w:rsidR="00126E0B">
        <w:t>t</w:t>
      </w:r>
      <w:r w:rsidR="008A4829">
        <w:t xml:space="preserve"> to </w:t>
      </w:r>
      <w:r w:rsidR="00E152CB">
        <w:t xml:space="preserve">substitute in as doe defendants </w:t>
      </w:r>
      <w:r w:rsidR="00A27F49">
        <w:t xml:space="preserve">the owners of </w:t>
      </w:r>
      <w:r w:rsidR="003C5CD6">
        <w:t>a</w:t>
      </w:r>
      <w:r w:rsidR="00A27F49">
        <w:t xml:space="preserve"> neighboring tavern, </w:t>
      </w:r>
      <w:r w:rsidR="00E8358F">
        <w:t>the Copper Door Tavern</w:t>
      </w:r>
      <w:r w:rsidR="00E736E8">
        <w:t xml:space="preserve">.  The heirs alleged </w:t>
      </w:r>
      <w:r w:rsidR="00012DC6">
        <w:t xml:space="preserve">the </w:t>
      </w:r>
      <w:r w:rsidR="00E736E8">
        <w:t xml:space="preserve">Copper Door </w:t>
      </w:r>
      <w:r w:rsidR="006E5C85">
        <w:t xml:space="preserve">Tavern </w:t>
      </w:r>
      <w:r w:rsidR="00012DC6">
        <w:t xml:space="preserve">owners </w:t>
      </w:r>
      <w:r w:rsidR="00D63F6E">
        <w:t xml:space="preserve">negligently continued to serve the assailant alcoholic beverages </w:t>
      </w:r>
      <w:r w:rsidR="00A37141">
        <w:t xml:space="preserve">when it was clear he was </w:t>
      </w:r>
      <w:r w:rsidR="00A37141">
        <w:lastRenderedPageBreak/>
        <w:t>“</w:t>
      </w:r>
      <w:r w:rsidR="00A37141" w:rsidRPr="00A37141">
        <w:t>excessively intoxicated</w:t>
      </w:r>
      <w:r w:rsidR="00A37141">
        <w:t>” and after he had already “</w:t>
      </w:r>
      <w:r w:rsidR="00A37141" w:rsidRPr="00A37141">
        <w:t>brandished a knife and constituted a danger to himself and to others</w:t>
      </w:r>
      <w:r w:rsidR="00A37141">
        <w:t xml:space="preserve">.”  </w:t>
      </w:r>
      <w:r w:rsidR="00AD4AFD">
        <w:t>(</w:t>
      </w:r>
      <w:r w:rsidR="00AD4AFD" w:rsidRPr="00AD4AFD">
        <w:rPr>
          <w:i/>
          <w:iCs/>
        </w:rPr>
        <w:t>Id</w:t>
      </w:r>
      <w:r w:rsidR="00AD4AFD">
        <w:t>. at p. 202.)</w:t>
      </w:r>
    </w:p>
    <w:p w14:paraId="272B6456" w14:textId="32444A16" w:rsidR="000C42F1" w:rsidRDefault="00432A9A" w:rsidP="005A1153">
      <w:pPr>
        <w:tabs>
          <w:tab w:val="left" w:pos="1440"/>
          <w:tab w:val="left" w:pos="2880"/>
          <w:tab w:val="left" w:pos="4320"/>
          <w:tab w:val="left" w:pos="5760"/>
          <w:tab w:val="left" w:pos="7200"/>
          <w:tab w:val="left" w:pos="8640"/>
        </w:tabs>
        <w:spacing w:line="480" w:lineRule="atLeast"/>
      </w:pPr>
      <w:r>
        <w:tab/>
      </w:r>
      <w:r w:rsidR="00AD4AFD">
        <w:t xml:space="preserve">The appellate court </w:t>
      </w:r>
      <w:r w:rsidR="00E034D3">
        <w:t xml:space="preserve">found the </w:t>
      </w:r>
      <w:r w:rsidR="00BA7198">
        <w:t xml:space="preserve">negligence claims against the Copper Door </w:t>
      </w:r>
      <w:r w:rsidR="006E5C85">
        <w:t xml:space="preserve">Tavern </w:t>
      </w:r>
      <w:r w:rsidR="00BA7198">
        <w:t>owners related back to the initial complaint against the owners of the Golden Gloves</w:t>
      </w:r>
      <w:r w:rsidR="006E5C85">
        <w:t xml:space="preserve"> Tavern</w:t>
      </w:r>
      <w:r w:rsidR="00BA7198">
        <w:t>.  (</w:t>
      </w:r>
      <w:r w:rsidR="00786DA5">
        <w:rPr>
          <w:i/>
          <w:iCs/>
        </w:rPr>
        <w:t>Barnes</w:t>
      </w:r>
      <w:r w:rsidR="00786DA5">
        <w:t xml:space="preserve">, </w:t>
      </w:r>
      <w:r w:rsidR="00786DA5">
        <w:rPr>
          <w:i/>
          <w:iCs/>
        </w:rPr>
        <w:t>supra</w:t>
      </w:r>
      <w:r w:rsidR="00786DA5">
        <w:t>,</w:t>
      </w:r>
      <w:r w:rsidR="00BA7198">
        <w:t xml:space="preserve"> </w:t>
      </w:r>
      <w:r w:rsidR="00786DA5">
        <w:t xml:space="preserve">40 Cal.App.3d </w:t>
      </w:r>
      <w:r w:rsidR="00BA7198">
        <w:t>at p</w:t>
      </w:r>
      <w:r w:rsidR="002D4024">
        <w:t>p</w:t>
      </w:r>
      <w:r w:rsidR="00BA7198">
        <w:t xml:space="preserve">. </w:t>
      </w:r>
      <w:r w:rsidR="002D4024">
        <w:t xml:space="preserve">202-203, </w:t>
      </w:r>
      <w:r w:rsidR="00846D72">
        <w:t>206.)</w:t>
      </w:r>
      <w:r w:rsidR="001418BD">
        <w:t xml:space="preserve">  </w:t>
      </w:r>
      <w:r w:rsidR="0018385E">
        <w:t>T</w:t>
      </w:r>
      <w:r w:rsidR="001418BD">
        <w:t>he amended complaint sought “</w:t>
      </w:r>
      <w:r w:rsidR="001418BD" w:rsidRPr="001418BD">
        <w:t xml:space="preserve">to hold the </w:t>
      </w:r>
      <w:r w:rsidR="00AA624B">
        <w:t xml:space="preserve">[Copper Door </w:t>
      </w:r>
      <w:r w:rsidR="00786DA5">
        <w:t xml:space="preserve">Tavern </w:t>
      </w:r>
      <w:r w:rsidR="00AA624B">
        <w:t xml:space="preserve">owners] </w:t>
      </w:r>
      <w:r w:rsidR="001418BD" w:rsidRPr="001418BD">
        <w:t>responsible for the same occurrence and damage alleged in the original complaint.</w:t>
      </w:r>
      <w:r w:rsidR="00AA624B">
        <w:t>”  (</w:t>
      </w:r>
      <w:r w:rsidR="00AA624B" w:rsidRPr="00AA624B">
        <w:rPr>
          <w:i/>
          <w:iCs/>
        </w:rPr>
        <w:t>Id</w:t>
      </w:r>
      <w:r w:rsidR="00AA624B">
        <w:t>. at p. 205.)</w:t>
      </w:r>
      <w:r w:rsidR="00B776CB">
        <w:t xml:space="preserve">  Although </w:t>
      </w:r>
      <w:r w:rsidR="00786DA5">
        <w:t>“</w:t>
      </w:r>
      <w:r w:rsidR="00B776CB">
        <w:t xml:space="preserve">the </w:t>
      </w:r>
      <w:r w:rsidR="00B776CB" w:rsidRPr="00B776CB">
        <w:t>original complaint did not contain an allegation that the assailant was intoxicated</w:t>
      </w:r>
      <w:r w:rsidR="004515E9">
        <w:t>. . . </w:t>
      </w:r>
      <w:r w:rsidR="00786DA5">
        <w:t xml:space="preserve">.  </w:t>
      </w:r>
      <w:r w:rsidR="00B776CB" w:rsidRPr="00B776CB">
        <w:t>The allegation of excessive intoxication in the amended complaint merely added an incidental fact reasonably inferable from the facts alleged in the original complaint and did not result in a statement of ‘a significantly distinct cause of action.’</w:t>
      </w:r>
      <w:r w:rsidR="008C1974">
        <w:t>”  (</w:t>
      </w:r>
      <w:r w:rsidR="00786DA5">
        <w:rPr>
          <w:i/>
          <w:iCs/>
        </w:rPr>
        <w:t>Ibid</w:t>
      </w:r>
      <w:r w:rsidR="008C1974">
        <w:t>.)</w:t>
      </w:r>
    </w:p>
    <w:p w14:paraId="4857AF40" w14:textId="7E8669A7" w:rsidR="00431CCE" w:rsidRDefault="00432A9A" w:rsidP="00431CCE">
      <w:pPr>
        <w:tabs>
          <w:tab w:val="left" w:pos="1440"/>
          <w:tab w:val="left" w:pos="2880"/>
          <w:tab w:val="left" w:pos="4320"/>
          <w:tab w:val="left" w:pos="5760"/>
          <w:tab w:val="left" w:pos="7200"/>
          <w:tab w:val="left" w:pos="8640"/>
        </w:tabs>
        <w:spacing w:line="480" w:lineRule="atLeast"/>
      </w:pPr>
      <w:r>
        <w:tab/>
        <w:t xml:space="preserve">In </w:t>
      </w:r>
      <w:r w:rsidR="00297330" w:rsidRPr="00297330">
        <w:rPr>
          <w:i/>
          <w:iCs/>
        </w:rPr>
        <w:t>Idding v. North Bay Construction Co.</w:t>
      </w:r>
      <w:r w:rsidR="00297330">
        <w:t xml:space="preserve"> (1995) 39 Cal.App.4th 1111</w:t>
      </w:r>
      <w:r w:rsidR="00896919">
        <w:t xml:space="preserve"> (</w:t>
      </w:r>
      <w:r w:rsidR="00896919" w:rsidRPr="00896919">
        <w:rPr>
          <w:i/>
          <w:iCs/>
        </w:rPr>
        <w:t>Idding</w:t>
      </w:r>
      <w:r w:rsidR="00896919">
        <w:t>)</w:t>
      </w:r>
      <w:r w:rsidR="00297330">
        <w:t xml:space="preserve">, plaintiff </w:t>
      </w:r>
      <w:r w:rsidR="00A20728">
        <w:t xml:space="preserve">filed a negligence claim </w:t>
      </w:r>
      <w:r w:rsidR="0029211B">
        <w:t>arising from</w:t>
      </w:r>
      <w:r w:rsidR="00A20728">
        <w:t xml:space="preserve"> injuries sustained </w:t>
      </w:r>
      <w:r w:rsidR="001173A4">
        <w:t xml:space="preserve">in a fall while </w:t>
      </w:r>
      <w:r w:rsidR="00A20728">
        <w:t xml:space="preserve">working at a project in Stockton.  </w:t>
      </w:r>
      <w:r w:rsidR="009D3A12">
        <w:t>A</w:t>
      </w:r>
      <w:r w:rsidR="00F56C6E">
        <w:t>fter the statute of limitations expire</w:t>
      </w:r>
      <w:r w:rsidR="00C97B37">
        <w:t>d</w:t>
      </w:r>
      <w:r w:rsidR="00F56C6E">
        <w:t xml:space="preserve">, he amended his complaint and alleged </w:t>
      </w:r>
      <w:r w:rsidR="00283516">
        <w:t>he was injured in a completely different project in Napa</w:t>
      </w:r>
      <w:r w:rsidR="00FE41BD">
        <w:t>.  (</w:t>
      </w:r>
      <w:r w:rsidR="00FE41BD" w:rsidRPr="00FE41BD">
        <w:rPr>
          <w:i/>
          <w:iCs/>
        </w:rPr>
        <w:t>Id</w:t>
      </w:r>
      <w:r w:rsidR="00FE41BD">
        <w:t xml:space="preserve">. at </w:t>
      </w:r>
      <w:r w:rsidR="00786DA5">
        <w:t>p</w:t>
      </w:r>
      <w:r w:rsidR="00FE41BD">
        <w:t>p. 1112-1113.)</w:t>
      </w:r>
      <w:r w:rsidR="00FE4301">
        <w:t xml:space="preserve">  </w:t>
      </w:r>
      <w:r w:rsidR="00B77E68">
        <w:t xml:space="preserve">Despite </w:t>
      </w:r>
      <w:r w:rsidR="009D3A12">
        <w:t xml:space="preserve">this </w:t>
      </w:r>
      <w:r w:rsidR="00B77E68">
        <w:t xml:space="preserve">change, the court found </w:t>
      </w:r>
      <w:r w:rsidR="007D08F5">
        <w:t>the amended complaint</w:t>
      </w:r>
      <w:r>
        <w:t xml:space="preserve"> </w:t>
      </w:r>
      <w:r w:rsidR="00EE28BA">
        <w:t>related back to the original</w:t>
      </w:r>
      <w:r w:rsidR="007D08F5">
        <w:t xml:space="preserve">.  </w:t>
      </w:r>
      <w:r w:rsidR="00D935D2">
        <w:t xml:space="preserve">It </w:t>
      </w:r>
      <w:r w:rsidR="006D1923">
        <w:t>reasoned,</w:t>
      </w:r>
      <w:r w:rsidR="00CE4F81">
        <w:t xml:space="preserve"> the</w:t>
      </w:r>
      <w:r w:rsidR="00D935D2">
        <w:t xml:space="preserve"> </w:t>
      </w:r>
      <w:r w:rsidR="00ED777F">
        <w:t>“amended complaint, by seeking recovery for the same accident and injuries as the original complaint, but merely changing the situs of the accident,” arose from “the same ‘general set of facts.’”  (</w:t>
      </w:r>
      <w:r w:rsidR="00ED777F" w:rsidRPr="00E63F38">
        <w:rPr>
          <w:i/>
          <w:iCs/>
        </w:rPr>
        <w:t>Id</w:t>
      </w:r>
      <w:r w:rsidR="00ED777F">
        <w:t>. at p. 1114.)</w:t>
      </w:r>
    </w:p>
    <w:p w14:paraId="1B9B43D7" w14:textId="711861EC" w:rsidR="00FC7C76" w:rsidRDefault="00432A9A" w:rsidP="00B70FDF">
      <w:pPr>
        <w:tabs>
          <w:tab w:val="left" w:pos="1440"/>
          <w:tab w:val="left" w:pos="2880"/>
          <w:tab w:val="left" w:pos="4320"/>
          <w:tab w:val="left" w:pos="5760"/>
          <w:tab w:val="left" w:pos="7200"/>
          <w:tab w:val="left" w:pos="8640"/>
        </w:tabs>
        <w:spacing w:line="480" w:lineRule="atLeast"/>
      </w:pPr>
      <w:r>
        <w:tab/>
      </w:r>
      <w:r w:rsidR="000E27AF">
        <w:t xml:space="preserve">In </w:t>
      </w:r>
      <w:r w:rsidR="00B70FDF" w:rsidRPr="00B70FDF">
        <w:rPr>
          <w:i/>
          <w:iCs/>
        </w:rPr>
        <w:t>Pointe San Diego</w:t>
      </w:r>
      <w:r w:rsidR="00B70FDF">
        <w:t>,</w:t>
      </w:r>
      <w:r w:rsidR="00A4741D">
        <w:t xml:space="preserve"> plaintiffs </w:t>
      </w:r>
      <w:r w:rsidR="001E04F1">
        <w:t xml:space="preserve">filed a form complaint against their former attorney alleging </w:t>
      </w:r>
      <w:r w:rsidR="00905981">
        <w:t>professional negligence</w:t>
      </w:r>
      <w:r w:rsidR="001E04F1">
        <w:t>.</w:t>
      </w:r>
      <w:r w:rsidR="00905981">
        <w:t xml:space="preserve">  They checked a box marked “</w:t>
      </w:r>
      <w:r w:rsidR="00786DA5">
        <w:t>G</w:t>
      </w:r>
      <w:r w:rsidR="00905981">
        <w:t xml:space="preserve">eneral </w:t>
      </w:r>
      <w:r w:rsidR="00786DA5">
        <w:t>N</w:t>
      </w:r>
      <w:r w:rsidR="00905981">
        <w:t xml:space="preserve">egligence” </w:t>
      </w:r>
      <w:r w:rsidR="00703D69">
        <w:t xml:space="preserve">on the form and </w:t>
      </w:r>
      <w:r w:rsidR="00BB5BF0">
        <w:t>“</w:t>
      </w:r>
      <w:r w:rsidR="00703D69">
        <w:t xml:space="preserve">included </w:t>
      </w:r>
      <w:r w:rsidR="00BB5BF0">
        <w:t>an attachment a</w:t>
      </w:r>
      <w:r w:rsidR="00703D69" w:rsidRPr="00703D69">
        <w:t xml:space="preserve">lleging defendants were the </w:t>
      </w:r>
      <w:r w:rsidR="00BB5BF0">
        <w:t>‘</w:t>
      </w:r>
      <w:r w:rsidR="00703D69" w:rsidRPr="00703D69">
        <w:t>legal (proximate) cause of damages to plaintiff[s]</w:t>
      </w:r>
      <w:r w:rsidR="00BB5BF0">
        <w:t>’</w:t>
      </w:r>
      <w:r w:rsidR="00703D69" w:rsidRPr="00703D69">
        <w:t xml:space="preserve"> and </w:t>
      </w:r>
      <w:r w:rsidR="00BB5BF0">
        <w:t>‘</w:t>
      </w:r>
      <w:r w:rsidR="00703D69" w:rsidRPr="00703D69">
        <w:t>[b]y the following acts or omissions to act, defendant negligently caused the damage to plaintiff.</w:t>
      </w:r>
      <w:r w:rsidR="00BB5BF0">
        <w:t>’</w:t>
      </w:r>
      <w:r w:rsidR="00786DA5">
        <w:t>”</w:t>
      </w:r>
      <w:r w:rsidR="00BB5BF0">
        <w:t xml:space="preserve">  </w:t>
      </w:r>
      <w:r w:rsidR="00703D69" w:rsidRPr="00703D69">
        <w:t xml:space="preserve">In </w:t>
      </w:r>
      <w:r w:rsidR="00ED0A3E">
        <w:t>a section for</w:t>
      </w:r>
      <w:r w:rsidR="00703D69" w:rsidRPr="00703D69">
        <w:t xml:space="preserve"> </w:t>
      </w:r>
      <w:r w:rsidR="00F16B2F">
        <w:t xml:space="preserve">describing the </w:t>
      </w:r>
      <w:r w:rsidR="00703D69" w:rsidRPr="00703D69">
        <w:t>reasons for liability</w:t>
      </w:r>
      <w:r w:rsidR="00ED0A3E">
        <w:t>,</w:t>
      </w:r>
      <w:r w:rsidR="00703D69" w:rsidRPr="00703D69">
        <w:t xml:space="preserve"> plaintiffs stated</w:t>
      </w:r>
      <w:r w:rsidR="00F923EE">
        <w:t xml:space="preserve"> that “</w:t>
      </w:r>
      <w:r w:rsidR="00BB5BF0">
        <w:t>‘</w:t>
      </w:r>
      <w:r w:rsidR="00703D69" w:rsidRPr="00703D69">
        <w:t>Defendant</w:t>
      </w:r>
      <w:r w:rsidR="00C349F9">
        <w:t>[]</w:t>
      </w:r>
      <w:r w:rsidR="00703D69" w:rsidRPr="00703D69">
        <w:t>, as Plaintiffs</w:t>
      </w:r>
      <w:r w:rsidR="00BB5BF0">
        <w:t>’</w:t>
      </w:r>
      <w:r w:rsidR="00703D69" w:rsidRPr="00703D69">
        <w:t xml:space="preserve"> attorneys, failed to use due care in the handling of</w:t>
      </w:r>
      <w:r w:rsidR="00203581">
        <w:t xml:space="preserve"> </w:t>
      </w:r>
      <w:r w:rsidR="00893BEB">
        <w:t>[</w:t>
      </w:r>
      <w:r w:rsidR="00203581">
        <w:t>certain</w:t>
      </w:r>
      <w:r w:rsidR="00893BEB">
        <w:t>]</w:t>
      </w:r>
      <w:r w:rsidR="00203581">
        <w:t xml:space="preserve"> litigation.</w:t>
      </w:r>
      <w:r w:rsidR="00786DA5">
        <w:t>’</w:t>
      </w:r>
      <w:r w:rsidR="00893BEB">
        <w:t>”</w:t>
      </w:r>
      <w:r w:rsidR="00203581">
        <w:t xml:space="preserve">  (</w:t>
      </w:r>
      <w:r w:rsidR="007C2E5B" w:rsidRPr="002354EC">
        <w:rPr>
          <w:bCs/>
          <w:i/>
        </w:rPr>
        <w:t>Pointe San Diego</w:t>
      </w:r>
      <w:r w:rsidR="007C2E5B">
        <w:rPr>
          <w:bCs/>
          <w:iCs/>
        </w:rPr>
        <w:t xml:space="preserve">, </w:t>
      </w:r>
      <w:r w:rsidR="007C2E5B" w:rsidRPr="002354EC">
        <w:rPr>
          <w:bCs/>
          <w:i/>
        </w:rPr>
        <w:t>supra</w:t>
      </w:r>
      <w:r w:rsidR="007C2E5B">
        <w:rPr>
          <w:bCs/>
          <w:iCs/>
        </w:rPr>
        <w:t>,</w:t>
      </w:r>
      <w:r w:rsidR="00BA02A6">
        <w:rPr>
          <w:bCs/>
          <w:iCs/>
        </w:rPr>
        <w:t xml:space="preserve"> </w:t>
      </w:r>
      <w:r w:rsidR="007C2E5B" w:rsidRPr="002354EC">
        <w:rPr>
          <w:bCs/>
          <w:iCs/>
        </w:rPr>
        <w:t xml:space="preserve">195 </w:t>
      </w:r>
      <w:r w:rsidR="007C2E5B" w:rsidRPr="002354EC">
        <w:rPr>
          <w:bCs/>
          <w:iCs/>
        </w:rPr>
        <w:lastRenderedPageBreak/>
        <w:t xml:space="preserve">Cal.App.4th </w:t>
      </w:r>
      <w:r w:rsidR="007C2E5B">
        <w:rPr>
          <w:bCs/>
          <w:iCs/>
        </w:rPr>
        <w:t xml:space="preserve">at p. </w:t>
      </w:r>
      <w:r w:rsidR="007C2E5B" w:rsidRPr="002354EC">
        <w:rPr>
          <w:bCs/>
          <w:iCs/>
        </w:rPr>
        <w:t>277</w:t>
      </w:r>
      <w:r w:rsidR="00203581">
        <w:t>.)</w:t>
      </w:r>
      <w:r w:rsidR="008152BE">
        <w:t xml:space="preserve">  </w:t>
      </w:r>
      <w:r w:rsidR="00A012BB">
        <w:t xml:space="preserve">Plaintiffs </w:t>
      </w:r>
      <w:r w:rsidR="00107870">
        <w:t xml:space="preserve">later amended the complaint to </w:t>
      </w:r>
      <w:r>
        <w:t xml:space="preserve">add </w:t>
      </w:r>
      <w:r w:rsidR="00BA1BD3">
        <w:t xml:space="preserve">more </w:t>
      </w:r>
      <w:r w:rsidR="00656EE3">
        <w:t xml:space="preserve">details about the </w:t>
      </w:r>
      <w:r w:rsidR="007023A4">
        <w:t>nature of the alleged negligence.  (</w:t>
      </w:r>
      <w:r w:rsidR="007023A4" w:rsidRPr="007023A4">
        <w:rPr>
          <w:i/>
          <w:iCs/>
        </w:rPr>
        <w:t>Id</w:t>
      </w:r>
      <w:r w:rsidR="007023A4">
        <w:t>. at pp. 27</w:t>
      </w:r>
      <w:r w:rsidR="00EE3BDF">
        <w:t>2</w:t>
      </w:r>
      <w:r w:rsidR="007023A4">
        <w:t>-27</w:t>
      </w:r>
      <w:r w:rsidR="00EE3BDF">
        <w:t>3</w:t>
      </w:r>
      <w:r w:rsidR="00786DA5">
        <w:t>.</w:t>
      </w:r>
      <w:r w:rsidR="007023A4">
        <w:t>)</w:t>
      </w:r>
    </w:p>
    <w:p w14:paraId="7D39B9EE" w14:textId="531D7086" w:rsidR="00FE41BD" w:rsidRDefault="00432A9A" w:rsidP="00B70FDF">
      <w:pPr>
        <w:tabs>
          <w:tab w:val="left" w:pos="1440"/>
          <w:tab w:val="left" w:pos="2880"/>
          <w:tab w:val="left" w:pos="4320"/>
          <w:tab w:val="left" w:pos="5760"/>
          <w:tab w:val="left" w:pos="7200"/>
          <w:tab w:val="left" w:pos="8640"/>
        </w:tabs>
        <w:spacing w:line="480" w:lineRule="atLeast"/>
      </w:pPr>
      <w:r>
        <w:tab/>
      </w:r>
      <w:r w:rsidR="00435C1E">
        <w:t xml:space="preserve">The </w:t>
      </w:r>
      <w:r w:rsidR="0007539C">
        <w:t xml:space="preserve">court found the new allegations in the amended complaint related back to the </w:t>
      </w:r>
      <w:r w:rsidR="000069AF">
        <w:t xml:space="preserve">general allegations in the initial </w:t>
      </w:r>
      <w:r w:rsidR="0007539C">
        <w:t xml:space="preserve">form complaint.  </w:t>
      </w:r>
      <w:r w:rsidR="008152BE">
        <w:t xml:space="preserve">Because </w:t>
      </w:r>
      <w:r w:rsidR="008E6DD1">
        <w:t xml:space="preserve">the </w:t>
      </w:r>
      <w:r w:rsidR="0007539C">
        <w:t xml:space="preserve">initial </w:t>
      </w:r>
      <w:r w:rsidR="008E6DD1">
        <w:t xml:space="preserve">complaint clearly alleged the </w:t>
      </w:r>
      <w:r w:rsidR="00104E87">
        <w:t xml:space="preserve">matter </w:t>
      </w:r>
      <w:r w:rsidR="008E6DD1">
        <w:t xml:space="preserve">in which the defendant had represented the plaintiff, the defendant </w:t>
      </w:r>
      <w:r w:rsidR="00332BF6">
        <w:t>“</w:t>
      </w:r>
      <w:r w:rsidR="00332BF6" w:rsidRPr="00332BF6">
        <w:t>was put on notice that the professional negligence claim was based on its representation of plaintiffs in this case, and of the need to gather and preserve evidence relating to this representation.</w:t>
      </w:r>
      <w:r w:rsidR="00332BF6">
        <w:t>”  (</w:t>
      </w:r>
      <w:r w:rsidR="00332BF6" w:rsidRPr="001D057E">
        <w:rPr>
          <w:i/>
          <w:iCs/>
        </w:rPr>
        <w:t>Id</w:t>
      </w:r>
      <w:r w:rsidR="00332BF6">
        <w:t xml:space="preserve">. at p. 278.) </w:t>
      </w:r>
      <w:r w:rsidR="00BE35A3">
        <w:t xml:space="preserve"> </w:t>
      </w:r>
      <w:r w:rsidR="005C17DA">
        <w:t>“</w:t>
      </w:r>
      <w:r w:rsidR="005C17DA" w:rsidRPr="005C17DA">
        <w:t xml:space="preserve">Although the original complaint did not detail </w:t>
      </w:r>
      <w:r w:rsidR="005C17DA" w:rsidRPr="005438A8">
        <w:rPr>
          <w:i/>
          <w:iCs/>
        </w:rPr>
        <w:t>how</w:t>
      </w:r>
      <w:r w:rsidR="005C17DA" w:rsidRPr="005C17DA">
        <w:t xml:space="preserve"> the firm had allegedly breached the standard of care, the form complaint and the </w:t>
      </w:r>
      <w:r w:rsidR="005C17DA">
        <w:t>. . . </w:t>
      </w:r>
      <w:r w:rsidR="005C17DA" w:rsidRPr="005C17DA">
        <w:t>amended complaint rested on the same general set of facts (</w:t>
      </w:r>
      <w:r w:rsidR="005C17DA">
        <w:t xml:space="preserve">[defendant’s] </w:t>
      </w:r>
      <w:r w:rsidR="005C17DA" w:rsidRPr="005C17DA">
        <w:t xml:space="preserve">prosecution of the </w:t>
      </w:r>
      <w:r w:rsidR="005C17DA">
        <w:t xml:space="preserve">[prior] </w:t>
      </w:r>
      <w:r w:rsidR="005C17DA" w:rsidRPr="005C17DA">
        <w:t>litigation), involved the same injury (monetary damages sustained as a result of alleged professional negligence), and referred to the same instrumentality (alleged professional negligence).</w:t>
      </w:r>
      <w:r w:rsidR="00E951B0">
        <w:t>”  (</w:t>
      </w:r>
      <w:r w:rsidR="00BE35A3">
        <w:rPr>
          <w:i/>
          <w:iCs/>
        </w:rPr>
        <w:t>I</w:t>
      </w:r>
      <w:r w:rsidR="00786DA5">
        <w:rPr>
          <w:i/>
          <w:iCs/>
        </w:rPr>
        <w:t>bi</w:t>
      </w:r>
      <w:r w:rsidR="00BE35A3">
        <w:rPr>
          <w:i/>
          <w:iCs/>
        </w:rPr>
        <w:t>d</w:t>
      </w:r>
      <w:r w:rsidR="00BE35A3" w:rsidRPr="00BE35A3">
        <w:t>.</w:t>
      </w:r>
      <w:r w:rsidR="00E951B0">
        <w:t>)</w:t>
      </w:r>
    </w:p>
    <w:p w14:paraId="1A6CCA3D" w14:textId="61CB1927" w:rsidR="003445D6" w:rsidRDefault="00432A9A" w:rsidP="003445D6">
      <w:pPr>
        <w:tabs>
          <w:tab w:val="left" w:pos="1440"/>
          <w:tab w:val="left" w:pos="2880"/>
          <w:tab w:val="left" w:pos="4320"/>
          <w:tab w:val="left" w:pos="5760"/>
          <w:tab w:val="left" w:pos="7200"/>
          <w:tab w:val="left" w:pos="8640"/>
        </w:tabs>
        <w:spacing w:line="480" w:lineRule="atLeast"/>
      </w:pPr>
      <w:r>
        <w:tab/>
        <w:t>In contrast</w:t>
      </w:r>
      <w:r w:rsidR="00D31D6F">
        <w:t xml:space="preserve"> to these cases</w:t>
      </w:r>
      <w:r>
        <w:t xml:space="preserve">, </w:t>
      </w:r>
      <w:r w:rsidR="00436D0B" w:rsidRPr="00436D0B">
        <w:t xml:space="preserve">Royalty </w:t>
      </w:r>
      <w:r w:rsidR="00436D0B">
        <w:t xml:space="preserve">cites </w:t>
      </w:r>
      <w:r w:rsidR="00110109" w:rsidRPr="00110109">
        <w:rPr>
          <w:i/>
          <w:iCs/>
        </w:rPr>
        <w:t>McCauley v. Howard Jarvis Taxpayers Assn.</w:t>
      </w:r>
      <w:r w:rsidR="00110109">
        <w:t xml:space="preserve"> (1998) 68 Cal.App.4th 1255, </w:t>
      </w:r>
      <w:r w:rsidR="00436D0B">
        <w:t xml:space="preserve">in which </w:t>
      </w:r>
      <w:r w:rsidR="003B09F8">
        <w:t xml:space="preserve">the plaintiff filed a complaint against the defendant for violating reporting requirements </w:t>
      </w:r>
      <w:r w:rsidR="00E870C4">
        <w:t xml:space="preserve">governing </w:t>
      </w:r>
      <w:r w:rsidR="00D573B0">
        <w:t>political campaigns</w:t>
      </w:r>
      <w:r w:rsidR="003B09F8">
        <w:t xml:space="preserve">.  </w:t>
      </w:r>
      <w:r w:rsidR="00913628">
        <w:t>The p</w:t>
      </w:r>
      <w:r w:rsidR="008917E6">
        <w:t>laintiff’s claim was based on a single violation</w:t>
      </w:r>
      <w:r w:rsidR="002C5092">
        <w:t xml:space="preserve">:  </w:t>
      </w:r>
      <w:r w:rsidR="00913628">
        <w:t xml:space="preserve">the defendant’s failure to report </w:t>
      </w:r>
      <w:r w:rsidR="00102F84">
        <w:t xml:space="preserve">financial information for a </w:t>
      </w:r>
      <w:r w:rsidR="004247B2">
        <w:t xml:space="preserve">specific </w:t>
      </w:r>
      <w:r w:rsidR="00102F84">
        <w:t xml:space="preserve">committee </w:t>
      </w:r>
      <w:r w:rsidR="00811570">
        <w:t xml:space="preserve">it </w:t>
      </w:r>
      <w:r w:rsidR="00102F84">
        <w:t>had formed</w:t>
      </w:r>
      <w:r w:rsidR="00445772">
        <w:t xml:space="preserve"> relating to </w:t>
      </w:r>
      <w:r w:rsidR="006F3D5F">
        <w:t xml:space="preserve">a </w:t>
      </w:r>
      <w:r w:rsidR="00A373EB">
        <w:t xml:space="preserve">1984 ballot </w:t>
      </w:r>
      <w:r w:rsidR="006F3D5F">
        <w:t>proposition</w:t>
      </w:r>
      <w:r w:rsidR="00102F84">
        <w:t xml:space="preserve">.  </w:t>
      </w:r>
      <w:r w:rsidR="00F9684C">
        <w:t xml:space="preserve">Years later, the plaintiff filed an amended complaint </w:t>
      </w:r>
      <w:r w:rsidR="00D85BD2">
        <w:t xml:space="preserve">that added </w:t>
      </w:r>
      <w:r w:rsidR="00637A9C">
        <w:t xml:space="preserve">different </w:t>
      </w:r>
      <w:r w:rsidR="00A05F76">
        <w:t xml:space="preserve">reporting </w:t>
      </w:r>
      <w:r w:rsidR="0000276E">
        <w:t xml:space="preserve">law </w:t>
      </w:r>
      <w:r w:rsidR="00A05F76">
        <w:t>violation</w:t>
      </w:r>
      <w:r w:rsidR="0000276E">
        <w:t>s</w:t>
      </w:r>
      <w:r w:rsidR="006F3D5F">
        <w:t xml:space="preserve"> relating to</w:t>
      </w:r>
      <w:r w:rsidR="00DF2679">
        <w:t xml:space="preserve"> a proposition on the 1986 ballot</w:t>
      </w:r>
      <w:r w:rsidR="001F1A18">
        <w:t xml:space="preserve">.  </w:t>
      </w:r>
      <w:r w:rsidR="00102F84">
        <w:t>(</w:t>
      </w:r>
      <w:r w:rsidR="00102F84" w:rsidRPr="008917E6">
        <w:rPr>
          <w:i/>
          <w:iCs/>
        </w:rPr>
        <w:t>Id</w:t>
      </w:r>
      <w:r w:rsidR="00102F84">
        <w:t xml:space="preserve">. at pp. 1258-1259.)  </w:t>
      </w:r>
      <w:r w:rsidR="000B2CFB">
        <w:t>The court found these new allegations did not relate back</w:t>
      </w:r>
      <w:r w:rsidR="00336CEA">
        <w:t xml:space="preserve"> because e</w:t>
      </w:r>
      <w:r w:rsidR="008C4403">
        <w:t>ach reporting violation was a discrete event</w:t>
      </w:r>
      <w:r w:rsidR="00125121">
        <w:t>,</w:t>
      </w:r>
      <w:r w:rsidR="00BF2A57">
        <w:t xml:space="preserve"> not part of </w:t>
      </w:r>
      <w:r w:rsidR="008C6729">
        <w:t>a continuing violation</w:t>
      </w:r>
      <w:r w:rsidR="008C4403">
        <w:t xml:space="preserve">. </w:t>
      </w:r>
      <w:r w:rsidR="008C6729">
        <w:t xml:space="preserve"> (</w:t>
      </w:r>
      <w:r w:rsidR="008C6729">
        <w:rPr>
          <w:i/>
          <w:iCs/>
        </w:rPr>
        <w:t>I</w:t>
      </w:r>
      <w:r w:rsidR="008C6729" w:rsidRPr="008C6729">
        <w:rPr>
          <w:i/>
          <w:iCs/>
        </w:rPr>
        <w:t>d</w:t>
      </w:r>
      <w:r w:rsidR="008C6729">
        <w:t>. at p</w:t>
      </w:r>
      <w:r w:rsidR="002D6B94">
        <w:t>p</w:t>
      </w:r>
      <w:r w:rsidR="008C6729">
        <w:t>. 1262</w:t>
      </w:r>
      <w:r w:rsidR="002D6B94">
        <w:t>-1263</w:t>
      </w:r>
      <w:r w:rsidR="008C6729">
        <w:t>.)</w:t>
      </w:r>
      <w:r w:rsidR="008C4403">
        <w:t xml:space="preserve"> </w:t>
      </w:r>
      <w:r>
        <w:t xml:space="preserve"> “[D]ifferent acts leading to distinct injuries are </w:t>
      </w:r>
      <w:r w:rsidRPr="00786DA5">
        <w:rPr>
          <w:i/>
          <w:iCs/>
        </w:rPr>
        <w:t>not</w:t>
      </w:r>
      <w:r>
        <w:t xml:space="preserve"> part of the ‘same general set of facts.’”  (</w:t>
      </w:r>
      <w:r w:rsidRPr="003445D6">
        <w:rPr>
          <w:i/>
          <w:iCs/>
        </w:rPr>
        <w:t>Id</w:t>
      </w:r>
      <w:r>
        <w:t>. at p. 1262.)</w:t>
      </w:r>
    </w:p>
    <w:p w14:paraId="0F88D244" w14:textId="056F2394" w:rsidR="001749FD" w:rsidRPr="001749FD" w:rsidRDefault="00432A9A" w:rsidP="00786DA5">
      <w:pPr>
        <w:pStyle w:val="ListParagraph"/>
        <w:keepNext/>
        <w:tabs>
          <w:tab w:val="left" w:pos="1440"/>
          <w:tab w:val="left" w:pos="2880"/>
          <w:tab w:val="left" w:pos="4320"/>
          <w:tab w:val="left" w:pos="5760"/>
          <w:tab w:val="left" w:pos="7200"/>
          <w:tab w:val="left" w:pos="8640"/>
        </w:tabs>
        <w:spacing w:before="360" w:line="480" w:lineRule="atLeast"/>
        <w:ind w:left="1800" w:hanging="360"/>
      </w:pPr>
      <w:r>
        <w:rPr>
          <w:i/>
          <w:iCs/>
        </w:rPr>
        <w:lastRenderedPageBreak/>
        <w:t xml:space="preserve">2.  </w:t>
      </w:r>
      <w:r w:rsidR="00B5753C" w:rsidRPr="00B5753C">
        <w:rPr>
          <w:i/>
          <w:iCs/>
        </w:rPr>
        <w:t>Analysis</w:t>
      </w:r>
    </w:p>
    <w:p w14:paraId="09C70D17" w14:textId="1BFFFC45" w:rsidR="001749FD" w:rsidRDefault="00432A9A" w:rsidP="000F34D6">
      <w:pPr>
        <w:keepNext/>
        <w:tabs>
          <w:tab w:val="left" w:pos="1440"/>
          <w:tab w:val="left" w:pos="2880"/>
          <w:tab w:val="left" w:pos="4320"/>
          <w:tab w:val="left" w:pos="5760"/>
          <w:tab w:val="left" w:pos="7200"/>
          <w:tab w:val="left" w:pos="8640"/>
        </w:tabs>
        <w:spacing w:line="480" w:lineRule="atLeast"/>
      </w:pPr>
      <w:r>
        <w:rPr>
          <w:i/>
          <w:iCs/>
        </w:rPr>
        <w:tab/>
      </w:r>
      <w:r w:rsidR="00BF2965" w:rsidRPr="00D1787F">
        <w:t>Since plaintiffs’ argument involve</w:t>
      </w:r>
      <w:r w:rsidR="00BF2965">
        <w:t>s</w:t>
      </w:r>
      <w:r w:rsidR="00BF2965" w:rsidRPr="00D1787F">
        <w:t xml:space="preserve"> the application of law to undisputed facts, </w:t>
      </w:r>
      <w:r w:rsidR="00BF2965">
        <w:t xml:space="preserve">our review is </w:t>
      </w:r>
      <w:r w:rsidR="00BF2965" w:rsidRPr="00D1787F">
        <w:t xml:space="preserve">de novo.  </w:t>
      </w:r>
      <w:r w:rsidR="00BF2965" w:rsidRPr="00FE428D">
        <w:t>(</w:t>
      </w:r>
      <w:r w:rsidR="00BF2965" w:rsidRPr="001749FD">
        <w:rPr>
          <w:i/>
          <w:iCs/>
        </w:rPr>
        <w:t>Aryeh v. Canon Business Solutions, Inc.</w:t>
      </w:r>
      <w:r w:rsidR="00BF2965" w:rsidRPr="00FE428D">
        <w:t xml:space="preserve"> (2013) 55 Cal.4th 1185, 1191.)</w:t>
      </w:r>
      <w:r w:rsidR="00BF2965" w:rsidRPr="00EC4DA8">
        <w:t xml:space="preserve">  </w:t>
      </w:r>
      <w:r>
        <w:t>We begin by comparing the allegations in the two complaints.</w:t>
      </w:r>
    </w:p>
    <w:p w14:paraId="344DEC05" w14:textId="091DB2B2" w:rsidR="001749FD" w:rsidRPr="00AE465D" w:rsidRDefault="00432A9A" w:rsidP="001749FD">
      <w:pPr>
        <w:tabs>
          <w:tab w:val="left" w:pos="1440"/>
          <w:tab w:val="left" w:pos="2880"/>
          <w:tab w:val="left" w:pos="4320"/>
          <w:tab w:val="left" w:pos="5760"/>
          <w:tab w:val="left" w:pos="7200"/>
          <w:tab w:val="left" w:pos="8640"/>
        </w:tabs>
        <w:spacing w:line="480" w:lineRule="atLeast"/>
      </w:pPr>
      <w:r>
        <w:tab/>
        <w:t xml:space="preserve">Though the named plaintiffs in the </w:t>
      </w:r>
      <w:r w:rsidRPr="00917BD5">
        <w:t>SAC</w:t>
      </w:r>
      <w:r>
        <w:t xml:space="preserve"> were from Dyer and Derian, their proposed class</w:t>
      </w:r>
      <w:r w:rsidRPr="00917BD5">
        <w:t xml:space="preserve"> covered Porterville employee</w:t>
      </w:r>
      <w:r>
        <w:t xml:space="preserve">s.  It included </w:t>
      </w:r>
      <w:r w:rsidRPr="00917BD5">
        <w:t>“[a]ll curr</w:t>
      </w:r>
      <w:r w:rsidRPr="00917BD5">
        <w:t xml:space="preserve">ent and former nonexempt employees of [Royalty] who worked in its carpet manufacturing and warehouse facilities in California at any time from December 13, 2009, through the date of judgment.”  </w:t>
      </w:r>
      <w:r>
        <w:t>The SAC identified Porterville as one of these facilities.  Wi</w:t>
      </w:r>
      <w:r>
        <w:t xml:space="preserve">th regard to the class’s meal period </w:t>
      </w:r>
      <w:r w:rsidRPr="00A45227">
        <w:t xml:space="preserve">claims, </w:t>
      </w:r>
      <w:r>
        <w:t xml:space="preserve">the SAC generally </w:t>
      </w:r>
      <w:r w:rsidRPr="00A45227">
        <w:t xml:space="preserve">alleged Royalty “[f]ail[ed] to provide employees with timely </w:t>
      </w:r>
      <w:r w:rsidRPr="00B4714D">
        <w:rPr>
          <w:i/>
          <w:iCs/>
        </w:rPr>
        <w:t>and proper meal periods</w:t>
      </w:r>
      <w:r w:rsidRPr="00A45227">
        <w:t>, and fail</w:t>
      </w:r>
      <w:r>
        <w:t>[ed]</w:t>
      </w:r>
      <w:r w:rsidRPr="00A45227">
        <w:t xml:space="preserve"> to pay employees an hour of pay for failing to provide such meal periods</w:t>
      </w:r>
      <w:r w:rsidR="00786DA5">
        <w:t xml:space="preserve"> </w:t>
      </w:r>
      <w:r w:rsidRPr="00A45227">
        <w:t>.</w:t>
      </w:r>
      <w:r w:rsidR="00786DA5">
        <w:t xml:space="preserve"> . . .</w:t>
      </w:r>
      <w:r w:rsidRPr="00A45227">
        <w:t xml:space="preserve">”  </w:t>
      </w:r>
      <w:r w:rsidR="00B4714D">
        <w:t xml:space="preserve">(Italics added.)  </w:t>
      </w:r>
      <w:r>
        <w:t xml:space="preserve">Likewise, the SAC alleged </w:t>
      </w:r>
      <w:r w:rsidRPr="00887A46">
        <w:t>a common question of law</w:t>
      </w:r>
      <w:r>
        <w:t xml:space="preserve"> involved </w:t>
      </w:r>
      <w:r w:rsidRPr="00887A46">
        <w:t>“</w:t>
      </w:r>
      <w:r>
        <w:t>[w]</w:t>
      </w:r>
      <w:r w:rsidRPr="00887A46">
        <w:t xml:space="preserve">hether Royalty . . . failed to provide timely </w:t>
      </w:r>
      <w:r w:rsidRPr="00B4714D">
        <w:rPr>
          <w:i/>
          <w:iCs/>
        </w:rPr>
        <w:t>and proper meal periods</w:t>
      </w:r>
      <w:r w:rsidRPr="00887A46">
        <w:t xml:space="preserve"> to employees, or pay premium wages, in lieu of providing such periods.” </w:t>
      </w:r>
      <w:r w:rsidR="00B4714D">
        <w:t xml:space="preserve"> (Italics added.)  </w:t>
      </w:r>
      <w:r>
        <w:t>The SAC also contained more specific descriptions of the meal period violations:  “[Royalty] did not timely provide many employees with either their first or second</w:t>
      </w:r>
      <w:r>
        <w:t xml:space="preserve"> 30-minute ‘duty free’ meal periods for a substantial number of days, and did not pay its employees the additional hour of premium wages for each workday the meal periods were</w:t>
      </w:r>
      <w:r w:rsidRPr="005A7043">
        <w:t xml:space="preserve"> not provided.</w:t>
      </w:r>
      <w:r>
        <w:t>”</w:t>
      </w:r>
    </w:p>
    <w:p w14:paraId="2C644C4A" w14:textId="6044DB2F" w:rsidR="001749FD" w:rsidRPr="00CE1FDA" w:rsidRDefault="00432A9A" w:rsidP="001749FD">
      <w:pPr>
        <w:tabs>
          <w:tab w:val="left" w:pos="1440"/>
          <w:tab w:val="left" w:pos="2880"/>
          <w:tab w:val="left" w:pos="4320"/>
          <w:tab w:val="left" w:pos="5760"/>
          <w:tab w:val="left" w:pos="7200"/>
          <w:tab w:val="left" w:pos="8640"/>
        </w:tabs>
        <w:spacing w:line="480" w:lineRule="atLeast"/>
        <w:rPr>
          <w:highlight w:val="yellow"/>
        </w:rPr>
      </w:pPr>
      <w:r>
        <w:tab/>
        <w:t xml:space="preserve">The proposed class in the TAC was substantially the same as the </w:t>
      </w:r>
      <w:r>
        <w:t xml:space="preserve">SAC. </w:t>
      </w:r>
      <w:r w:rsidR="00786DA5">
        <w:t xml:space="preserve"> </w:t>
      </w:r>
      <w:r>
        <w:t xml:space="preserve">The TAC also contained similar general allegations regarding the meal period violations, such as, “Royalty had a company-wide policy and practice of . . . failing to provide employees with timely </w:t>
      </w:r>
      <w:r w:rsidRPr="006F3ABC">
        <w:rPr>
          <w:i/>
          <w:iCs/>
        </w:rPr>
        <w:t>and proper meal periods</w:t>
      </w:r>
      <w:r>
        <w:t xml:space="preserve"> and rest periods, and failing </w:t>
      </w:r>
      <w:r>
        <w:t xml:space="preserve">to pay employees premium pay when they were not provided such meal and rest periods.”  </w:t>
      </w:r>
      <w:r w:rsidR="006F3ABC">
        <w:t xml:space="preserve">(Italics added.)  </w:t>
      </w:r>
      <w:r w:rsidR="0016175C">
        <w:t>I</w:t>
      </w:r>
      <w:r>
        <w:t xml:space="preserve">t </w:t>
      </w:r>
      <w:r w:rsidR="004332AB">
        <w:t xml:space="preserve">also contained </w:t>
      </w:r>
      <w:r>
        <w:t xml:space="preserve">more specific allegations that Royalty failed to provide employees with timely first and second meal periods.  But the TAC added new </w:t>
      </w:r>
      <w:r>
        <w:t xml:space="preserve">allegations about Porterville’s on-premises meal policy.  For example, it alleged that “[a]t Porterville, </w:t>
      </w:r>
      <w:r>
        <w:lastRenderedPageBreak/>
        <w:t xml:space="preserve">Royalty also had a long standing policy of requiring employees to take their meal periods in the company lunch room. . . . </w:t>
      </w:r>
      <w:r w:rsidR="00786DA5">
        <w:t xml:space="preserve"> </w:t>
      </w:r>
      <w:r>
        <w:t>This prevented employees f</w:t>
      </w:r>
      <w:r>
        <w:t xml:space="preserve">rom leaving the facility to take their meal periods.”  </w:t>
      </w:r>
      <w:r w:rsidR="00155F71">
        <w:t>In the TAC, p</w:t>
      </w:r>
      <w:r>
        <w:t xml:space="preserve">laintiffs sought premium pay for Porterville </w:t>
      </w:r>
      <w:r w:rsidR="00AB3B7F">
        <w:t xml:space="preserve">workers </w:t>
      </w:r>
      <w:r>
        <w:t>based on this allegedly unlawful policy.</w:t>
      </w:r>
    </w:p>
    <w:p w14:paraId="39B788FC" w14:textId="34E1AFD2" w:rsidR="00E73B67" w:rsidRDefault="00432A9A" w:rsidP="00BA7B9B">
      <w:pPr>
        <w:tabs>
          <w:tab w:val="left" w:pos="1440"/>
          <w:tab w:val="left" w:pos="2880"/>
          <w:tab w:val="left" w:pos="4320"/>
          <w:tab w:val="left" w:pos="5760"/>
          <w:tab w:val="left" w:pos="7200"/>
          <w:tab w:val="left" w:pos="8640"/>
        </w:tabs>
        <w:spacing w:line="480" w:lineRule="atLeast"/>
      </w:pPr>
      <w:r>
        <w:tab/>
        <w:t>Based on these allegations, t</w:t>
      </w:r>
      <w:r w:rsidR="007461B8">
        <w:t xml:space="preserve">his case has more in common with </w:t>
      </w:r>
      <w:r w:rsidR="007461B8" w:rsidRPr="00AC64FA">
        <w:rPr>
          <w:i/>
          <w:iCs/>
        </w:rPr>
        <w:t>Barnes</w:t>
      </w:r>
      <w:r w:rsidR="007461B8">
        <w:t xml:space="preserve">, </w:t>
      </w:r>
      <w:r w:rsidR="007461B8" w:rsidRPr="00AC64FA">
        <w:rPr>
          <w:i/>
          <w:iCs/>
        </w:rPr>
        <w:t>Idding</w:t>
      </w:r>
      <w:r w:rsidR="007461B8">
        <w:t xml:space="preserve">, and </w:t>
      </w:r>
      <w:r w:rsidR="007461B8" w:rsidRPr="00AC64FA">
        <w:rPr>
          <w:i/>
          <w:iCs/>
        </w:rPr>
        <w:t>Pointe San Diego</w:t>
      </w:r>
      <w:r w:rsidR="007461B8">
        <w:t xml:space="preserve"> than </w:t>
      </w:r>
      <w:r w:rsidR="007461B8" w:rsidRPr="00EF7F92">
        <w:rPr>
          <w:i/>
          <w:iCs/>
        </w:rPr>
        <w:t>McCauley</w:t>
      </w:r>
      <w:r w:rsidR="007461B8">
        <w:t xml:space="preserve">.  </w:t>
      </w:r>
      <w:r>
        <w:t xml:space="preserve">The amended complaints in </w:t>
      </w:r>
      <w:r w:rsidRPr="001D4D66">
        <w:rPr>
          <w:i/>
          <w:iCs/>
        </w:rPr>
        <w:t>Barnes</w:t>
      </w:r>
      <w:r>
        <w:t xml:space="preserve">, </w:t>
      </w:r>
      <w:r>
        <w:rPr>
          <w:i/>
          <w:iCs/>
        </w:rPr>
        <w:t>Idding</w:t>
      </w:r>
      <w:r>
        <w:t xml:space="preserve">, and </w:t>
      </w:r>
      <w:r w:rsidRPr="00FA20F6">
        <w:rPr>
          <w:i/>
          <w:iCs/>
        </w:rPr>
        <w:t>Pointe San Diego</w:t>
      </w:r>
      <w:r>
        <w:t xml:space="preserve"> added </w:t>
      </w:r>
      <w:r w:rsidR="00470968">
        <w:t xml:space="preserve">related </w:t>
      </w:r>
      <w:r>
        <w:t xml:space="preserve">facts that expanded upon the </w:t>
      </w:r>
      <w:r w:rsidR="00470968">
        <w:t xml:space="preserve">core facts of the </w:t>
      </w:r>
      <w:r>
        <w:t>initial complain</w:t>
      </w:r>
      <w:r w:rsidR="00470968">
        <w:t>t</w:t>
      </w:r>
      <w:r>
        <w:t xml:space="preserve"> or corrected information from the initial complaint.  </w:t>
      </w:r>
      <w:r w:rsidR="00C86CE2">
        <w:t xml:space="preserve">Crucially, </w:t>
      </w:r>
      <w:r w:rsidR="0091710F">
        <w:t>though, the</w:t>
      </w:r>
      <w:r w:rsidR="009A6B33">
        <w:t>se</w:t>
      </w:r>
      <w:r w:rsidR="0091710F">
        <w:t xml:space="preserve"> new allegations were </w:t>
      </w:r>
      <w:r>
        <w:t xml:space="preserve">still grounded in the same accident, injury, and instrumentality.  In </w:t>
      </w:r>
      <w:r w:rsidRPr="004C7425">
        <w:rPr>
          <w:i/>
          <w:iCs/>
        </w:rPr>
        <w:t>Barnes</w:t>
      </w:r>
      <w:r>
        <w:t xml:space="preserve">, the allegations </w:t>
      </w:r>
      <w:r w:rsidR="006959E2">
        <w:t>regarding negligen</w:t>
      </w:r>
      <w:r w:rsidR="00B36D53">
        <w:t xml:space="preserve">t service of alcohol </w:t>
      </w:r>
      <w:r w:rsidR="006A7115">
        <w:t xml:space="preserve">to the assailant </w:t>
      </w:r>
      <w:r w:rsidR="00B36D53">
        <w:t xml:space="preserve">all </w:t>
      </w:r>
      <w:r w:rsidR="00A521E1">
        <w:t xml:space="preserve">pertained </w:t>
      </w:r>
      <w:r w:rsidR="00B36D53">
        <w:t xml:space="preserve">to </w:t>
      </w:r>
      <w:r>
        <w:t xml:space="preserve">the victim’s death </w:t>
      </w:r>
      <w:r w:rsidR="005C2BCC">
        <w:t xml:space="preserve">caused by </w:t>
      </w:r>
      <w:r>
        <w:t xml:space="preserve">the assailant’s stabbing.  In </w:t>
      </w:r>
      <w:r w:rsidRPr="00CE53D4">
        <w:rPr>
          <w:i/>
          <w:iCs/>
        </w:rPr>
        <w:t>Idding</w:t>
      </w:r>
      <w:r>
        <w:t xml:space="preserve">, </w:t>
      </w:r>
      <w:r>
        <w:t xml:space="preserve">although the plaintiff </w:t>
      </w:r>
      <w:r w:rsidR="00BF280A">
        <w:t xml:space="preserve">identified </w:t>
      </w:r>
      <w:r>
        <w:t xml:space="preserve">the wrong </w:t>
      </w:r>
      <w:r w:rsidR="00114F1E">
        <w:t xml:space="preserve">project </w:t>
      </w:r>
      <w:r>
        <w:t xml:space="preserve">in his initial complaint, his amended complaint still sought relief </w:t>
      </w:r>
      <w:r w:rsidR="00114F1E">
        <w:t xml:space="preserve">for </w:t>
      </w:r>
      <w:r>
        <w:t xml:space="preserve">the same </w:t>
      </w:r>
      <w:r w:rsidR="00BE3761">
        <w:t>incident</w:t>
      </w:r>
      <w:r>
        <w:t xml:space="preserve">:  a fall sustained at a worksite.  Finally, in </w:t>
      </w:r>
      <w:r w:rsidRPr="00F27C45">
        <w:rPr>
          <w:i/>
          <w:iCs/>
        </w:rPr>
        <w:t>Pointe San Diego</w:t>
      </w:r>
      <w:r>
        <w:t>, the amended complaint related back because it onl</w:t>
      </w:r>
      <w:r>
        <w:t xml:space="preserve">y </w:t>
      </w:r>
      <w:r w:rsidR="007124CC">
        <w:t xml:space="preserve">added </w:t>
      </w:r>
      <w:r w:rsidR="00FA415F">
        <w:t xml:space="preserve">more </w:t>
      </w:r>
      <w:r w:rsidR="00B15FFA">
        <w:t xml:space="preserve">details </w:t>
      </w:r>
      <w:r w:rsidR="00FA0374">
        <w:t xml:space="preserve">concerning </w:t>
      </w:r>
      <w:r>
        <w:t>the malpractice</w:t>
      </w:r>
      <w:r w:rsidR="0083596F">
        <w:t xml:space="preserve"> </w:t>
      </w:r>
      <w:r w:rsidR="007124CC">
        <w:t xml:space="preserve">that was </w:t>
      </w:r>
      <w:r w:rsidR="00FA0374">
        <w:t xml:space="preserve">broadly </w:t>
      </w:r>
      <w:r w:rsidR="0083596F">
        <w:t>alleged in the initial complaint</w:t>
      </w:r>
      <w:r>
        <w:t>.</w:t>
      </w:r>
    </w:p>
    <w:p w14:paraId="43BD9A6D" w14:textId="423E6D66" w:rsidR="00D26EAB" w:rsidRDefault="00432A9A" w:rsidP="000F7724">
      <w:pPr>
        <w:tabs>
          <w:tab w:val="left" w:pos="1440"/>
          <w:tab w:val="left" w:pos="2880"/>
          <w:tab w:val="left" w:pos="4320"/>
          <w:tab w:val="left" w:pos="5760"/>
          <w:tab w:val="left" w:pos="7200"/>
          <w:tab w:val="left" w:pos="8640"/>
        </w:tabs>
        <w:spacing w:line="480" w:lineRule="atLeast"/>
      </w:pPr>
      <w:r>
        <w:tab/>
      </w:r>
      <w:r w:rsidR="007461B8">
        <w:t>Like the</w:t>
      </w:r>
      <w:r w:rsidR="009173F5">
        <w:t>se</w:t>
      </w:r>
      <w:r w:rsidR="007461B8">
        <w:t xml:space="preserve"> cases, the </w:t>
      </w:r>
      <w:r w:rsidR="00674539">
        <w:t xml:space="preserve">Porterville meal period claim alleged </w:t>
      </w:r>
      <w:r w:rsidR="007461B8">
        <w:t xml:space="preserve">in the TAC </w:t>
      </w:r>
      <w:r w:rsidR="00674539">
        <w:t xml:space="preserve">is based in </w:t>
      </w:r>
      <w:r w:rsidR="007461B8">
        <w:t>same facts, injury, and instrumentality</w:t>
      </w:r>
      <w:r w:rsidR="00674539">
        <w:t xml:space="preserve"> as the SAC’s meal period claims</w:t>
      </w:r>
      <w:r w:rsidR="007461B8">
        <w:t>:  Royalty</w:t>
      </w:r>
      <w:r w:rsidR="00383FC9">
        <w:t xml:space="preserve"> failed to</w:t>
      </w:r>
      <w:r w:rsidR="007461B8">
        <w:t xml:space="preserve"> </w:t>
      </w:r>
      <w:r w:rsidR="007461B8" w:rsidRPr="00F55F0B">
        <w:t>provid</w:t>
      </w:r>
      <w:r w:rsidR="00383FC9">
        <w:t>e</w:t>
      </w:r>
      <w:r w:rsidR="007461B8" w:rsidRPr="00F55F0B">
        <w:t xml:space="preserve"> </w:t>
      </w:r>
      <w:r w:rsidR="007461B8">
        <w:t xml:space="preserve">its </w:t>
      </w:r>
      <w:r w:rsidR="007461B8" w:rsidRPr="00F55F0B">
        <w:t xml:space="preserve">employees </w:t>
      </w:r>
      <w:r w:rsidR="007461B8">
        <w:t xml:space="preserve">at Dyer, Derian, and Porterville </w:t>
      </w:r>
      <w:r w:rsidR="007461B8" w:rsidRPr="00F55F0B">
        <w:t xml:space="preserve">with </w:t>
      </w:r>
      <w:r w:rsidR="00C47B70">
        <w:t xml:space="preserve">proper meal </w:t>
      </w:r>
      <w:r w:rsidR="007461B8" w:rsidRPr="00F55F0B">
        <w:t xml:space="preserve">periods </w:t>
      </w:r>
      <w:r w:rsidR="007461B8">
        <w:t xml:space="preserve">and failed to provide premium pay under section § 226.7.  The exact nature of the </w:t>
      </w:r>
      <w:r w:rsidR="0044055C">
        <w:t xml:space="preserve">noncompliant </w:t>
      </w:r>
      <w:r w:rsidR="007461B8">
        <w:t>meal periods at Dyer and Derian (</w:t>
      </w:r>
      <w:r w:rsidR="0044055C">
        <w:t xml:space="preserve">untimely </w:t>
      </w:r>
      <w:r w:rsidR="007461B8">
        <w:t xml:space="preserve">meal periods) was different than Porterville (on-premises meals).  </w:t>
      </w:r>
      <w:r w:rsidR="00392640">
        <w:t xml:space="preserve">But these two theories </w:t>
      </w:r>
      <w:r w:rsidR="00105F08">
        <w:t xml:space="preserve">are still grounded in plaintiffs’ overall </w:t>
      </w:r>
      <w:r w:rsidR="003936E3">
        <w:t>allegation</w:t>
      </w:r>
      <w:r w:rsidR="00105F08">
        <w:t>s</w:t>
      </w:r>
      <w:r w:rsidR="003936E3">
        <w:t xml:space="preserve"> that Royalty was </w:t>
      </w:r>
      <w:r w:rsidR="00F268DF">
        <w:t xml:space="preserve">not </w:t>
      </w:r>
      <w:r w:rsidR="003936E3">
        <w:t xml:space="preserve">providing its employees at </w:t>
      </w:r>
      <w:r w:rsidR="0096695F">
        <w:t xml:space="preserve">the three facilities </w:t>
      </w:r>
      <w:r w:rsidR="003936E3">
        <w:t>with compliant meal periods</w:t>
      </w:r>
      <w:r w:rsidR="00E64AD5">
        <w:t xml:space="preserve"> and </w:t>
      </w:r>
      <w:r w:rsidR="00A13D2B">
        <w:t xml:space="preserve">was </w:t>
      </w:r>
      <w:r w:rsidR="00E64AD5">
        <w:t>not providing premium pay</w:t>
      </w:r>
      <w:r w:rsidR="00FE26FA">
        <w:t xml:space="preserve"> over the same </w:t>
      </w:r>
      <w:r w:rsidR="00A949C2">
        <w:t>period</w:t>
      </w:r>
      <w:r w:rsidR="003936E3">
        <w:t xml:space="preserve">.  </w:t>
      </w:r>
      <w:r w:rsidR="00D865AA">
        <w:t>Consequently, a</w:t>
      </w:r>
      <w:r w:rsidR="007461B8">
        <w:t xml:space="preserve">dding allegations </w:t>
      </w:r>
      <w:r w:rsidR="0063170B">
        <w:t xml:space="preserve">about </w:t>
      </w:r>
      <w:r w:rsidR="007461B8">
        <w:t>Porterville</w:t>
      </w:r>
      <w:r w:rsidR="00D13893">
        <w:t>’s on-premises meal policy</w:t>
      </w:r>
      <w:r w:rsidR="007461B8">
        <w:t xml:space="preserve"> in the TAC </w:t>
      </w:r>
      <w:r w:rsidR="00D462A6">
        <w:t xml:space="preserve">was </w:t>
      </w:r>
      <w:r w:rsidR="007461B8">
        <w:t xml:space="preserve">akin to </w:t>
      </w:r>
      <w:r w:rsidR="00BE5258">
        <w:t xml:space="preserve">the incidental details </w:t>
      </w:r>
      <w:r w:rsidR="00B11B0E">
        <w:t xml:space="preserve">added </w:t>
      </w:r>
      <w:r w:rsidR="00BE5258">
        <w:t xml:space="preserve">in </w:t>
      </w:r>
      <w:r w:rsidR="00BE5258" w:rsidRPr="00A12470">
        <w:rPr>
          <w:i/>
          <w:iCs/>
        </w:rPr>
        <w:t>Barnes</w:t>
      </w:r>
      <w:r w:rsidR="00BE5258">
        <w:t xml:space="preserve"> </w:t>
      </w:r>
      <w:r w:rsidR="002F5365">
        <w:t xml:space="preserve">and </w:t>
      </w:r>
      <w:r w:rsidR="00BE5258" w:rsidRPr="00A12470">
        <w:rPr>
          <w:i/>
          <w:iCs/>
        </w:rPr>
        <w:t>Pointe San Diego</w:t>
      </w:r>
      <w:r w:rsidR="00B11B0E">
        <w:rPr>
          <w:i/>
          <w:iCs/>
        </w:rPr>
        <w:t xml:space="preserve"> </w:t>
      </w:r>
      <w:r w:rsidR="00B11B0E">
        <w:t xml:space="preserve">or the correction of </w:t>
      </w:r>
      <w:r w:rsidR="007461B8">
        <w:t xml:space="preserve">the worksite in </w:t>
      </w:r>
      <w:r w:rsidR="007461B8" w:rsidRPr="00A12470">
        <w:rPr>
          <w:i/>
          <w:iCs/>
        </w:rPr>
        <w:t>Idding</w:t>
      </w:r>
      <w:r w:rsidR="00B11B0E">
        <w:t>.</w:t>
      </w:r>
      <w:r w:rsidR="00886C94">
        <w:t xml:space="preserve">  </w:t>
      </w:r>
      <w:r w:rsidR="00B36451">
        <w:t>Unlike</w:t>
      </w:r>
      <w:r w:rsidR="00250A9E">
        <w:t xml:space="preserve"> </w:t>
      </w:r>
      <w:r w:rsidR="000D7AAB" w:rsidRPr="000D7AAB">
        <w:rPr>
          <w:i/>
          <w:iCs/>
        </w:rPr>
        <w:t>McCauley</w:t>
      </w:r>
      <w:r w:rsidR="00B36451">
        <w:t>, t</w:t>
      </w:r>
      <w:r w:rsidR="00B716E7">
        <w:t xml:space="preserve">he </w:t>
      </w:r>
      <w:r w:rsidR="000D7AAB">
        <w:t xml:space="preserve">new allegations in the TAC </w:t>
      </w:r>
      <w:r w:rsidR="00096EA7">
        <w:t xml:space="preserve">were not discrete violations.  </w:t>
      </w:r>
      <w:r w:rsidR="00FC2062">
        <w:t>Rather, t</w:t>
      </w:r>
      <w:r w:rsidR="00096EA7">
        <w:t xml:space="preserve">hey </w:t>
      </w:r>
      <w:r w:rsidR="0076476A">
        <w:t xml:space="preserve">built upon </w:t>
      </w:r>
      <w:r w:rsidR="00096EA7">
        <w:t xml:space="preserve">the </w:t>
      </w:r>
      <w:r w:rsidR="00FC2062">
        <w:t xml:space="preserve">allegations in the </w:t>
      </w:r>
      <w:r w:rsidR="00096EA7">
        <w:t xml:space="preserve">SAC that </w:t>
      </w:r>
      <w:r w:rsidR="00096EA7">
        <w:lastRenderedPageBreak/>
        <w:t>Royalty “</w:t>
      </w:r>
      <w:r w:rsidR="00096EA7" w:rsidRPr="00A45227">
        <w:t>[f]ail[ed] to provide employees with timely and proper meal periods, and fail</w:t>
      </w:r>
      <w:r w:rsidR="00096EA7">
        <w:t>[ed]</w:t>
      </w:r>
      <w:r w:rsidR="00096EA7" w:rsidRPr="00A45227">
        <w:t xml:space="preserve"> to pay employees an hour of pay for failing to provide such meal periods</w:t>
      </w:r>
      <w:r>
        <w:t xml:space="preserve"> </w:t>
      </w:r>
      <w:r w:rsidR="00096EA7" w:rsidRPr="00A45227">
        <w:t>.</w:t>
      </w:r>
      <w:r>
        <w:t xml:space="preserve"> . . .”</w:t>
      </w:r>
    </w:p>
    <w:p w14:paraId="0D69AE83" w14:textId="03B920AF" w:rsidR="00B70FDF" w:rsidRDefault="00432A9A" w:rsidP="000F7724">
      <w:pPr>
        <w:tabs>
          <w:tab w:val="left" w:pos="1440"/>
          <w:tab w:val="left" w:pos="2880"/>
          <w:tab w:val="left" w:pos="4320"/>
          <w:tab w:val="left" w:pos="5760"/>
          <w:tab w:val="left" w:pos="7200"/>
          <w:tab w:val="left" w:pos="8640"/>
        </w:tabs>
        <w:spacing w:line="480" w:lineRule="atLeast"/>
      </w:pPr>
      <w:r>
        <w:tab/>
      </w:r>
      <w:r w:rsidR="003B10A4">
        <w:t>Further, t</w:t>
      </w:r>
      <w:r w:rsidR="00A779B1">
        <w:t xml:space="preserve">he SAC provided sufficient notice to Royalty </w:t>
      </w:r>
      <w:r w:rsidR="002D2BA3">
        <w:t xml:space="preserve">of the on-premises meal policy </w:t>
      </w:r>
      <w:r w:rsidR="00C54248">
        <w:t xml:space="preserve">claims </w:t>
      </w:r>
      <w:r w:rsidR="002D2BA3">
        <w:t xml:space="preserve">in the TAC.  </w:t>
      </w:r>
      <w:r w:rsidR="003164AC">
        <w:t xml:space="preserve">The SAC put Royalty on notice </w:t>
      </w:r>
      <w:r w:rsidR="00A779B1">
        <w:t xml:space="preserve">that plaintiffs were seeking </w:t>
      </w:r>
      <w:r w:rsidR="00FD182A">
        <w:t xml:space="preserve">premium pay for Dyer, Derian, and Porterville employees based on noncompliant meal periods.  </w:t>
      </w:r>
      <w:r w:rsidR="002636BC">
        <w:t>While the SAC</w:t>
      </w:r>
      <w:r w:rsidR="00B56E06">
        <w:t xml:space="preserve"> also</w:t>
      </w:r>
      <w:r w:rsidR="002636BC">
        <w:t xml:space="preserve"> </w:t>
      </w:r>
      <w:r w:rsidR="000F6CA3">
        <w:t xml:space="preserve">specified </w:t>
      </w:r>
      <w:r w:rsidR="002636BC">
        <w:t>Royalty</w:t>
      </w:r>
      <w:r w:rsidR="009A5F5D">
        <w:t xml:space="preserve">’s </w:t>
      </w:r>
      <w:r w:rsidR="002636BC">
        <w:t>meal periods</w:t>
      </w:r>
      <w:r w:rsidR="009A5F5D">
        <w:t xml:space="preserve"> were noncompliant because they were untimely</w:t>
      </w:r>
      <w:r w:rsidR="002636BC">
        <w:t xml:space="preserve">, it did not </w:t>
      </w:r>
      <w:r w:rsidR="00BD3F94">
        <w:t xml:space="preserve">state </w:t>
      </w:r>
      <w:r w:rsidR="002636BC">
        <w:t xml:space="preserve">this was the only </w:t>
      </w:r>
      <w:r w:rsidR="00865B98">
        <w:t>way</w:t>
      </w:r>
      <w:r w:rsidR="002636BC">
        <w:t xml:space="preserve"> meal periods had been noncompliant.  </w:t>
      </w:r>
      <w:r w:rsidR="003C6F5A">
        <w:t xml:space="preserve">There was </w:t>
      </w:r>
      <w:r w:rsidR="00D119A5">
        <w:t xml:space="preserve">sufficient </w:t>
      </w:r>
      <w:r w:rsidR="00D119A5" w:rsidRPr="00D119A5">
        <w:t xml:space="preserve">information </w:t>
      </w:r>
      <w:r w:rsidR="003C6F5A">
        <w:t>in the SAC “</w:t>
      </w:r>
      <w:r w:rsidR="00D119A5" w:rsidRPr="00D119A5">
        <w:t xml:space="preserve">to permit </w:t>
      </w:r>
      <w:r w:rsidR="00D119A5">
        <w:t xml:space="preserve">[Royalty] </w:t>
      </w:r>
      <w:r w:rsidR="00D119A5" w:rsidRPr="00D119A5">
        <w:t>to gather and preserve the relevant materials and begin to conduct discovery and prepare a defense to the claims that were later refined and augmented in the amended complaints.</w:t>
      </w:r>
      <w:r w:rsidR="000F7724">
        <w:t>”  (</w:t>
      </w:r>
      <w:r w:rsidR="000F7724" w:rsidRPr="000F7724">
        <w:rPr>
          <w:i/>
          <w:iCs/>
        </w:rPr>
        <w:t>Pointe San Diego</w:t>
      </w:r>
      <w:r w:rsidR="000F7724">
        <w:t xml:space="preserve">, </w:t>
      </w:r>
      <w:r w:rsidR="000F7724" w:rsidRPr="000F7724">
        <w:rPr>
          <w:i/>
          <w:iCs/>
        </w:rPr>
        <w:t>supra</w:t>
      </w:r>
      <w:r w:rsidR="000F7724">
        <w:t>, 195 Cal.App.4th at p. 278.)</w:t>
      </w:r>
      <w:r w:rsidR="00827B45">
        <w:t xml:space="preserve">  </w:t>
      </w:r>
      <w:r w:rsidR="007F1E0B">
        <w:t xml:space="preserve">Based on the SAC, </w:t>
      </w:r>
      <w:r w:rsidR="00827B45">
        <w:t>Royalty “</w:t>
      </w:r>
      <w:r w:rsidR="00827B45" w:rsidRPr="00827B45">
        <w:t xml:space="preserve">could have </w:t>
      </w:r>
      <w:r w:rsidR="004C17CC">
        <w:t>. . . </w:t>
      </w:r>
      <w:r w:rsidR="00827B45" w:rsidRPr="00827B45">
        <w:t xml:space="preserve">engaged in discovery to seek information about the exact factual basis for the </w:t>
      </w:r>
      <w:r w:rsidR="00FF01D0">
        <w:t>. . . </w:t>
      </w:r>
      <w:r w:rsidR="00827B45" w:rsidRPr="00827B45">
        <w:t>claim.</w:t>
      </w:r>
      <w:r w:rsidR="004C17CC">
        <w:t>”  (</w:t>
      </w:r>
      <w:r w:rsidR="004C17CC" w:rsidRPr="004C17CC">
        <w:rPr>
          <w:i/>
          <w:iCs/>
        </w:rPr>
        <w:t>Id</w:t>
      </w:r>
      <w:r w:rsidR="004C17CC">
        <w:t>. at p. 279.)</w:t>
      </w:r>
    </w:p>
    <w:p w14:paraId="33C6E6EA" w14:textId="67D9D10F" w:rsidR="00E94A08" w:rsidRPr="00E6637B" w:rsidRDefault="00432A9A" w:rsidP="00E6637B">
      <w:pPr>
        <w:tabs>
          <w:tab w:val="left" w:pos="1440"/>
          <w:tab w:val="left" w:pos="2880"/>
          <w:tab w:val="left" w:pos="4320"/>
          <w:tab w:val="left" w:pos="5760"/>
          <w:tab w:val="left" w:pos="7200"/>
          <w:tab w:val="left" w:pos="8640"/>
        </w:tabs>
        <w:spacing w:line="480" w:lineRule="atLeast"/>
      </w:pPr>
      <w:r>
        <w:tab/>
      </w:r>
      <w:r w:rsidR="00FF093E">
        <w:t xml:space="preserve">Royalty also argues the SAC </w:t>
      </w:r>
      <w:r w:rsidR="00271E74">
        <w:t xml:space="preserve">had no valid class representative for </w:t>
      </w:r>
      <w:r w:rsidR="00FE6111">
        <w:t xml:space="preserve">a claim based on </w:t>
      </w:r>
      <w:r w:rsidR="00E33084">
        <w:t xml:space="preserve">the </w:t>
      </w:r>
      <w:r w:rsidR="00271E74">
        <w:t>on-premises m</w:t>
      </w:r>
      <w:r w:rsidR="00902D43">
        <w:t xml:space="preserve">eal </w:t>
      </w:r>
      <w:r w:rsidR="00A167A5">
        <w:t>policy</w:t>
      </w:r>
      <w:r w:rsidR="00CB50CB">
        <w:t xml:space="preserve">, </w:t>
      </w:r>
      <w:r w:rsidR="00E27DF0">
        <w:t xml:space="preserve">since neither of the SAC’s </w:t>
      </w:r>
      <w:r w:rsidR="0015774F">
        <w:t xml:space="preserve">named plaintiffs </w:t>
      </w:r>
      <w:r w:rsidR="00E27DF0">
        <w:t>worked at</w:t>
      </w:r>
      <w:r w:rsidR="005B41B7">
        <w:t xml:space="preserve"> </w:t>
      </w:r>
      <w:r w:rsidR="00E27DF0">
        <w:t>Porterville</w:t>
      </w:r>
      <w:r w:rsidR="00902D43">
        <w:t xml:space="preserve">.  </w:t>
      </w:r>
      <w:r w:rsidR="00F35535">
        <w:t>However, “if the cause of action alleged against the defendant would not be wholly different after amendment, a complaint filed by a party without standing may be amended to substitute in the real party in interest.”  (</w:t>
      </w:r>
      <w:r w:rsidR="00F35535" w:rsidRPr="00F35535">
        <w:rPr>
          <w:i/>
          <w:iCs/>
        </w:rPr>
        <w:t>CashCall, Inc. v. Superior Court</w:t>
      </w:r>
      <w:r w:rsidR="00F35535">
        <w:t xml:space="preserve"> (2008) 159 Cal.App.4th 273, 287</w:t>
      </w:r>
      <w:r w:rsidR="00D26EAB">
        <w:t>-288</w:t>
      </w:r>
      <w:r w:rsidR="00F35535">
        <w:t>.)</w:t>
      </w:r>
      <w:r w:rsidR="00610260" w:rsidRPr="00610260">
        <w:t xml:space="preserve"> </w:t>
      </w:r>
      <w:r w:rsidR="00610260">
        <w:t xml:space="preserve"> “‘[A]n amendment to substitute in the real party in interest is entitled to relation-back effect.  The effect of plaintiff’s lack of standing</w:t>
      </w:r>
      <w:r w:rsidR="003052BE">
        <w:t xml:space="preserve"> . . . [is] </w:t>
      </w:r>
      <w:r w:rsidR="00610260">
        <w:t>simply that plaintiff need</w:t>
      </w:r>
      <w:r w:rsidR="003052BE">
        <w:t>[s]</w:t>
      </w:r>
      <w:r w:rsidR="00610260">
        <w:t xml:space="preserve"> to amend [the complaint to substitute in a real party in interest as plaintiff].</w:t>
      </w:r>
      <w:r w:rsidR="003052BE">
        <w:t>’</w:t>
      </w:r>
      <w:r w:rsidR="00A76FA9">
        <w:t xml:space="preserve"> </w:t>
      </w:r>
      <w:r w:rsidR="00D26EAB">
        <w:t xml:space="preserve"> [Citations.] </w:t>
      </w:r>
      <w:r w:rsidR="00A76FA9">
        <w:t xml:space="preserve"> </w:t>
      </w:r>
      <w:r w:rsidR="007F335C">
        <w:t>Therefore, ‘[i]n general, courts liberally allow amendments for the purpose of permitting plaintiffs who lack or have lost standing to substitute as plaintiffs the true real parties in interest.’”</w:t>
      </w:r>
      <w:r w:rsidR="003052BE">
        <w:t xml:space="preserve"> </w:t>
      </w:r>
      <w:r w:rsidR="007F335C">
        <w:t xml:space="preserve"> </w:t>
      </w:r>
      <w:r w:rsidR="003052BE">
        <w:t>(</w:t>
      </w:r>
      <w:r w:rsidR="003052BE" w:rsidRPr="003052BE">
        <w:rPr>
          <w:i/>
          <w:iCs/>
        </w:rPr>
        <w:t>I</w:t>
      </w:r>
      <w:r w:rsidR="00D26EAB">
        <w:rPr>
          <w:i/>
          <w:iCs/>
        </w:rPr>
        <w:t>bi</w:t>
      </w:r>
      <w:r w:rsidR="003052BE" w:rsidRPr="003052BE">
        <w:rPr>
          <w:i/>
          <w:iCs/>
        </w:rPr>
        <w:t>d</w:t>
      </w:r>
      <w:r w:rsidR="00D26EAB">
        <w:rPr>
          <w:i/>
          <w:iCs/>
        </w:rPr>
        <w:t>.</w:t>
      </w:r>
      <w:r w:rsidR="00891C3B">
        <w:t xml:space="preserve">, italics </w:t>
      </w:r>
      <w:r w:rsidR="00D26EAB">
        <w:t>omitted</w:t>
      </w:r>
      <w:r w:rsidR="003052BE">
        <w:t>.)</w:t>
      </w:r>
      <w:r w:rsidR="00DB586F">
        <w:t xml:space="preserve">  Since the </w:t>
      </w:r>
      <w:r w:rsidR="00BD16E5">
        <w:t xml:space="preserve">on-premises meal policy claim </w:t>
      </w:r>
      <w:r w:rsidR="00686B55">
        <w:t xml:space="preserve">in the </w:t>
      </w:r>
      <w:r w:rsidR="00DB586F">
        <w:t>TAC relate</w:t>
      </w:r>
      <w:r w:rsidR="009F72BC">
        <w:t>s</w:t>
      </w:r>
      <w:r w:rsidR="00DB586F">
        <w:t xml:space="preserve"> back to the SAC, it was permissible for plaintiffs to amend the </w:t>
      </w:r>
      <w:r w:rsidR="00377623">
        <w:t xml:space="preserve">SAC </w:t>
      </w:r>
      <w:r w:rsidR="00510D5E">
        <w:t xml:space="preserve">and </w:t>
      </w:r>
      <w:r w:rsidR="00DB586F">
        <w:t xml:space="preserve">add Porterville employees </w:t>
      </w:r>
      <w:r w:rsidR="00D97CD5">
        <w:t xml:space="preserve">with </w:t>
      </w:r>
      <w:r w:rsidR="00DB586F">
        <w:t xml:space="preserve">standing to </w:t>
      </w:r>
      <w:r w:rsidR="009F72BC">
        <w:t>bring it.</w:t>
      </w:r>
    </w:p>
    <w:p w14:paraId="0690E425" w14:textId="326936E2" w:rsidR="008E641E" w:rsidRDefault="00432A9A" w:rsidP="00D26EAB">
      <w:pPr>
        <w:pStyle w:val="ListParagraph"/>
        <w:keepNext/>
        <w:tabs>
          <w:tab w:val="left" w:pos="1440"/>
          <w:tab w:val="left" w:pos="2880"/>
          <w:tab w:val="left" w:pos="4320"/>
          <w:tab w:val="left" w:pos="5760"/>
          <w:tab w:val="left" w:pos="7200"/>
          <w:tab w:val="left" w:pos="8640"/>
        </w:tabs>
        <w:spacing w:before="360" w:line="480" w:lineRule="atLeast"/>
        <w:ind w:hanging="720"/>
        <w:rPr>
          <w:i/>
          <w:iCs/>
        </w:rPr>
      </w:pPr>
      <w:r>
        <w:rPr>
          <w:i/>
          <w:iCs/>
        </w:rPr>
        <w:lastRenderedPageBreak/>
        <w:t xml:space="preserve">D.  </w:t>
      </w:r>
      <w:r w:rsidR="006D54B2">
        <w:rPr>
          <w:i/>
          <w:iCs/>
        </w:rPr>
        <w:t>D</w:t>
      </w:r>
      <w:r w:rsidR="006D54B2" w:rsidRPr="00BA0CC1">
        <w:rPr>
          <w:i/>
          <w:iCs/>
        </w:rPr>
        <w:t xml:space="preserve">ecertification </w:t>
      </w:r>
      <w:r w:rsidR="006D54B2">
        <w:rPr>
          <w:i/>
          <w:iCs/>
        </w:rPr>
        <w:t xml:space="preserve">of the </w:t>
      </w:r>
      <w:r w:rsidRPr="00BA0CC1">
        <w:rPr>
          <w:i/>
          <w:iCs/>
        </w:rPr>
        <w:t xml:space="preserve">Dyer/Derian </w:t>
      </w:r>
      <w:r>
        <w:rPr>
          <w:i/>
          <w:iCs/>
        </w:rPr>
        <w:t>M</w:t>
      </w:r>
      <w:r w:rsidR="006D54B2">
        <w:rPr>
          <w:i/>
          <w:iCs/>
        </w:rPr>
        <w:t xml:space="preserve">eal </w:t>
      </w:r>
      <w:r>
        <w:rPr>
          <w:i/>
          <w:iCs/>
        </w:rPr>
        <w:t>P</w:t>
      </w:r>
      <w:r w:rsidR="006D54B2">
        <w:rPr>
          <w:i/>
          <w:iCs/>
        </w:rPr>
        <w:t xml:space="preserve">eriod </w:t>
      </w:r>
      <w:r>
        <w:rPr>
          <w:i/>
          <w:iCs/>
        </w:rPr>
        <w:t>S</w:t>
      </w:r>
      <w:r w:rsidR="00690F5D">
        <w:rPr>
          <w:i/>
          <w:iCs/>
        </w:rPr>
        <w:t>ub</w:t>
      </w:r>
      <w:r w:rsidRPr="00BA0CC1">
        <w:rPr>
          <w:i/>
          <w:iCs/>
        </w:rPr>
        <w:t>class</w:t>
      </w:r>
    </w:p>
    <w:p w14:paraId="00B6B82A" w14:textId="764F411F" w:rsidR="00A0269A" w:rsidRDefault="00432A9A" w:rsidP="00D26EAB">
      <w:pPr>
        <w:pStyle w:val="ListParagraph"/>
        <w:keepNext/>
        <w:tabs>
          <w:tab w:val="left" w:pos="1440"/>
          <w:tab w:val="left" w:pos="2880"/>
          <w:tab w:val="left" w:pos="4320"/>
          <w:tab w:val="left" w:pos="5760"/>
          <w:tab w:val="left" w:pos="7200"/>
          <w:tab w:val="left" w:pos="8640"/>
        </w:tabs>
        <w:spacing w:before="360" w:line="480" w:lineRule="atLeast"/>
        <w:ind w:left="1800" w:hanging="360"/>
        <w:rPr>
          <w:i/>
          <w:iCs/>
        </w:rPr>
      </w:pPr>
      <w:r>
        <w:rPr>
          <w:i/>
          <w:iCs/>
        </w:rPr>
        <w:t xml:space="preserve">1.  </w:t>
      </w:r>
      <w:r w:rsidR="005B137D">
        <w:rPr>
          <w:i/>
          <w:iCs/>
        </w:rPr>
        <w:t>The t</w:t>
      </w:r>
      <w:r w:rsidR="00E46C1D">
        <w:rPr>
          <w:i/>
          <w:iCs/>
        </w:rPr>
        <w:t>rial court’s ruling</w:t>
      </w:r>
    </w:p>
    <w:p w14:paraId="03BE2B6B" w14:textId="4027E445" w:rsidR="00F07818" w:rsidRPr="00F07818" w:rsidRDefault="00432A9A" w:rsidP="00054E72">
      <w:pPr>
        <w:keepNext/>
        <w:tabs>
          <w:tab w:val="left" w:pos="1440"/>
          <w:tab w:val="left" w:pos="2880"/>
          <w:tab w:val="left" w:pos="4320"/>
          <w:tab w:val="left" w:pos="5760"/>
          <w:tab w:val="left" w:pos="7200"/>
          <w:tab w:val="left" w:pos="8640"/>
        </w:tabs>
        <w:spacing w:line="480" w:lineRule="atLeast"/>
      </w:pPr>
      <w:r>
        <w:tab/>
      </w:r>
      <w:r w:rsidR="00C448DD" w:rsidRPr="00525537">
        <w:t>Initially, the trial court certified subclass</w:t>
      </w:r>
      <w:r w:rsidR="0036293A" w:rsidRPr="00525537">
        <w:t>es</w:t>
      </w:r>
      <w:r w:rsidR="00C448DD" w:rsidRPr="00525537">
        <w:t xml:space="preserve"> for the Dyer/Derian meal period claims, stating there were common issues as to whether plaintiffs were “provided timely first meal periods</w:t>
      </w:r>
      <w:r w:rsidR="00D26EAB">
        <w:t>”</w:t>
      </w:r>
      <w:r w:rsidR="00C448DD" w:rsidRPr="00525537">
        <w:t xml:space="preserve"> and/or </w:t>
      </w:r>
      <w:r w:rsidR="00D26EAB">
        <w:t>“</w:t>
      </w:r>
      <w:r w:rsidR="00C448DD" w:rsidRPr="00525537">
        <w:t>deprived of second meal periods</w:t>
      </w:r>
      <w:r w:rsidR="00D26EAB">
        <w:t>.</w:t>
      </w:r>
      <w:r w:rsidR="00C448DD" w:rsidRPr="00525537">
        <w:t>”</w:t>
      </w:r>
      <w:r w:rsidR="00D26EAB">
        <w:t xml:space="preserve"> </w:t>
      </w:r>
      <w:r w:rsidR="00FB3CDB" w:rsidRPr="00525537">
        <w:t xml:space="preserve"> But f</w:t>
      </w:r>
      <w:r w:rsidRPr="00525537">
        <w:t>ollowing the presentation of evidence at trial, the court decertified the</w:t>
      </w:r>
      <w:r w:rsidR="0003168B" w:rsidRPr="00525537">
        <w:t>se</w:t>
      </w:r>
      <w:r w:rsidRPr="00525537">
        <w:t xml:space="preserve"> subclass</w:t>
      </w:r>
      <w:r w:rsidR="0003168B" w:rsidRPr="00525537">
        <w:t>es</w:t>
      </w:r>
      <w:r w:rsidR="0039366B" w:rsidRPr="00525537">
        <w:t xml:space="preserve">, finding </w:t>
      </w:r>
      <w:r w:rsidRPr="00525537">
        <w:t>too many individualized issues</w:t>
      </w:r>
      <w:r w:rsidR="00415A87" w:rsidRPr="00525537">
        <w:t xml:space="preserve"> to support class treatment</w:t>
      </w:r>
      <w:r w:rsidRPr="00525537">
        <w:t>.</w:t>
      </w:r>
      <w:r>
        <w:rPr>
          <w:rStyle w:val="FootnoteReference"/>
        </w:rPr>
        <w:footnoteReference w:id="11"/>
      </w:r>
      <w:r w:rsidR="00415A87" w:rsidRPr="00525537">
        <w:t xml:space="preserve"> </w:t>
      </w:r>
      <w:r w:rsidRPr="001A216D">
        <w:t xml:space="preserve"> Plaintiffs argue this decision </w:t>
      </w:r>
      <w:r w:rsidR="004D4C49">
        <w:t>must be reversed</w:t>
      </w:r>
      <w:r w:rsidRPr="001A216D">
        <w:t xml:space="preserve">.  </w:t>
      </w:r>
      <w:r w:rsidR="0052015F" w:rsidRPr="001A216D">
        <w:t>We agree</w:t>
      </w:r>
      <w:r w:rsidR="00D81CD3" w:rsidRPr="001A216D">
        <w:t>.</w:t>
      </w:r>
      <w:r w:rsidR="00891199">
        <w:t xml:space="preserve">  When the trial court made its </w:t>
      </w:r>
      <w:r w:rsidR="00111C24">
        <w:t>ruling</w:t>
      </w:r>
      <w:r w:rsidR="00891199">
        <w:t>, it did not have the benefit of</w:t>
      </w:r>
      <w:r w:rsidR="00630577">
        <w:t xml:space="preserve"> </w:t>
      </w:r>
      <w:r w:rsidR="00891199" w:rsidRPr="00891199">
        <w:rPr>
          <w:i/>
          <w:iCs/>
        </w:rPr>
        <w:t>Donohue</w:t>
      </w:r>
      <w:r w:rsidR="002F2D63">
        <w:t xml:space="preserve">, </w:t>
      </w:r>
      <w:r w:rsidR="00630577">
        <w:t>which</w:t>
      </w:r>
      <w:r w:rsidR="00B9605E">
        <w:t xml:space="preserve"> </w:t>
      </w:r>
      <w:r w:rsidR="00C822A4">
        <w:t>established a rebuttable presumption affect</w:t>
      </w:r>
      <w:r w:rsidR="00385821">
        <w:t>ing</w:t>
      </w:r>
      <w:r w:rsidR="00C822A4">
        <w:t xml:space="preserve"> the burden of proof </w:t>
      </w:r>
      <w:r w:rsidR="00982851">
        <w:t>on these claims</w:t>
      </w:r>
      <w:r w:rsidR="00C822A4">
        <w:t xml:space="preserve">.  </w:t>
      </w:r>
      <w:r w:rsidR="00054E72">
        <w:t>(</w:t>
      </w:r>
      <w:r w:rsidR="00054E72" w:rsidRPr="00054E72">
        <w:rPr>
          <w:i/>
          <w:iCs/>
        </w:rPr>
        <w:t>Donohue</w:t>
      </w:r>
      <w:r w:rsidR="00054E72">
        <w:t xml:space="preserve">, </w:t>
      </w:r>
      <w:r w:rsidR="00054E72" w:rsidRPr="00054E72">
        <w:rPr>
          <w:i/>
          <w:iCs/>
        </w:rPr>
        <w:t>supra</w:t>
      </w:r>
      <w:r w:rsidR="00054E72">
        <w:t>, 11 Cal.5th at p. 61.)</w:t>
      </w:r>
      <w:r w:rsidR="00385821">
        <w:t xml:space="preserve">  </w:t>
      </w:r>
      <w:r w:rsidR="001B11B6">
        <w:t>W</w:t>
      </w:r>
      <w:r w:rsidR="00385821">
        <w:t xml:space="preserve">e </w:t>
      </w:r>
      <w:r w:rsidR="00CA37CC">
        <w:t xml:space="preserve">reverse </w:t>
      </w:r>
      <w:r w:rsidR="00901495">
        <w:t xml:space="preserve">the court’s decertification </w:t>
      </w:r>
      <w:r w:rsidR="00CA37CC">
        <w:t xml:space="preserve">order and </w:t>
      </w:r>
      <w:r w:rsidR="00385821">
        <w:t>remand this case so the</w:t>
      </w:r>
      <w:r w:rsidR="00944501">
        <w:t>se claims</w:t>
      </w:r>
      <w:r w:rsidR="00385821">
        <w:t xml:space="preserve"> may be retried </w:t>
      </w:r>
      <w:r w:rsidR="0007467C">
        <w:t xml:space="preserve">in light of </w:t>
      </w:r>
      <w:r w:rsidR="00385821">
        <w:t xml:space="preserve">the </w:t>
      </w:r>
      <w:r w:rsidR="00385821" w:rsidRPr="00385821">
        <w:rPr>
          <w:i/>
          <w:iCs/>
        </w:rPr>
        <w:t>Donohue</w:t>
      </w:r>
      <w:r w:rsidR="00385821">
        <w:t xml:space="preserve"> presumption.</w:t>
      </w:r>
    </w:p>
    <w:p w14:paraId="12474C91" w14:textId="39B11350" w:rsidR="000F6ED5" w:rsidRDefault="00432A9A" w:rsidP="002E679B">
      <w:pPr>
        <w:keepNext/>
        <w:tabs>
          <w:tab w:val="left" w:pos="1440"/>
          <w:tab w:val="left" w:pos="2880"/>
          <w:tab w:val="left" w:pos="4320"/>
          <w:tab w:val="left" w:pos="5760"/>
          <w:tab w:val="left" w:pos="7200"/>
          <w:tab w:val="left" w:pos="8640"/>
        </w:tabs>
        <w:spacing w:line="480" w:lineRule="atLeast"/>
      </w:pPr>
      <w:r>
        <w:tab/>
      </w:r>
      <w:r w:rsidR="007913E7" w:rsidRPr="007913E7">
        <w:t>“The party advocating class treatment must demonstrate the existence of an ascertainable and sufficiently numerous class, a well-defined community of interest, and substantial benefits from certification that render proceeding as a class superior to the alternatives.  [Citations.]  ‘In turn, the “community of interest requirement embodies three factors: (1) predominant common questions of law or fact; (2) class representatives with claims or defenses typical of the class; and (3) class representatives who can adequately represent the class.”’”  (</w:t>
      </w:r>
      <w:r w:rsidR="007913E7" w:rsidRPr="007913E7">
        <w:rPr>
          <w:i/>
          <w:iCs/>
        </w:rPr>
        <w:t>Brinker</w:t>
      </w:r>
      <w:r w:rsidR="007913E7" w:rsidRPr="007913E7">
        <w:t xml:space="preserve">, </w:t>
      </w:r>
      <w:r w:rsidR="007913E7" w:rsidRPr="007913E7">
        <w:rPr>
          <w:i/>
          <w:iCs/>
        </w:rPr>
        <w:t>supra</w:t>
      </w:r>
      <w:r w:rsidR="007913E7" w:rsidRPr="007913E7">
        <w:t>, 53 Cal.4th at p. 1021.)</w:t>
      </w:r>
      <w:r>
        <w:t xml:space="preserve"> </w:t>
      </w:r>
      <w:r w:rsidR="00F744FB">
        <w:t xml:space="preserve"> </w:t>
      </w:r>
      <w:r w:rsidR="007913E7" w:rsidRPr="007913E7">
        <w:t>“In an exception to a customary rule of appellate practice, we review the court’s rationale for its order.  (The customary rule is to review the result of the court</w:t>
      </w:r>
      <w:r w:rsidR="00E41433">
        <w:t>’</w:t>
      </w:r>
      <w:r w:rsidR="007913E7" w:rsidRPr="007913E7">
        <w:t xml:space="preserve">s order, </w:t>
      </w:r>
      <w:r w:rsidR="007913E7" w:rsidRPr="007913E7">
        <w:rPr>
          <w:i/>
          <w:iCs/>
        </w:rPr>
        <w:t>not</w:t>
      </w:r>
      <w:r w:rsidR="007913E7" w:rsidRPr="007913E7">
        <w:t xml:space="preserve"> its rationale.)  [Citations</w:t>
      </w:r>
      <w:bookmarkStart w:id="5" w:name="_Hlk93399292"/>
      <w:r w:rsidR="007913E7" w:rsidRPr="007913E7">
        <w:t xml:space="preserve">.]  We thus review only the reasons the court stated for its order, and we reverse </w:t>
      </w:r>
      <w:r w:rsidR="007913E7" w:rsidRPr="007913E7">
        <w:lastRenderedPageBreak/>
        <w:t>if those reasons do not support the order.”  (</w:t>
      </w:r>
      <w:r w:rsidR="007913E7" w:rsidRPr="007913E7">
        <w:rPr>
          <w:i/>
          <w:iCs/>
        </w:rPr>
        <w:t>Williams v. Superior Court</w:t>
      </w:r>
      <w:r w:rsidR="007913E7" w:rsidRPr="007913E7">
        <w:t xml:space="preserve"> (2013) 221 Cal.App.4th 1353, 1361.)</w:t>
      </w:r>
      <w:bookmarkEnd w:id="5"/>
    </w:p>
    <w:p w14:paraId="75554CBE" w14:textId="0DCDE2C7" w:rsidR="00344C42" w:rsidRPr="000405EE" w:rsidRDefault="00432A9A" w:rsidP="00344C42">
      <w:pPr>
        <w:keepNext/>
        <w:tabs>
          <w:tab w:val="left" w:pos="1440"/>
          <w:tab w:val="left" w:pos="2880"/>
          <w:tab w:val="left" w:pos="4320"/>
          <w:tab w:val="left" w:pos="5760"/>
          <w:tab w:val="left" w:pos="7200"/>
          <w:tab w:val="left" w:pos="8640"/>
        </w:tabs>
        <w:spacing w:line="480" w:lineRule="atLeast"/>
      </w:pPr>
      <w:r>
        <w:tab/>
      </w:r>
      <w:r w:rsidRPr="007913E7">
        <w:t xml:space="preserve">Here, the </w:t>
      </w:r>
      <w:r>
        <w:t xml:space="preserve">court’s decertification order was based on a finding that the </w:t>
      </w:r>
      <w:r w:rsidR="0090703C" w:rsidRPr="00525537">
        <w:t>Dyer/Derian</w:t>
      </w:r>
      <w:r w:rsidR="0090703C">
        <w:t xml:space="preserve"> </w:t>
      </w:r>
      <w:r>
        <w:t>meal period claims involved too many indiv</w:t>
      </w:r>
      <w:r>
        <w:t xml:space="preserve">idualized issues, </w:t>
      </w:r>
      <w:r w:rsidRPr="00D26EAB">
        <w:t>i.e.</w:t>
      </w:r>
      <w:r>
        <w:t xml:space="preserve">, the claims lacked predominant common questions.  Central to the court’s analysis was its belief that employee choice was a significant factor with respect to late </w:t>
      </w:r>
      <w:r w:rsidR="00421871">
        <w:t xml:space="preserve">and missed </w:t>
      </w:r>
      <w:r>
        <w:t xml:space="preserve">meal breaks.  As </w:t>
      </w:r>
      <w:r w:rsidR="003D20C3">
        <w:t xml:space="preserve">to the </w:t>
      </w:r>
      <w:r>
        <w:t xml:space="preserve">late first meal periods, </w:t>
      </w:r>
      <w:r w:rsidR="00A13D2B">
        <w:t xml:space="preserve">it found </w:t>
      </w:r>
      <w:r>
        <w:t xml:space="preserve">“[t]he evidence submitted at trial showed wide variations among different departments, shifts, and job positions regarding the timing of first meal breaks.”  The court noted that “[p]laintiffs’ position is that despite those wide variations, every time an </w:t>
      </w:r>
      <w:r>
        <w:t xml:space="preserve">employee took a late meal it was because Royalty would not allow the employee to take a timely meal but insisted that the employee be relieved by another employee or finish their work before taking the meal.”  </w:t>
      </w:r>
      <w:r w:rsidR="00A13D2B">
        <w:t>But t</w:t>
      </w:r>
      <w:r>
        <w:t>he court credited evidence showing “vario</w:t>
      </w:r>
      <w:r>
        <w:t>us employees did not need to be relieved or finish their work in order to take a meal break</w:t>
      </w:r>
      <w:r w:rsidR="001C7797">
        <w:t>”</w:t>
      </w:r>
      <w:r>
        <w:t xml:space="preserve"> and </w:t>
      </w:r>
      <w:r w:rsidR="001C7797">
        <w:t xml:space="preserve">concluded </w:t>
      </w:r>
      <w:r>
        <w:t xml:space="preserve">that employee choice was a significant factor </w:t>
      </w:r>
      <w:r w:rsidR="001C7797">
        <w:t xml:space="preserve">leading to late </w:t>
      </w:r>
      <w:r>
        <w:t xml:space="preserve">meal breaks.  </w:t>
      </w:r>
      <w:r w:rsidR="00F904BF">
        <w:t>“</w:t>
      </w:r>
      <w:r>
        <w:t>The issue of employee choice compels the conclusion that different depar</w:t>
      </w:r>
      <w:r>
        <w:t xml:space="preserve">tments, job positions, and/or shifts, and the various work duties/needs of those different departments, </w:t>
      </w:r>
      <w:r w:rsidR="00D26EAB">
        <w:t>j</w:t>
      </w:r>
      <w:r>
        <w:t>ob positions, and/or shifts, handled meal breaks differently.  [T]hese realities cut against class treatment</w:t>
      </w:r>
      <w:r w:rsidR="00D26EAB">
        <w:t xml:space="preserve"> </w:t>
      </w:r>
      <w:r>
        <w:t>.</w:t>
      </w:r>
      <w:r w:rsidR="00D26EAB">
        <w:t xml:space="preserve"> . . .</w:t>
      </w:r>
      <w:r>
        <w:t>”</w:t>
      </w:r>
    </w:p>
    <w:p w14:paraId="646E075D" w14:textId="3B9B29DD" w:rsidR="00344C42" w:rsidRDefault="00432A9A" w:rsidP="00344C42">
      <w:pPr>
        <w:keepNext/>
        <w:tabs>
          <w:tab w:val="left" w:pos="1440"/>
          <w:tab w:val="left" w:pos="2880"/>
          <w:tab w:val="left" w:pos="4320"/>
          <w:tab w:val="left" w:pos="5760"/>
          <w:tab w:val="left" w:pos="7200"/>
          <w:tab w:val="left" w:pos="8640"/>
        </w:tabs>
        <w:spacing w:line="480" w:lineRule="atLeast"/>
      </w:pPr>
      <w:r>
        <w:tab/>
        <w:t>As to the missed second meal per</w:t>
      </w:r>
      <w:r>
        <w:t xml:space="preserve">iods, the court explained, “[t]he evidence shows that employee choice was a significant factor with respect to taking second meal breaks, and that some employees wanted to skip second meal breaks so that they could leave earlier at the end of the day.  By </w:t>
      </w:r>
      <w:r>
        <w:t>illustration, 30 percent of the workdays over 10 hours did not exceed 10 hours and 15 minutes.  Accordingly, the second meal break subclass presents too many individualized issues to support class treatment.”</w:t>
      </w:r>
    </w:p>
    <w:p w14:paraId="5CBD0F48" w14:textId="5FEBDB08" w:rsidR="00911BB2" w:rsidRDefault="00432A9A" w:rsidP="00344C42">
      <w:pPr>
        <w:keepNext/>
        <w:tabs>
          <w:tab w:val="left" w:pos="1440"/>
          <w:tab w:val="left" w:pos="2880"/>
          <w:tab w:val="left" w:pos="4320"/>
          <w:tab w:val="left" w:pos="5760"/>
          <w:tab w:val="left" w:pos="7200"/>
          <w:tab w:val="left" w:pos="8640"/>
        </w:tabs>
        <w:spacing w:line="480" w:lineRule="atLeast"/>
      </w:pPr>
      <w:r>
        <w:tab/>
      </w:r>
      <w:r>
        <w:t xml:space="preserve">Where a certification ruling is based on predominance of common questions, </w:t>
      </w:r>
      <w:r w:rsidR="00D26EAB">
        <w:t>“</w:t>
      </w:r>
      <w:r>
        <w:t>t</w:t>
      </w:r>
      <w:r w:rsidRPr="00A00552">
        <w:t xml:space="preserve">he ‘ultimate question’ </w:t>
      </w:r>
      <w:r>
        <w:t xml:space="preserve">. . . </w:t>
      </w:r>
      <w:r w:rsidRPr="00A00552">
        <w:t xml:space="preserve">is whether ‘the issues which may be jointly tried, when compared with those requiring separate adjudication, are so numerous or </w:t>
      </w:r>
      <w:r w:rsidRPr="00A00552">
        <w:lastRenderedPageBreak/>
        <w:t>substantial that the m</w:t>
      </w:r>
      <w:r w:rsidRPr="00A00552">
        <w:t xml:space="preserve">aintenance of a class action would be advantageous to the judicial process and to the litigants.’  [Citations.]  ‘The answer hinges on “whether the theory of recovery advanced by the proponents of certification is, as an analytical matter, likely to prove </w:t>
      </w:r>
      <w:r w:rsidRPr="00A00552">
        <w:t xml:space="preserve">amenable to class treatment.” </w:t>
      </w:r>
      <w:r>
        <w:t xml:space="preserve"> </w:t>
      </w:r>
      <w:r w:rsidRPr="00A00552">
        <w:t>[Citation</w:t>
      </w:r>
      <w:r w:rsidR="00D26EAB">
        <w:t>.</w:t>
      </w:r>
      <w:r w:rsidRPr="00A00552">
        <w:t>] . . .</w:t>
      </w:r>
      <w:r w:rsidR="00D26EAB">
        <w:t xml:space="preserve"> </w:t>
      </w:r>
      <w:r w:rsidRPr="00A00552">
        <w:t xml:space="preserve"> “As a general rule if the defendant</w:t>
      </w:r>
      <w:r>
        <w:t>’</w:t>
      </w:r>
      <w:r w:rsidRPr="00A00552">
        <w:t>s liability can be determined by facts common to all members of the class, a class will be certified even if the members must individually prove their damages.”  [Citatio</w:t>
      </w:r>
      <w:r w:rsidRPr="00A00552">
        <w:t xml:space="preserve">ns.]’  However, </w:t>
      </w:r>
      <w:r>
        <w:t xml:space="preserve">. . . </w:t>
      </w:r>
      <w:r w:rsidRPr="00A00552">
        <w:t xml:space="preserve">class treatment is not appropriate ‘if every member of the alleged class would be required to litigate numerous and substantial questions determining his individual right to recover following the “class judgment”’ on common issues.”  </w:t>
      </w:r>
      <w:r w:rsidRPr="00A00552">
        <w:t>(</w:t>
      </w:r>
      <w:r w:rsidRPr="004B0C56">
        <w:rPr>
          <w:i/>
          <w:iCs/>
        </w:rPr>
        <w:t>Duran v. U.S. Bank National Assn.</w:t>
      </w:r>
      <w:r w:rsidR="00D26EAB">
        <w:t xml:space="preserve">, </w:t>
      </w:r>
      <w:r w:rsidR="00D26EAB">
        <w:rPr>
          <w:i/>
          <w:iCs/>
        </w:rPr>
        <w:t>supra</w:t>
      </w:r>
      <w:r w:rsidR="00D26EAB">
        <w:t>,</w:t>
      </w:r>
      <w:r w:rsidRPr="00A00552">
        <w:t xml:space="preserve"> 59 Cal.4th </w:t>
      </w:r>
      <w:r w:rsidR="00D26EAB">
        <w:t>at p.</w:t>
      </w:r>
      <w:r w:rsidRPr="00A00552">
        <w:t xml:space="preserve"> 28.)</w:t>
      </w:r>
      <w:r>
        <w:t xml:space="preserve">  In other words, </w:t>
      </w:r>
      <w:r w:rsidRPr="007B71B1">
        <w:t>“</w:t>
      </w:r>
      <w:r>
        <w:t>[t]</w:t>
      </w:r>
      <w:r w:rsidRPr="007B71B1">
        <w:t xml:space="preserve">he granting of class certification </w:t>
      </w:r>
      <w:r>
        <w:t xml:space="preserve">. . . </w:t>
      </w:r>
      <w:r w:rsidRPr="007B71B1">
        <w:t>requires a determination that group, rather than individual, issues predominate.”  (</w:t>
      </w:r>
      <w:r>
        <w:rPr>
          <w:i/>
          <w:iCs/>
        </w:rPr>
        <w:t>Ibid</w:t>
      </w:r>
      <w:r w:rsidRPr="007B71B1">
        <w:t>.)</w:t>
      </w:r>
    </w:p>
    <w:p w14:paraId="5CA6503A" w14:textId="4F0A6CF5" w:rsidR="00E94A08" w:rsidRDefault="00432A9A" w:rsidP="00344C42">
      <w:pPr>
        <w:keepNext/>
        <w:tabs>
          <w:tab w:val="left" w:pos="1440"/>
          <w:tab w:val="left" w:pos="2880"/>
          <w:tab w:val="left" w:pos="4320"/>
          <w:tab w:val="left" w:pos="5760"/>
          <w:tab w:val="left" w:pos="7200"/>
          <w:tab w:val="left" w:pos="8640"/>
        </w:tabs>
        <w:spacing w:line="480" w:lineRule="atLeast"/>
      </w:pPr>
      <w:r>
        <w:tab/>
      </w:r>
      <w:r w:rsidR="00366785">
        <w:t xml:space="preserve">The court’s </w:t>
      </w:r>
      <w:r w:rsidR="00A13D2B">
        <w:t xml:space="preserve">decertification </w:t>
      </w:r>
      <w:r w:rsidR="00366785">
        <w:t xml:space="preserve">order is </w:t>
      </w:r>
      <w:r w:rsidR="00C50103">
        <w:t>review</w:t>
      </w:r>
      <w:r w:rsidR="00366785">
        <w:t>ed</w:t>
      </w:r>
      <w:r w:rsidR="00C50103">
        <w:t xml:space="preserve"> </w:t>
      </w:r>
      <w:r w:rsidR="00205293" w:rsidRPr="00402171">
        <w:t xml:space="preserve">for </w:t>
      </w:r>
      <w:r w:rsidR="008B7B33">
        <w:t xml:space="preserve">an </w:t>
      </w:r>
      <w:r w:rsidR="00205293" w:rsidRPr="00402171">
        <w:t>abuse of discretion.  (</w:t>
      </w:r>
      <w:r w:rsidR="00205293" w:rsidRPr="00402171">
        <w:rPr>
          <w:i/>
          <w:iCs/>
        </w:rPr>
        <w:t>Dynamex Operations W. v. Superior Court</w:t>
      </w:r>
      <w:r w:rsidR="00205293" w:rsidRPr="00402171">
        <w:t xml:space="preserve"> (2018) 4 Cal.5th 903, 942</w:t>
      </w:r>
      <w:r w:rsidR="0005024A">
        <w:t>,</w:t>
      </w:r>
      <w:r w:rsidR="00205293" w:rsidRPr="00402171">
        <w:t xml:space="preserve"> fn. 16.)  </w:t>
      </w:r>
      <w:r w:rsidR="0078272A">
        <w:t xml:space="preserve">It </w:t>
      </w:r>
      <w:r w:rsidR="00205293" w:rsidRPr="00402171">
        <w:t xml:space="preserve">“‘generally will not be disturbed unless (1) it is unsupported by substantial evidence, (2) it rests on improper criteria, or (3) it rests on erroneous legal assumptions.’”  </w:t>
      </w:r>
      <w:r w:rsidR="00C07CB2" w:rsidRPr="00402171">
        <w:t>(</w:t>
      </w:r>
      <w:r w:rsidR="00C07CB2" w:rsidRPr="00402171">
        <w:rPr>
          <w:i/>
          <w:iCs/>
        </w:rPr>
        <w:t>Brinker</w:t>
      </w:r>
      <w:r w:rsidR="00C07CB2" w:rsidRPr="00402171">
        <w:t xml:space="preserve">, </w:t>
      </w:r>
      <w:r w:rsidR="00C07CB2" w:rsidRPr="00402171">
        <w:rPr>
          <w:i/>
          <w:iCs/>
        </w:rPr>
        <w:t>supra</w:t>
      </w:r>
      <w:r w:rsidR="00C07CB2" w:rsidRPr="00402171">
        <w:t>, 53 Cal.4th at p.</w:t>
      </w:r>
      <w:r w:rsidR="00205293" w:rsidRPr="00402171">
        <w:t>10</w:t>
      </w:r>
      <w:r w:rsidR="0005024A">
        <w:t>22</w:t>
      </w:r>
      <w:r w:rsidR="00205293" w:rsidRPr="00402171">
        <w:t xml:space="preserve">.)  As to the </w:t>
      </w:r>
      <w:r w:rsidR="00A13D2B">
        <w:t xml:space="preserve">latter two </w:t>
      </w:r>
      <w:r w:rsidR="00A07D98">
        <w:t>ground</w:t>
      </w:r>
      <w:r w:rsidR="00A13D2B">
        <w:t>s</w:t>
      </w:r>
      <w:r w:rsidR="00205293" w:rsidRPr="00402171">
        <w:t>, “‘“[a]ll exercises of discretion must be guided by applicable legal principles . . . .</w:t>
      </w:r>
      <w:r w:rsidR="0005024A">
        <w:t xml:space="preserve"> </w:t>
      </w:r>
      <w:r w:rsidR="00205293" w:rsidRPr="00402171">
        <w:t xml:space="preserve"> [Citations.]  If the court’s decision is influenced by an erroneous understanding of applicable law or reflects an unawareness of the full scope of its discretion, the court has not properly exercised its discretion under the law.  [Citation.]  Therefore, a discretionary order based on an application of improper criteria or incorrect legal assumptions is not an exercise of informed discretion and is </w:t>
      </w:r>
      <w:r w:rsidR="00205293" w:rsidRPr="00402171">
        <w:lastRenderedPageBreak/>
        <w:t>subject to reversal.”’”  (</w:t>
      </w:r>
      <w:r w:rsidR="00205293" w:rsidRPr="00402171">
        <w:rPr>
          <w:i/>
          <w:iCs/>
        </w:rPr>
        <w:t>Kramer v. Traditional Escrow, Inc.</w:t>
      </w:r>
      <w:r w:rsidR="00205293" w:rsidRPr="00402171">
        <w:t xml:space="preserve"> (2020) 56 Cal.App.5th 13, 27.)</w:t>
      </w:r>
    </w:p>
    <w:p w14:paraId="09665B60" w14:textId="5B16172F" w:rsidR="00A0269A" w:rsidRDefault="00432A9A" w:rsidP="0005024A">
      <w:pPr>
        <w:pStyle w:val="ListParagraph"/>
        <w:keepNext/>
        <w:tabs>
          <w:tab w:val="left" w:pos="1440"/>
          <w:tab w:val="left" w:pos="2880"/>
          <w:tab w:val="left" w:pos="4320"/>
          <w:tab w:val="left" w:pos="5760"/>
          <w:tab w:val="left" w:pos="7200"/>
          <w:tab w:val="left" w:pos="8640"/>
        </w:tabs>
        <w:spacing w:before="360" w:line="480" w:lineRule="atLeast"/>
        <w:ind w:left="1800" w:hanging="360"/>
      </w:pPr>
      <w:r>
        <w:rPr>
          <w:i/>
          <w:iCs/>
        </w:rPr>
        <w:t xml:space="preserve">2.  </w:t>
      </w:r>
      <w:r w:rsidRPr="00A0269A">
        <w:rPr>
          <w:i/>
          <w:iCs/>
        </w:rPr>
        <w:t>Analysis</w:t>
      </w:r>
    </w:p>
    <w:p w14:paraId="7FD8458C" w14:textId="2F8CE8B5" w:rsidR="00503319" w:rsidRPr="00402171" w:rsidRDefault="00432A9A" w:rsidP="00320779">
      <w:pPr>
        <w:keepNext/>
        <w:tabs>
          <w:tab w:val="left" w:pos="1440"/>
          <w:tab w:val="left" w:pos="2880"/>
          <w:tab w:val="left" w:pos="4320"/>
          <w:tab w:val="left" w:pos="5760"/>
          <w:tab w:val="left" w:pos="7200"/>
          <w:tab w:val="left" w:pos="8640"/>
        </w:tabs>
        <w:spacing w:line="480" w:lineRule="atLeast"/>
      </w:pPr>
      <w:r>
        <w:tab/>
      </w:r>
      <w:r w:rsidRPr="00402171">
        <w:t xml:space="preserve">In the wage and hour context, a class </w:t>
      </w:r>
      <w:r w:rsidRPr="00402171">
        <w:t xml:space="preserve">may establish commonality by showing a uniform policy or practice that causes members to miss or take late meal breaks.  (See </w:t>
      </w:r>
      <w:r w:rsidRPr="00402171">
        <w:rPr>
          <w:i/>
          <w:iCs/>
        </w:rPr>
        <w:t>Brinker</w:t>
      </w:r>
      <w:r w:rsidRPr="00402171">
        <w:t xml:space="preserve">, </w:t>
      </w:r>
      <w:r w:rsidRPr="00402171">
        <w:rPr>
          <w:i/>
          <w:iCs/>
        </w:rPr>
        <w:t>supra</w:t>
      </w:r>
      <w:r w:rsidRPr="00402171">
        <w:t xml:space="preserve">, 53 Cal.4th at pp. 1051-1052; </w:t>
      </w:r>
      <w:r w:rsidR="00777C0D" w:rsidRPr="00402171">
        <w:rPr>
          <w:i/>
          <w:iCs/>
        </w:rPr>
        <w:t>Lampe v. Queen of the Valley Medical Center</w:t>
      </w:r>
      <w:r w:rsidRPr="00402171">
        <w:t xml:space="preserve">, </w:t>
      </w:r>
      <w:r w:rsidRPr="00402171">
        <w:rPr>
          <w:i/>
          <w:iCs/>
        </w:rPr>
        <w:t>supra</w:t>
      </w:r>
      <w:r w:rsidRPr="00402171">
        <w:t xml:space="preserve">, 19 Cal.App.5th at pp. </w:t>
      </w:r>
      <w:r w:rsidRPr="00402171">
        <w:t>848-849.)  Here, Royalty’s employee handbook during the relevant time period contained a lawful policy for scheduling first meal periods:  “[Royalty] will provide you a thirty minute (30) meal period if you work more than five (5) hours in a workday. . . .</w:t>
      </w:r>
      <w:r w:rsidRPr="00402171">
        <w:t xml:space="preserve">  Your supervisor will schedule your meal period approximately between the 3rd and 5th hour of work.”</w:t>
      </w:r>
      <w:r w:rsidR="0005024A">
        <w:t xml:space="preserve"> </w:t>
      </w:r>
      <w:r w:rsidRPr="00402171">
        <w:t xml:space="preserve"> Likewise, the handbook state</w:t>
      </w:r>
      <w:r w:rsidR="00A13D2B">
        <w:t>d</w:t>
      </w:r>
      <w:r w:rsidRPr="00402171">
        <w:t xml:space="preserve"> it was Royalty’s policy to provide second meal breaks:  “[Royalty] will provide you a second meal period of thirty minutes </w:t>
      </w:r>
      <w:r w:rsidRPr="00402171">
        <w:t>(30) if you work more than ten (10) hours in a workday.”  Nonetheless, “the mere existence of a lawful break policy will not defeat class certification in the face of actual contravening policies and practices that, as a practical matter, undermine the wri</w:t>
      </w:r>
      <w:r w:rsidRPr="00402171">
        <w:t>tten policy and do not permit breaks.”  (</w:t>
      </w:r>
      <w:r w:rsidRPr="00402171">
        <w:rPr>
          <w:i/>
          <w:iCs/>
        </w:rPr>
        <w:t>Alberts v. Aurora Behavioral Health Care</w:t>
      </w:r>
      <w:r w:rsidRPr="00402171">
        <w:t xml:space="preserve"> (2015) 241 Cal.App.4th 388, 406</w:t>
      </w:r>
      <w:r w:rsidR="0005024A">
        <w:t>-407</w:t>
      </w:r>
      <w:r w:rsidRPr="00402171">
        <w:t>.)</w:t>
      </w:r>
    </w:p>
    <w:p w14:paraId="2F94A9F5" w14:textId="30F78ADB" w:rsidR="00503319" w:rsidRPr="00402171" w:rsidRDefault="00432A9A" w:rsidP="00503319">
      <w:pPr>
        <w:tabs>
          <w:tab w:val="left" w:pos="1440"/>
          <w:tab w:val="left" w:pos="2880"/>
          <w:tab w:val="left" w:pos="4320"/>
          <w:tab w:val="left" w:pos="5760"/>
          <w:tab w:val="left" w:pos="7200"/>
          <w:tab w:val="left" w:pos="8640"/>
        </w:tabs>
        <w:spacing w:line="480" w:lineRule="atLeast"/>
      </w:pPr>
      <w:r w:rsidRPr="00402171">
        <w:tab/>
        <w:t xml:space="preserve">Faced with Royalty’s written policies, plaintiffs’ theory of liability </w:t>
      </w:r>
      <w:r w:rsidR="00647A30" w:rsidRPr="00402171">
        <w:t xml:space="preserve">at trial </w:t>
      </w:r>
      <w:r w:rsidRPr="00402171">
        <w:t>center</w:t>
      </w:r>
      <w:r w:rsidR="00647A30" w:rsidRPr="00402171">
        <w:t>ed</w:t>
      </w:r>
      <w:r w:rsidRPr="00402171">
        <w:t xml:space="preserve"> around </w:t>
      </w:r>
      <w:r w:rsidR="00E64400">
        <w:t>informal policy</w:t>
      </w:r>
      <w:r w:rsidRPr="00402171">
        <w:t xml:space="preserve">.  </w:t>
      </w:r>
      <w:r w:rsidR="00EC0D22">
        <w:t>T</w:t>
      </w:r>
      <w:r w:rsidRPr="00402171">
        <w:t>hey argue</w:t>
      </w:r>
      <w:r w:rsidR="00405059" w:rsidRPr="00402171">
        <w:t>d</w:t>
      </w:r>
      <w:r w:rsidRPr="00402171">
        <w:t xml:space="preserve"> superviso</w:t>
      </w:r>
      <w:r w:rsidRPr="00402171">
        <w:t>rs at Royalty controlled meal period decisions</w:t>
      </w:r>
      <w:r w:rsidR="001509F0" w:rsidRPr="00402171">
        <w:t xml:space="preserve"> and </w:t>
      </w:r>
      <w:r w:rsidRPr="00402171">
        <w:t>schedul</w:t>
      </w:r>
      <w:r w:rsidR="00C719B6">
        <w:t>ed</w:t>
      </w:r>
      <w:r w:rsidRPr="00402171">
        <w:t xml:space="preserve"> late first meal periods and </w:t>
      </w:r>
      <w:r w:rsidR="00C719B6">
        <w:t xml:space="preserve">failed to provide </w:t>
      </w:r>
      <w:r w:rsidRPr="00402171">
        <w:t xml:space="preserve">second meal periods.  </w:t>
      </w:r>
      <w:r w:rsidR="00596954">
        <w:t xml:space="preserve">In particular, </w:t>
      </w:r>
      <w:r w:rsidR="006D498A">
        <w:t xml:space="preserve">plaintiffs </w:t>
      </w:r>
      <w:r w:rsidR="00EC0D22">
        <w:t>claim</w:t>
      </w:r>
      <w:r w:rsidR="00F94AC5">
        <w:t>ed</w:t>
      </w:r>
      <w:r w:rsidR="00D33062">
        <w:t xml:space="preserve"> violations occurred </w:t>
      </w:r>
      <w:r w:rsidR="00E7465E">
        <w:t>based on a</w:t>
      </w:r>
      <w:r w:rsidR="000973AE">
        <w:t>n informal policy</w:t>
      </w:r>
      <w:r w:rsidR="00E7465E">
        <w:t xml:space="preserve"> requiring </w:t>
      </w:r>
      <w:r w:rsidR="00EC0D22">
        <w:t xml:space="preserve">employees to finish their work or be relieved by another employee prior to taking meal breaks.  </w:t>
      </w:r>
      <w:r w:rsidR="000F6FA7" w:rsidRPr="00402171">
        <w:t xml:space="preserve">They supported their </w:t>
      </w:r>
      <w:r w:rsidRPr="00402171">
        <w:t xml:space="preserve">theory </w:t>
      </w:r>
      <w:r w:rsidR="000F6FA7" w:rsidRPr="00402171">
        <w:t xml:space="preserve">with </w:t>
      </w:r>
      <w:r w:rsidRPr="00402171">
        <w:t>evidence of violation rates derived from timekeeping records.  Prior to the filing of this lawsuit in December 2013, there were late first meal violation rates of</w:t>
      </w:r>
      <w:r w:rsidRPr="00402171">
        <w:t xml:space="preserve"> 69 and 70 percent at Dyer and Derian, respectively.  After this lawsuit was filed, these violation rates dropped to 11 percent at Dyer and 7 </w:t>
      </w:r>
      <w:r w:rsidRPr="00402171">
        <w:lastRenderedPageBreak/>
        <w:t>percent at Derian.  Plaintiffs assert this sudden drop is evidence of employer control.  As for second meal period</w:t>
      </w:r>
      <w:r w:rsidRPr="00402171">
        <w:t xml:space="preserve">s, they were unrecorded 98 percent of the time at Dyer and 99.6 percent of the time at Derian.  </w:t>
      </w:r>
      <w:r w:rsidR="00CC5F89">
        <w:t>T</w:t>
      </w:r>
      <w:r w:rsidRPr="00402171">
        <w:t>hese rates remained the same after this lawsuit was filed.</w:t>
      </w:r>
    </w:p>
    <w:p w14:paraId="1FB81224" w14:textId="72CECD47" w:rsidR="00CC5612" w:rsidRPr="00402171" w:rsidRDefault="00432A9A" w:rsidP="00CC5612">
      <w:pPr>
        <w:tabs>
          <w:tab w:val="left" w:pos="1440"/>
          <w:tab w:val="left" w:pos="2880"/>
          <w:tab w:val="left" w:pos="4320"/>
          <w:tab w:val="left" w:pos="5760"/>
          <w:tab w:val="left" w:pos="7200"/>
          <w:tab w:val="left" w:pos="8640"/>
        </w:tabs>
        <w:spacing w:line="480" w:lineRule="atLeast"/>
      </w:pPr>
      <w:r w:rsidRPr="00402171">
        <w:tab/>
        <w:t xml:space="preserve">After the trial court </w:t>
      </w:r>
      <w:r w:rsidR="00C875F8" w:rsidRPr="00402171">
        <w:t xml:space="preserve">entered </w:t>
      </w:r>
      <w:r w:rsidRPr="00402171">
        <w:t>judgment</w:t>
      </w:r>
      <w:r w:rsidR="00D7270D">
        <w:t xml:space="preserve"> in this case</w:t>
      </w:r>
      <w:r w:rsidRPr="00402171">
        <w:t xml:space="preserve">, our Supreme Court </w:t>
      </w:r>
      <w:r w:rsidR="003B317D" w:rsidRPr="00402171">
        <w:t xml:space="preserve">decided </w:t>
      </w:r>
      <w:r w:rsidRPr="00402171">
        <w:rPr>
          <w:i/>
          <w:iCs/>
        </w:rPr>
        <w:t>Donohue</w:t>
      </w:r>
      <w:r w:rsidR="007F5166" w:rsidRPr="00402171">
        <w:t xml:space="preserve">, which </w:t>
      </w:r>
      <w:r w:rsidR="006F6CCB" w:rsidRPr="00402171">
        <w:t xml:space="preserve">discussed the </w:t>
      </w:r>
      <w:r w:rsidR="00FB34B3" w:rsidRPr="00402171">
        <w:t>use</w:t>
      </w:r>
      <w:r w:rsidR="00CB06C0" w:rsidRPr="00402171">
        <w:t xml:space="preserve"> </w:t>
      </w:r>
      <w:r w:rsidR="006F6CCB" w:rsidRPr="00402171">
        <w:t>of timekeeping records</w:t>
      </w:r>
      <w:r w:rsidR="006E0DB3" w:rsidRPr="00402171">
        <w:t xml:space="preserve"> in wage and hour class actions</w:t>
      </w:r>
      <w:r w:rsidR="00CB06C0" w:rsidRPr="00402171">
        <w:t xml:space="preserve">.  </w:t>
      </w:r>
      <w:r w:rsidR="00584AFE" w:rsidRPr="00402171">
        <w:t xml:space="preserve">It held that </w:t>
      </w:r>
      <w:r w:rsidR="005A6D81" w:rsidRPr="00402171">
        <w:t>“[</w:t>
      </w:r>
      <w:r w:rsidR="0006330A" w:rsidRPr="00402171">
        <w:t>i</w:t>
      </w:r>
      <w:r w:rsidR="005A6D81" w:rsidRPr="00402171">
        <w:t>]</w:t>
      </w:r>
      <w:r w:rsidR="00584AFE" w:rsidRPr="00402171">
        <w:t xml:space="preserve">f time records show missed, short, or delayed meal periods </w:t>
      </w:r>
      <w:r w:rsidR="005A6D81" w:rsidRPr="00402171">
        <w:t>with no indication</w:t>
      </w:r>
      <w:r w:rsidR="00946AFF" w:rsidRPr="00402171">
        <w:t xml:space="preserve">” that premium pay was provided, </w:t>
      </w:r>
      <w:r w:rsidR="008D4AF5" w:rsidRPr="00402171">
        <w:t xml:space="preserve">then a rebuttable presumption arises that the employee was not </w:t>
      </w:r>
      <w:r w:rsidR="00AE0792" w:rsidRPr="00402171">
        <w:t>provided a compliant meal period.  (</w:t>
      </w:r>
      <w:r w:rsidR="00AE0792" w:rsidRPr="00402171">
        <w:rPr>
          <w:i/>
          <w:iCs/>
        </w:rPr>
        <w:t>Donohue</w:t>
      </w:r>
      <w:r w:rsidR="00AE0792" w:rsidRPr="00402171">
        <w:t xml:space="preserve">, </w:t>
      </w:r>
      <w:r w:rsidR="00AE0792" w:rsidRPr="00402171">
        <w:rPr>
          <w:i/>
          <w:iCs/>
        </w:rPr>
        <w:t>supra</w:t>
      </w:r>
      <w:r w:rsidR="00AE0792" w:rsidRPr="00402171">
        <w:t xml:space="preserve">, 11 Cal.5th at p. 77; </w:t>
      </w:r>
      <w:r w:rsidR="00AE0792" w:rsidRPr="00402171">
        <w:rPr>
          <w:i/>
          <w:iCs/>
        </w:rPr>
        <w:t>id</w:t>
      </w:r>
      <w:r w:rsidR="00AE0792" w:rsidRPr="00402171">
        <w:t xml:space="preserve">. at p. </w:t>
      </w:r>
      <w:r w:rsidR="0091283C" w:rsidRPr="00402171">
        <w:t>74</w:t>
      </w:r>
      <w:r w:rsidR="00AE0792" w:rsidRPr="00402171">
        <w:t xml:space="preserve">.)  </w:t>
      </w:r>
      <w:r w:rsidR="00D41138" w:rsidRPr="00402171">
        <w:t>“The presumption derives from an employer’s duty to maintain accurate records of meal periods.”  (</w:t>
      </w:r>
      <w:r w:rsidR="00D41138" w:rsidRPr="00402171">
        <w:rPr>
          <w:i/>
          <w:iCs/>
        </w:rPr>
        <w:t>Id</w:t>
      </w:r>
      <w:r w:rsidR="00D41138" w:rsidRPr="00402171">
        <w:t>. at p. 76.)  “‘To place the burden elsewhere would offer an employer an incentive to avoid its recording duty and a potential windfall from the failure to record meal periods.’  [Citation.]  ‘“‘[W]here the employer has failed to keep records required by statute, the consequences for such failure should fall on the employer, not the employee.””</w:t>
      </w:r>
      <w:r w:rsidR="0005024A">
        <w:t>”</w:t>
      </w:r>
      <w:r w:rsidR="00D41138" w:rsidRPr="00402171">
        <w:t xml:space="preserve">  (</w:t>
      </w:r>
      <w:r w:rsidR="00D41138" w:rsidRPr="00402171">
        <w:rPr>
          <w:i/>
          <w:iCs/>
        </w:rPr>
        <w:t>Ibid</w:t>
      </w:r>
      <w:r w:rsidR="00D41138" w:rsidRPr="00402171">
        <w:t xml:space="preserve">.)  </w:t>
      </w:r>
      <w:r w:rsidR="00DE43EC" w:rsidRPr="00402171">
        <w:t xml:space="preserve">“Employers can rebut the presumption by presenting evidence that employees . . . had in fact been provided compliant meal periods during which they chose to work. </w:t>
      </w:r>
      <w:r w:rsidR="00B847E0" w:rsidRPr="00402171">
        <w:t xml:space="preserve"> </w:t>
      </w:r>
      <w:r w:rsidR="00DE43EC" w:rsidRPr="00402171">
        <w:t>‘Representative testimony, surveys, and statistical analysis,’ along with other types of evidence, ‘are available as tools to render manageable determinations of the extent of liability.’”  (</w:t>
      </w:r>
      <w:r w:rsidR="00DE43EC" w:rsidRPr="00402171">
        <w:rPr>
          <w:i/>
          <w:iCs/>
        </w:rPr>
        <w:t>Id</w:t>
      </w:r>
      <w:r w:rsidR="00DE43EC" w:rsidRPr="00402171">
        <w:t xml:space="preserve">. at p. </w:t>
      </w:r>
      <w:r w:rsidR="00C83620" w:rsidRPr="00402171">
        <w:t>77.)</w:t>
      </w:r>
    </w:p>
    <w:p w14:paraId="133121D4" w14:textId="0DEDECDA" w:rsidR="007A2995" w:rsidRDefault="00432A9A" w:rsidP="0039724A">
      <w:pPr>
        <w:tabs>
          <w:tab w:val="left" w:pos="1440"/>
          <w:tab w:val="left" w:pos="2880"/>
          <w:tab w:val="left" w:pos="4320"/>
          <w:tab w:val="left" w:pos="5760"/>
          <w:tab w:val="left" w:pos="7200"/>
          <w:tab w:val="left" w:pos="8640"/>
        </w:tabs>
        <w:spacing w:line="480" w:lineRule="atLeast"/>
      </w:pPr>
      <w:r w:rsidRPr="00402171">
        <w:tab/>
        <w:t xml:space="preserve">The </w:t>
      </w:r>
      <w:r w:rsidR="00273B8A" w:rsidRPr="00402171">
        <w:rPr>
          <w:i/>
          <w:iCs/>
        </w:rPr>
        <w:t>Donohue</w:t>
      </w:r>
      <w:r w:rsidR="00273B8A" w:rsidRPr="00402171">
        <w:t xml:space="preserve"> </w:t>
      </w:r>
      <w:r w:rsidRPr="00402171">
        <w:t xml:space="preserve">presumption is not entirely new.  It can be traced back to </w:t>
      </w:r>
      <w:r w:rsidRPr="00402171">
        <w:rPr>
          <w:i/>
          <w:iCs/>
        </w:rPr>
        <w:t>Brinker</w:t>
      </w:r>
      <w:r w:rsidRPr="00402171">
        <w:t xml:space="preserve">, in which Justice Werdegar provided a concurring opinion </w:t>
      </w:r>
      <w:r w:rsidR="00D5036B">
        <w:t>rejecting the employer</w:t>
      </w:r>
      <w:r w:rsidR="00A13D2B">
        <w:t>-defendant’s</w:t>
      </w:r>
      <w:r w:rsidR="00D5036B">
        <w:t xml:space="preserve"> argument “that the question </w:t>
      </w:r>
      <w:r w:rsidR="004E1BDC" w:rsidRPr="004E1BDC">
        <w:t xml:space="preserve">why a meal period was missed renders meal period claims </w:t>
      </w:r>
      <w:r w:rsidR="004E1BDC" w:rsidRPr="0005024A">
        <w:rPr>
          <w:i/>
          <w:iCs/>
        </w:rPr>
        <w:t>categorically</w:t>
      </w:r>
      <w:r w:rsidR="004E1BDC" w:rsidRPr="004E1BDC">
        <w:t xml:space="preserve"> uncertifiable.</w:t>
      </w:r>
      <w:r w:rsidR="00D5036B">
        <w:t xml:space="preserve">”  </w:t>
      </w:r>
      <w:r w:rsidR="00D5036B" w:rsidRPr="00402171">
        <w:t>(</w:t>
      </w:r>
      <w:r w:rsidR="00D5036B" w:rsidRPr="00402171">
        <w:rPr>
          <w:i/>
        </w:rPr>
        <w:t>Brinker</w:t>
      </w:r>
      <w:r w:rsidR="00D5036B" w:rsidRPr="00402171">
        <w:t xml:space="preserve">, </w:t>
      </w:r>
      <w:r w:rsidR="00D5036B" w:rsidRPr="00402171">
        <w:rPr>
          <w:i/>
        </w:rPr>
        <w:t>supra</w:t>
      </w:r>
      <w:r w:rsidR="00D5036B" w:rsidRPr="00402171">
        <w:t>, 53 Cal.4th at p. 105</w:t>
      </w:r>
      <w:r w:rsidR="00D5036B">
        <w:t>2</w:t>
      </w:r>
      <w:r w:rsidR="00D5036B" w:rsidRPr="00402171">
        <w:t xml:space="preserve"> (conc. opn. of Werdegar, J.)</w:t>
      </w:r>
      <w:r w:rsidR="00D5036B">
        <w:t>.)</w:t>
      </w:r>
      <w:r w:rsidR="00D5036B" w:rsidRPr="00402171">
        <w:t xml:space="preserve">  </w:t>
      </w:r>
      <w:r w:rsidR="00D5036B">
        <w:t>Justice Werdegar explained</w:t>
      </w:r>
      <w:r w:rsidR="0088679A">
        <w:t>,</w:t>
      </w:r>
      <w:r w:rsidR="00D5036B">
        <w:t xml:space="preserve"> “</w:t>
      </w:r>
      <w:r w:rsidR="004E1BDC" w:rsidRPr="004E1BDC">
        <w:t>such a per se bar would be inconsistent with the law governing reporting obligations and our historic endorsement of a variety of methods that render collective actions judicially manageable.</w:t>
      </w:r>
      <w:r w:rsidR="00164681">
        <w:t>”  (</w:t>
      </w:r>
      <w:r w:rsidR="00164681" w:rsidRPr="00164681">
        <w:rPr>
          <w:i/>
          <w:iCs/>
        </w:rPr>
        <w:t>Ibid</w:t>
      </w:r>
      <w:r w:rsidR="00164681">
        <w:t xml:space="preserve">.)  Rather, </w:t>
      </w:r>
      <w:r w:rsidRPr="00402171">
        <w:t xml:space="preserve">“[i]f an employer’s records show no meal period for a given shift over five hours, a rebuttable presumption arises that the employee was not relieved of duty and no meal </w:t>
      </w:r>
      <w:r w:rsidRPr="00402171">
        <w:lastRenderedPageBreak/>
        <w:t>period was pr</w:t>
      </w:r>
      <w:r w:rsidRPr="00402171">
        <w:t>ovided. . . .  An employer’s assertion that it did relieve the employee of duty, but the employee waived the opportunity to have a work-free break, is not an element that a plaintiff must disprove as part of the plaintiff’s case-in-chief.”  (</w:t>
      </w:r>
      <w:r>
        <w:rPr>
          <w:i/>
        </w:rPr>
        <w:t>Id</w:t>
      </w:r>
      <w:r>
        <w:rPr>
          <w:iCs/>
        </w:rPr>
        <w:t>.</w:t>
      </w:r>
      <w:r w:rsidRPr="00402171">
        <w:t xml:space="preserve"> at </w:t>
      </w:r>
      <w:r w:rsidR="0005024A">
        <w:t>p</w:t>
      </w:r>
      <w:r w:rsidRPr="00402171">
        <w:t xml:space="preserve">p. </w:t>
      </w:r>
      <w:r w:rsidR="0005024A">
        <w:t>1052-</w:t>
      </w:r>
      <w:r w:rsidRPr="00402171">
        <w:t>1053</w:t>
      </w:r>
      <w:r w:rsidR="009F13DD">
        <w:t>.)</w:t>
      </w:r>
    </w:p>
    <w:p w14:paraId="76C58BEC" w14:textId="6BEB6BF6" w:rsidR="00A30D69" w:rsidRPr="00E621DA" w:rsidRDefault="00432A9A" w:rsidP="0039724A">
      <w:pPr>
        <w:tabs>
          <w:tab w:val="left" w:pos="1440"/>
          <w:tab w:val="left" w:pos="2880"/>
          <w:tab w:val="left" w:pos="4320"/>
          <w:tab w:val="left" w:pos="5760"/>
          <w:tab w:val="left" w:pos="7200"/>
          <w:tab w:val="left" w:pos="8640"/>
        </w:tabs>
        <w:spacing w:line="480" w:lineRule="atLeast"/>
      </w:pPr>
      <w:r>
        <w:tab/>
      </w:r>
      <w:r w:rsidR="0036357B" w:rsidRPr="00402171">
        <w:rPr>
          <w:i/>
          <w:iCs/>
        </w:rPr>
        <w:t>Donohue</w:t>
      </w:r>
      <w:r w:rsidR="0036357B" w:rsidRPr="00402171">
        <w:t xml:space="preserve"> expressly adopted Justice Werdegar’s concurrence and explained </w:t>
      </w:r>
      <w:r w:rsidR="00D72396">
        <w:t>“</w:t>
      </w:r>
      <w:r w:rsidR="00D72396" w:rsidRPr="00D72396">
        <w:t>the presumption goes to the question of liability and applies at the summary judgment stage, not just at the class certification stage.</w:t>
      </w:r>
      <w:r w:rsidR="00D72396">
        <w:t>”</w:t>
      </w:r>
      <w:r w:rsidR="00D72396" w:rsidRPr="00D72396">
        <w:t xml:space="preserve"> </w:t>
      </w:r>
      <w:r w:rsidR="00D72396">
        <w:t xml:space="preserve"> </w:t>
      </w:r>
      <w:r w:rsidR="0039724A" w:rsidRPr="00402171">
        <w:t>(</w:t>
      </w:r>
      <w:r w:rsidR="0039724A" w:rsidRPr="00402171">
        <w:rPr>
          <w:i/>
          <w:iCs/>
        </w:rPr>
        <w:t>Donohue</w:t>
      </w:r>
      <w:r w:rsidR="0039724A" w:rsidRPr="00402171">
        <w:t xml:space="preserve">, </w:t>
      </w:r>
      <w:r w:rsidR="0039724A" w:rsidRPr="00402171">
        <w:rPr>
          <w:i/>
          <w:iCs/>
        </w:rPr>
        <w:t>supra</w:t>
      </w:r>
      <w:r w:rsidR="0039724A" w:rsidRPr="00402171">
        <w:t>, 11 Cal.5th at pp. 75-76.)</w:t>
      </w:r>
      <w:r w:rsidR="00B255EB">
        <w:t xml:space="preserve">  </w:t>
      </w:r>
      <w:r w:rsidR="007D2AE8">
        <w:t xml:space="preserve">Royalty </w:t>
      </w:r>
      <w:r w:rsidR="001F135F">
        <w:t>read</w:t>
      </w:r>
      <w:r w:rsidR="00500E38">
        <w:t>s</w:t>
      </w:r>
      <w:r w:rsidR="001F135F">
        <w:t xml:space="preserve"> </w:t>
      </w:r>
      <w:r w:rsidR="001F135F" w:rsidRPr="001F135F">
        <w:rPr>
          <w:i/>
          <w:iCs/>
        </w:rPr>
        <w:t>Donohue</w:t>
      </w:r>
      <w:r w:rsidR="001F135F">
        <w:t xml:space="preserve"> narrowly and </w:t>
      </w:r>
      <w:r w:rsidR="007D2AE8">
        <w:t>maintains the presumption only applies at these two stages of an action</w:t>
      </w:r>
      <w:r w:rsidR="00500E38">
        <w:t>.  W</w:t>
      </w:r>
      <w:r w:rsidR="007D2AE8">
        <w:t xml:space="preserve">e disagree.  </w:t>
      </w:r>
      <w:r w:rsidR="00AC2159">
        <w:t xml:space="preserve">Significantly, </w:t>
      </w:r>
      <w:r w:rsidR="00B255EB">
        <w:t xml:space="preserve">nothing in </w:t>
      </w:r>
      <w:r w:rsidR="00B255EB" w:rsidRPr="00734FEB">
        <w:rPr>
          <w:i/>
          <w:iCs/>
        </w:rPr>
        <w:t>Donohue</w:t>
      </w:r>
      <w:r w:rsidR="00B255EB">
        <w:t xml:space="preserve"> </w:t>
      </w:r>
      <w:r w:rsidR="008C359B">
        <w:t xml:space="preserve">expressly </w:t>
      </w:r>
      <w:r w:rsidR="00B255EB">
        <w:t xml:space="preserve">limits the </w:t>
      </w:r>
      <w:r w:rsidR="00545AC9">
        <w:t xml:space="preserve">application of the </w:t>
      </w:r>
      <w:r w:rsidR="00B255EB">
        <w:t xml:space="preserve">presumption to these </w:t>
      </w:r>
      <w:r w:rsidR="00DB3CF3">
        <w:t>stages</w:t>
      </w:r>
      <w:r w:rsidR="00734FEB">
        <w:t xml:space="preserve">.  </w:t>
      </w:r>
      <w:r w:rsidR="008C359B">
        <w:t>And g</w:t>
      </w:r>
      <w:r w:rsidR="0040688D">
        <w:t xml:space="preserve">iven that </w:t>
      </w:r>
      <w:r w:rsidR="009F13DD">
        <w:t xml:space="preserve">it </w:t>
      </w:r>
      <w:r w:rsidR="000C14C0">
        <w:t>affects liability (</w:t>
      </w:r>
      <w:r w:rsidR="00500E38" w:rsidRPr="00500E38">
        <w:rPr>
          <w:i/>
          <w:iCs/>
        </w:rPr>
        <w:t>ibid</w:t>
      </w:r>
      <w:r w:rsidR="00500E38">
        <w:t xml:space="preserve">; see </w:t>
      </w:r>
      <w:r w:rsidR="000C14C0" w:rsidRPr="000C14C0">
        <w:rPr>
          <w:i/>
          <w:iCs/>
        </w:rPr>
        <w:t>id</w:t>
      </w:r>
      <w:r w:rsidR="000C14C0">
        <w:t xml:space="preserve">. at p. 78), we see no reason why </w:t>
      </w:r>
      <w:r w:rsidR="009F13DD">
        <w:t xml:space="preserve">the presumption </w:t>
      </w:r>
      <w:r w:rsidR="000C14C0">
        <w:t xml:space="preserve">would not apply at trial.  </w:t>
      </w:r>
      <w:r w:rsidR="00295F6B">
        <w:t xml:space="preserve">Further, the wording of the court’s </w:t>
      </w:r>
      <w:r w:rsidR="003E72D7">
        <w:t xml:space="preserve">holding suggests </w:t>
      </w:r>
      <w:r w:rsidR="00D15FC3">
        <w:t xml:space="preserve">the presumption </w:t>
      </w:r>
      <w:r w:rsidR="003E72D7">
        <w:t xml:space="preserve">applies </w:t>
      </w:r>
      <w:r w:rsidR="00A34BAF">
        <w:t>beyond summary judgment and class certification</w:t>
      </w:r>
      <w:r w:rsidR="003E72D7">
        <w:t>:  “</w:t>
      </w:r>
      <w:r w:rsidR="003B6A53">
        <w:t>[W]</w:t>
      </w:r>
      <w:r w:rsidR="003E72D7" w:rsidRPr="003E72D7">
        <w:t xml:space="preserve">e hold that time records showing noncompliant meal periods raise a rebuttable presumption of meal period violations, </w:t>
      </w:r>
      <w:r w:rsidR="003E72D7" w:rsidRPr="003E72D7">
        <w:rPr>
          <w:i/>
          <w:iCs/>
        </w:rPr>
        <w:t>including at the summary judgment stage</w:t>
      </w:r>
      <w:r w:rsidR="003E72D7" w:rsidRPr="003E72D7">
        <w:t>.</w:t>
      </w:r>
      <w:r w:rsidR="004329F9">
        <w:t>”  (</w:t>
      </w:r>
      <w:r w:rsidR="004329F9" w:rsidRPr="004329F9">
        <w:rPr>
          <w:i/>
          <w:iCs/>
        </w:rPr>
        <w:t>Id</w:t>
      </w:r>
      <w:r w:rsidR="004329F9">
        <w:t>. at p. 61</w:t>
      </w:r>
      <w:r w:rsidR="00C17203">
        <w:t>, italics added</w:t>
      </w:r>
      <w:r w:rsidR="004329F9">
        <w:t>.)</w:t>
      </w:r>
      <w:r w:rsidR="00D53A36">
        <w:t xml:space="preserve">  </w:t>
      </w:r>
      <w:r w:rsidR="00CC61B0">
        <w:t>I</w:t>
      </w:r>
      <w:r w:rsidR="00D15FC3">
        <w:t xml:space="preserve">t can be inferred </w:t>
      </w:r>
      <w:r w:rsidR="00CC61B0">
        <w:t xml:space="preserve">from </w:t>
      </w:r>
      <w:r w:rsidR="00F94A94">
        <w:t xml:space="preserve">the broad language </w:t>
      </w:r>
      <w:r w:rsidR="003B6A53">
        <w:t xml:space="preserve">used in </w:t>
      </w:r>
      <w:r w:rsidR="00F94A94">
        <w:t xml:space="preserve">the initial portion of the </w:t>
      </w:r>
      <w:r w:rsidR="003B6A53">
        <w:t xml:space="preserve">sentence </w:t>
      </w:r>
      <w:r w:rsidR="00231BAC">
        <w:t xml:space="preserve">that </w:t>
      </w:r>
      <w:r w:rsidR="006375FF">
        <w:t xml:space="preserve">the </w:t>
      </w:r>
      <w:r w:rsidR="00E621DA">
        <w:t>presumption</w:t>
      </w:r>
      <w:r w:rsidR="00775F04">
        <w:t xml:space="preserve"> </w:t>
      </w:r>
      <w:r w:rsidR="00073C8C">
        <w:t xml:space="preserve">affects </w:t>
      </w:r>
      <w:r w:rsidR="00E621DA">
        <w:t xml:space="preserve">all stages of </w:t>
      </w:r>
      <w:r w:rsidR="00073C8C">
        <w:t xml:space="preserve">a </w:t>
      </w:r>
      <w:r w:rsidR="00E621DA">
        <w:t>case</w:t>
      </w:r>
      <w:r w:rsidR="00775F04">
        <w:t xml:space="preserve"> after it is raised</w:t>
      </w:r>
      <w:r w:rsidR="002C1D36">
        <w:t xml:space="preserve">.  The italicized language </w:t>
      </w:r>
      <w:r w:rsidR="007457CE">
        <w:t xml:space="preserve">contained in the latter portion of the sentence </w:t>
      </w:r>
      <w:r w:rsidR="002C1D36">
        <w:t xml:space="preserve">denotes </w:t>
      </w:r>
      <w:r w:rsidR="002906A5" w:rsidRPr="00231BAC">
        <w:rPr>
          <w:i/>
          <w:iCs/>
        </w:rPr>
        <w:t>Donohue</w:t>
      </w:r>
      <w:r w:rsidR="002906A5">
        <w:t xml:space="preserve"> </w:t>
      </w:r>
      <w:r w:rsidR="00F810C2">
        <w:t xml:space="preserve">only </w:t>
      </w:r>
      <w:r w:rsidR="002C1D36">
        <w:t xml:space="preserve">sought to clarify </w:t>
      </w:r>
      <w:r w:rsidR="00BC1EF8">
        <w:t xml:space="preserve">that </w:t>
      </w:r>
      <w:r w:rsidR="00462BAC">
        <w:t xml:space="preserve">this includes </w:t>
      </w:r>
      <w:r w:rsidR="00E621DA">
        <w:t>summary judgment.</w:t>
      </w:r>
    </w:p>
    <w:p w14:paraId="52CE2D51" w14:textId="708C9277" w:rsidR="00971F5D" w:rsidRPr="00402171" w:rsidRDefault="00432A9A" w:rsidP="00053D13">
      <w:pPr>
        <w:tabs>
          <w:tab w:val="left" w:pos="1440"/>
          <w:tab w:val="left" w:pos="2880"/>
          <w:tab w:val="left" w:pos="4320"/>
          <w:tab w:val="left" w:pos="5760"/>
          <w:tab w:val="left" w:pos="7200"/>
          <w:tab w:val="left" w:pos="8640"/>
        </w:tabs>
        <w:spacing w:line="480" w:lineRule="atLeast"/>
        <w:rPr>
          <w:bCs/>
        </w:rPr>
      </w:pPr>
      <w:r w:rsidRPr="00402171">
        <w:tab/>
      </w:r>
      <w:r w:rsidR="002D32CF" w:rsidRPr="000222C2">
        <w:t xml:space="preserve">Prior to </w:t>
      </w:r>
      <w:r w:rsidR="002D32CF" w:rsidRPr="000222C2">
        <w:rPr>
          <w:i/>
          <w:iCs/>
        </w:rPr>
        <w:t>Donohue</w:t>
      </w:r>
      <w:r w:rsidR="002D32CF" w:rsidRPr="000222C2">
        <w:t xml:space="preserve">, </w:t>
      </w:r>
      <w:r w:rsidR="00CC5612" w:rsidRPr="000222C2">
        <w:t xml:space="preserve">Justice Werdegar’s concurrence </w:t>
      </w:r>
      <w:r w:rsidR="002D32CF" w:rsidRPr="000222C2">
        <w:t xml:space="preserve">had been </w:t>
      </w:r>
      <w:r w:rsidR="00CC5612" w:rsidRPr="000222C2">
        <w:t xml:space="preserve">cited by </w:t>
      </w:r>
      <w:r w:rsidR="00E33D0A" w:rsidRPr="000222C2">
        <w:t>several</w:t>
      </w:r>
      <w:r w:rsidR="00CC5612" w:rsidRPr="000222C2">
        <w:t xml:space="preserve"> </w:t>
      </w:r>
      <w:r w:rsidR="000222C2" w:rsidRPr="000222C2">
        <w:t>appellate courts</w:t>
      </w:r>
      <w:r w:rsidR="00CC5612" w:rsidRPr="00402171">
        <w:t>.  (</w:t>
      </w:r>
      <w:r w:rsidR="00CC5612" w:rsidRPr="00402171">
        <w:rPr>
          <w:i/>
        </w:rPr>
        <w:t>Donohue</w:t>
      </w:r>
      <w:r w:rsidR="00CC5612" w:rsidRPr="00402171">
        <w:t xml:space="preserve">, </w:t>
      </w:r>
      <w:r w:rsidR="00CC5612" w:rsidRPr="00402171">
        <w:rPr>
          <w:i/>
        </w:rPr>
        <w:t>supra</w:t>
      </w:r>
      <w:r w:rsidR="00CC5612" w:rsidRPr="00402171">
        <w:t xml:space="preserve">, 11 Cal.5th at p. 75 [listing cases].)  </w:t>
      </w:r>
      <w:r w:rsidR="00531D80" w:rsidRPr="00402171">
        <w:t>But</w:t>
      </w:r>
      <w:r w:rsidR="00391B96" w:rsidRPr="00402171">
        <w:t xml:space="preserve"> it does not appear the trial court applied the presumption</w:t>
      </w:r>
      <w:r w:rsidR="00B85B3B">
        <w:t xml:space="preserve"> here</w:t>
      </w:r>
      <w:r w:rsidR="00391B96" w:rsidRPr="00402171">
        <w:t xml:space="preserve">.  </w:t>
      </w:r>
      <w:r w:rsidR="00297AF3" w:rsidRPr="00402171">
        <w:t>While t</w:t>
      </w:r>
      <w:r w:rsidR="00391B96" w:rsidRPr="00402171">
        <w:t xml:space="preserve">he court </w:t>
      </w:r>
      <w:r w:rsidR="006675D7" w:rsidRPr="00402171">
        <w:t xml:space="preserve">acknowledged </w:t>
      </w:r>
      <w:r w:rsidR="000D464A" w:rsidRPr="00402171">
        <w:t xml:space="preserve">the presumption at the hearing on </w:t>
      </w:r>
      <w:r w:rsidR="00CC5612" w:rsidRPr="00402171">
        <w:t>Royalty’s mid-trial decertification motion</w:t>
      </w:r>
      <w:r w:rsidR="00297AF3" w:rsidRPr="00402171">
        <w:rPr>
          <w:bCs/>
        </w:rPr>
        <w:t>,</w:t>
      </w:r>
      <w:r w:rsidR="0005024A">
        <w:rPr>
          <w:bCs/>
        </w:rPr>
        <w:t xml:space="preserve"> </w:t>
      </w:r>
      <w:r w:rsidR="006675D7" w:rsidRPr="00402171">
        <w:rPr>
          <w:bCs/>
        </w:rPr>
        <w:t xml:space="preserve">its </w:t>
      </w:r>
      <w:r w:rsidR="00297AF3" w:rsidRPr="00402171">
        <w:rPr>
          <w:bCs/>
        </w:rPr>
        <w:t xml:space="preserve">decertification </w:t>
      </w:r>
      <w:r w:rsidR="00D81BE9" w:rsidRPr="00402171">
        <w:rPr>
          <w:bCs/>
        </w:rPr>
        <w:t xml:space="preserve">order does not </w:t>
      </w:r>
      <w:r w:rsidR="002F0796">
        <w:rPr>
          <w:bCs/>
        </w:rPr>
        <w:t xml:space="preserve">mention </w:t>
      </w:r>
      <w:r w:rsidR="00033579" w:rsidRPr="00402171">
        <w:rPr>
          <w:bCs/>
        </w:rPr>
        <w:t>it</w:t>
      </w:r>
      <w:r w:rsidR="00D81BE9" w:rsidRPr="00402171">
        <w:rPr>
          <w:bCs/>
        </w:rPr>
        <w:t xml:space="preserve">.  More so, </w:t>
      </w:r>
      <w:r w:rsidR="00F30B93" w:rsidRPr="00402171">
        <w:rPr>
          <w:bCs/>
        </w:rPr>
        <w:t xml:space="preserve">the order states </w:t>
      </w:r>
      <w:r w:rsidR="006621EC" w:rsidRPr="00402171">
        <w:rPr>
          <w:bCs/>
        </w:rPr>
        <w:t xml:space="preserve">the </w:t>
      </w:r>
      <w:r w:rsidR="0097722E" w:rsidRPr="00402171">
        <w:rPr>
          <w:bCs/>
        </w:rPr>
        <w:t xml:space="preserve">meal period subclasses were being decertified because </w:t>
      </w:r>
      <w:r w:rsidR="00F30B93" w:rsidRPr="00402171">
        <w:rPr>
          <w:bCs/>
        </w:rPr>
        <w:t>“</w:t>
      </w:r>
      <w:r w:rsidR="00703C9E" w:rsidRPr="00402171">
        <w:rPr>
          <w:bCs/>
          <w:i/>
          <w:iCs/>
        </w:rPr>
        <w:t>Plaintiffs fail</w:t>
      </w:r>
      <w:r w:rsidR="00361A8A" w:rsidRPr="00402171">
        <w:rPr>
          <w:bCs/>
          <w:i/>
          <w:iCs/>
        </w:rPr>
        <w:t>[ed]</w:t>
      </w:r>
      <w:r w:rsidR="00703C9E" w:rsidRPr="00402171">
        <w:rPr>
          <w:bCs/>
        </w:rPr>
        <w:t xml:space="preserve"> to satisfy their burden to establish commonality or predominance.”</w:t>
      </w:r>
      <w:r w:rsidR="0005024A">
        <w:rPr>
          <w:bCs/>
        </w:rPr>
        <w:t xml:space="preserve">  (Italics added.) </w:t>
      </w:r>
      <w:r w:rsidR="006954C1" w:rsidRPr="00402171">
        <w:rPr>
          <w:bCs/>
        </w:rPr>
        <w:t xml:space="preserve"> </w:t>
      </w:r>
      <w:r w:rsidRPr="00402171">
        <w:rPr>
          <w:bCs/>
        </w:rPr>
        <w:t xml:space="preserve">But, under </w:t>
      </w:r>
      <w:r w:rsidRPr="00402171">
        <w:rPr>
          <w:bCs/>
          <w:i/>
          <w:iCs/>
        </w:rPr>
        <w:t>Donohue</w:t>
      </w:r>
      <w:r w:rsidRPr="00402171">
        <w:rPr>
          <w:bCs/>
        </w:rPr>
        <w:t xml:space="preserve">, plaintiffs met their burden </w:t>
      </w:r>
      <w:r w:rsidR="00862D7B" w:rsidRPr="00402171">
        <w:rPr>
          <w:bCs/>
        </w:rPr>
        <w:t xml:space="preserve">by presenting </w:t>
      </w:r>
      <w:r w:rsidRPr="00402171">
        <w:rPr>
          <w:bCs/>
        </w:rPr>
        <w:t xml:space="preserve">the </w:t>
      </w:r>
      <w:r w:rsidR="00E45AA5">
        <w:rPr>
          <w:bCs/>
        </w:rPr>
        <w:t xml:space="preserve">time record </w:t>
      </w:r>
      <w:r w:rsidRPr="00402171">
        <w:rPr>
          <w:bCs/>
        </w:rPr>
        <w:t xml:space="preserve">evidence cited above.  Based on that evidence, </w:t>
      </w:r>
      <w:r w:rsidR="004B5E43" w:rsidRPr="00402171">
        <w:rPr>
          <w:bCs/>
        </w:rPr>
        <w:t xml:space="preserve">the court should have presumed </w:t>
      </w:r>
      <w:r w:rsidR="009175AF" w:rsidRPr="00402171">
        <w:rPr>
          <w:bCs/>
        </w:rPr>
        <w:t>Royalty</w:t>
      </w:r>
      <w:r w:rsidR="001B4ABC">
        <w:rPr>
          <w:bCs/>
        </w:rPr>
        <w:t xml:space="preserve">’s liability in </w:t>
      </w:r>
      <w:r w:rsidR="00F82664" w:rsidRPr="00402171">
        <w:rPr>
          <w:bCs/>
        </w:rPr>
        <w:t xml:space="preserve">providing </w:t>
      </w:r>
      <w:r w:rsidR="004B5E43" w:rsidRPr="00402171">
        <w:rPr>
          <w:bCs/>
        </w:rPr>
        <w:t xml:space="preserve">late first meal </w:t>
      </w:r>
      <w:r w:rsidR="004B5E43" w:rsidRPr="00402171">
        <w:rPr>
          <w:bCs/>
        </w:rPr>
        <w:lastRenderedPageBreak/>
        <w:t>periods and</w:t>
      </w:r>
      <w:r w:rsidR="00F82664" w:rsidRPr="00402171">
        <w:rPr>
          <w:bCs/>
        </w:rPr>
        <w:t xml:space="preserve"> </w:t>
      </w:r>
      <w:r w:rsidR="00300262" w:rsidRPr="00402171">
        <w:rPr>
          <w:bCs/>
        </w:rPr>
        <w:t xml:space="preserve">failing to provide </w:t>
      </w:r>
      <w:r w:rsidR="004B5E43" w:rsidRPr="00402171">
        <w:rPr>
          <w:bCs/>
        </w:rPr>
        <w:t>second meal periods</w:t>
      </w:r>
      <w:r w:rsidR="009175AF" w:rsidRPr="00402171">
        <w:rPr>
          <w:bCs/>
        </w:rPr>
        <w:t xml:space="preserve">.  The burden </w:t>
      </w:r>
      <w:r w:rsidR="00F97983" w:rsidRPr="00402171">
        <w:rPr>
          <w:bCs/>
        </w:rPr>
        <w:t xml:space="preserve">would </w:t>
      </w:r>
      <w:r w:rsidR="009175AF" w:rsidRPr="00402171">
        <w:rPr>
          <w:bCs/>
        </w:rPr>
        <w:t xml:space="preserve">then </w:t>
      </w:r>
      <w:r w:rsidR="00481CB4" w:rsidRPr="00402171">
        <w:rPr>
          <w:bCs/>
        </w:rPr>
        <w:t xml:space="preserve">have </w:t>
      </w:r>
      <w:r w:rsidR="009175AF" w:rsidRPr="00402171">
        <w:rPr>
          <w:bCs/>
        </w:rPr>
        <w:t xml:space="preserve">shifted to </w:t>
      </w:r>
      <w:r w:rsidR="007453E7" w:rsidRPr="00402171">
        <w:rPr>
          <w:bCs/>
        </w:rPr>
        <w:t xml:space="preserve">Royalty </w:t>
      </w:r>
      <w:r w:rsidR="00481CB4" w:rsidRPr="00402171">
        <w:rPr>
          <w:bCs/>
        </w:rPr>
        <w:t xml:space="preserve">to show that </w:t>
      </w:r>
      <w:r w:rsidR="00F97983" w:rsidRPr="00402171">
        <w:rPr>
          <w:bCs/>
        </w:rPr>
        <w:t xml:space="preserve">plaintiffs were provided </w:t>
      </w:r>
      <w:r w:rsidR="00DC430F" w:rsidRPr="00402171">
        <w:rPr>
          <w:bCs/>
        </w:rPr>
        <w:t>with compliant meal periods but chose to work instead</w:t>
      </w:r>
      <w:r w:rsidR="000663A1" w:rsidRPr="00402171">
        <w:rPr>
          <w:bCs/>
        </w:rPr>
        <w:t xml:space="preserve">. </w:t>
      </w:r>
      <w:r w:rsidR="007453E7" w:rsidRPr="00402171">
        <w:rPr>
          <w:bCs/>
        </w:rPr>
        <w:t xml:space="preserve"> </w:t>
      </w:r>
      <w:r w:rsidR="000663A1" w:rsidRPr="00402171">
        <w:rPr>
          <w:bCs/>
        </w:rPr>
        <w:t>(</w:t>
      </w:r>
      <w:r w:rsidR="000663A1" w:rsidRPr="00402171">
        <w:rPr>
          <w:bCs/>
          <w:i/>
          <w:iCs/>
        </w:rPr>
        <w:t>Id</w:t>
      </w:r>
      <w:r w:rsidR="000663A1" w:rsidRPr="00402171">
        <w:rPr>
          <w:bCs/>
        </w:rPr>
        <w:t>. at p. 78</w:t>
      </w:r>
      <w:r w:rsidR="00E20AC0">
        <w:rPr>
          <w:bCs/>
        </w:rPr>
        <w:t>; see</w:t>
      </w:r>
      <w:r w:rsidR="00E20AC0" w:rsidRPr="00E20AC0">
        <w:rPr>
          <w:i/>
        </w:rPr>
        <w:t xml:space="preserve"> </w:t>
      </w:r>
      <w:r w:rsidR="00E20AC0" w:rsidRPr="00402171">
        <w:rPr>
          <w:i/>
        </w:rPr>
        <w:t>Brinker</w:t>
      </w:r>
      <w:r w:rsidR="00E20AC0" w:rsidRPr="00402171">
        <w:t xml:space="preserve">, </w:t>
      </w:r>
      <w:r w:rsidR="00E20AC0" w:rsidRPr="00402171">
        <w:rPr>
          <w:i/>
        </w:rPr>
        <w:t>supra</w:t>
      </w:r>
      <w:r w:rsidR="00E20AC0" w:rsidRPr="00402171">
        <w:t>, 53 Cal.4th at p</w:t>
      </w:r>
      <w:r w:rsidR="006050FF">
        <w:t>p</w:t>
      </w:r>
      <w:r w:rsidR="00E20AC0" w:rsidRPr="00402171">
        <w:t>. 105</w:t>
      </w:r>
      <w:r w:rsidR="00E20AC0">
        <w:t>2</w:t>
      </w:r>
      <w:r w:rsidR="006050FF">
        <w:t>-1054</w:t>
      </w:r>
      <w:r w:rsidR="00E20AC0" w:rsidRPr="00402171">
        <w:t xml:space="preserve"> (conc. opn. of Werdegar, J.)</w:t>
      </w:r>
      <w:r w:rsidR="000663A1" w:rsidRPr="00402171">
        <w:rPr>
          <w:bCs/>
        </w:rPr>
        <w:t xml:space="preserve">.)  </w:t>
      </w:r>
      <w:r w:rsidR="00916D90">
        <w:rPr>
          <w:bCs/>
        </w:rPr>
        <w:t xml:space="preserve">It then follows that the burden would have been on Royalty, not plaintiffs, to show individual issues predominated. </w:t>
      </w:r>
      <w:r w:rsidR="00AB4A09">
        <w:rPr>
          <w:bCs/>
        </w:rPr>
        <w:t xml:space="preserve"> </w:t>
      </w:r>
      <w:r w:rsidR="00524BED" w:rsidRPr="00402171">
        <w:rPr>
          <w:bCs/>
        </w:rPr>
        <w:t xml:space="preserve">Thus, </w:t>
      </w:r>
      <w:r w:rsidR="00EF5F95">
        <w:rPr>
          <w:bCs/>
        </w:rPr>
        <w:t xml:space="preserve">following </w:t>
      </w:r>
      <w:r w:rsidR="00524BED" w:rsidRPr="00402171">
        <w:rPr>
          <w:bCs/>
          <w:i/>
          <w:iCs/>
        </w:rPr>
        <w:t>Donohue</w:t>
      </w:r>
      <w:r w:rsidR="00524BED" w:rsidRPr="00402171">
        <w:rPr>
          <w:bCs/>
        </w:rPr>
        <w:t xml:space="preserve">, the </w:t>
      </w:r>
      <w:r w:rsidR="00ED3912" w:rsidRPr="00402171">
        <w:rPr>
          <w:bCs/>
        </w:rPr>
        <w:t>court</w:t>
      </w:r>
      <w:r w:rsidR="00EF5F95">
        <w:rPr>
          <w:bCs/>
        </w:rPr>
        <w:t xml:space="preserve">’s decertification order relies on </w:t>
      </w:r>
      <w:r w:rsidR="009D0024">
        <w:rPr>
          <w:bCs/>
        </w:rPr>
        <w:t>erroneous legal assumptions and is subject to reversal.</w:t>
      </w:r>
    </w:p>
    <w:p w14:paraId="5576F3C5" w14:textId="7BD93274" w:rsidR="0048594F" w:rsidRDefault="00432A9A" w:rsidP="00E44002">
      <w:pPr>
        <w:tabs>
          <w:tab w:val="left" w:pos="1440"/>
          <w:tab w:val="left" w:pos="2880"/>
          <w:tab w:val="left" w:pos="4320"/>
          <w:tab w:val="left" w:pos="5760"/>
          <w:tab w:val="left" w:pos="7200"/>
          <w:tab w:val="left" w:pos="8640"/>
        </w:tabs>
        <w:spacing w:line="480" w:lineRule="atLeast"/>
        <w:rPr>
          <w:bCs/>
        </w:rPr>
      </w:pPr>
      <w:r w:rsidRPr="00402171">
        <w:rPr>
          <w:bCs/>
        </w:rPr>
        <w:tab/>
      </w:r>
      <w:r w:rsidR="005558C2" w:rsidRPr="00402171">
        <w:rPr>
          <w:bCs/>
        </w:rPr>
        <w:t xml:space="preserve">Further, </w:t>
      </w:r>
      <w:r w:rsidR="00DE138B" w:rsidRPr="00402171">
        <w:rPr>
          <w:bCs/>
        </w:rPr>
        <w:t xml:space="preserve">this </w:t>
      </w:r>
      <w:r w:rsidR="005E084C" w:rsidRPr="00402171">
        <w:rPr>
          <w:bCs/>
        </w:rPr>
        <w:t xml:space="preserve">error was prejudicial.  </w:t>
      </w:r>
      <w:r w:rsidR="00FA2BF3" w:rsidRPr="00402171">
        <w:rPr>
          <w:bCs/>
        </w:rPr>
        <w:t>“An error is prejudicial . . . if the reviewing court concludes, based on its review of the entire record, that it is reasonably probable that the trial court would have reached a result more favorable to the appellant absent the error.”  (</w:t>
      </w:r>
      <w:r w:rsidR="00FA2BF3" w:rsidRPr="00402171">
        <w:rPr>
          <w:bCs/>
          <w:i/>
          <w:iCs/>
        </w:rPr>
        <w:t xml:space="preserve">Jones v. Farmers Ins. Exchange </w:t>
      </w:r>
      <w:r w:rsidR="00FA2BF3" w:rsidRPr="00402171">
        <w:rPr>
          <w:bCs/>
        </w:rPr>
        <w:t xml:space="preserve">(2013) 221 Cal.App.4th 986, 999.)  </w:t>
      </w:r>
      <w:r w:rsidR="00634984" w:rsidRPr="00402171">
        <w:rPr>
          <w:bCs/>
        </w:rPr>
        <w:t xml:space="preserve">Significantly, </w:t>
      </w:r>
      <w:r w:rsidR="005945F9" w:rsidRPr="00402171">
        <w:rPr>
          <w:bCs/>
        </w:rPr>
        <w:t xml:space="preserve">“‘“[r]easonable probability”’ means </w:t>
      </w:r>
      <w:r w:rsidR="007B7E92" w:rsidRPr="00402171">
        <w:rPr>
          <w:bCs/>
        </w:rPr>
        <w:t>‘</w:t>
      </w:r>
      <w:r w:rsidR="005945F9" w:rsidRPr="00402171">
        <w:rPr>
          <w:bCs/>
        </w:rPr>
        <w:t>merely a reasonable chance, more than an abstract possibility,</w:t>
      </w:r>
      <w:r w:rsidR="007B7E92" w:rsidRPr="00402171">
        <w:rPr>
          <w:bCs/>
        </w:rPr>
        <w:t>’</w:t>
      </w:r>
      <w:r w:rsidR="005945F9" w:rsidRPr="00402171">
        <w:rPr>
          <w:bCs/>
        </w:rPr>
        <w:t xml:space="preserve"> a </w:t>
      </w:r>
      <w:r w:rsidR="007B7E92" w:rsidRPr="00402171">
        <w:rPr>
          <w:bCs/>
        </w:rPr>
        <w:t>‘“</w:t>
      </w:r>
      <w:r w:rsidR="005945F9" w:rsidRPr="00402171">
        <w:rPr>
          <w:bCs/>
        </w:rPr>
        <w:t>probability sufficient to undermine confidence in the outcome.</w:t>
      </w:r>
      <w:r w:rsidR="007B7E92" w:rsidRPr="00402171">
        <w:rPr>
          <w:bCs/>
        </w:rPr>
        <w:t>”</w:t>
      </w:r>
      <w:r w:rsidR="005945F9" w:rsidRPr="00402171">
        <w:rPr>
          <w:bCs/>
        </w:rPr>
        <w:t>’”</w:t>
      </w:r>
      <w:r w:rsidR="007B7E92" w:rsidRPr="00402171">
        <w:rPr>
          <w:bCs/>
        </w:rPr>
        <w:t xml:space="preserve">  </w:t>
      </w:r>
      <w:r w:rsidR="007B7E92" w:rsidRPr="00402171">
        <w:t>(</w:t>
      </w:r>
      <w:r w:rsidR="007B7E92" w:rsidRPr="00402171">
        <w:rPr>
          <w:i/>
          <w:iCs/>
        </w:rPr>
        <w:t xml:space="preserve">Haytasingh v. City of San Diego </w:t>
      </w:r>
      <w:r w:rsidR="007B7E92" w:rsidRPr="00402171">
        <w:t xml:space="preserve">(2021) 66 Cal.App.5th 429, </w:t>
      </w:r>
      <w:r w:rsidR="00873320">
        <w:t>467-</w:t>
      </w:r>
      <w:r w:rsidR="007B7E92" w:rsidRPr="00402171">
        <w:t>468.)</w:t>
      </w:r>
      <w:r w:rsidR="00BC04E3" w:rsidRPr="00402171">
        <w:t xml:space="preserve"> </w:t>
      </w:r>
      <w:r w:rsidR="001F020C">
        <w:t xml:space="preserve"> </w:t>
      </w:r>
      <w:r w:rsidR="007823A7">
        <w:t>And u</w:t>
      </w:r>
      <w:r w:rsidR="00814396">
        <w:t>nlike substantial evidence review, w</w:t>
      </w:r>
      <w:r w:rsidR="001F020C">
        <w:t xml:space="preserve">e consider the weight of the evidence </w:t>
      </w:r>
      <w:r w:rsidR="002009A0">
        <w:t>when determining whether the error was prejudicial.  (</w:t>
      </w:r>
      <w:r w:rsidR="002009A0" w:rsidRPr="002009A0">
        <w:rPr>
          <w:i/>
          <w:iCs/>
        </w:rPr>
        <w:t>People v. Vasquez</w:t>
      </w:r>
      <w:r w:rsidR="002009A0">
        <w:t xml:space="preserve"> (2017) 14 Cal.App.5th 1019, 1024</w:t>
      </w:r>
      <w:r w:rsidR="00873320">
        <w:t>,</w:t>
      </w:r>
      <w:r w:rsidR="002009A0">
        <w:t xml:space="preserve"> fn. 6.)</w:t>
      </w:r>
    </w:p>
    <w:p w14:paraId="50BCF034" w14:textId="26B170F4" w:rsidR="006D4C8A" w:rsidRPr="00402171" w:rsidRDefault="00432A9A" w:rsidP="00E44002">
      <w:pPr>
        <w:tabs>
          <w:tab w:val="left" w:pos="1440"/>
          <w:tab w:val="left" w:pos="2880"/>
          <w:tab w:val="left" w:pos="4320"/>
          <w:tab w:val="left" w:pos="5760"/>
          <w:tab w:val="left" w:pos="7200"/>
          <w:tab w:val="left" w:pos="8640"/>
        </w:tabs>
        <w:spacing w:line="480" w:lineRule="atLeast"/>
        <w:rPr>
          <w:bCs/>
        </w:rPr>
      </w:pPr>
      <w:r>
        <w:rPr>
          <w:bCs/>
        </w:rPr>
        <w:tab/>
      </w:r>
      <w:r w:rsidR="00585A68" w:rsidRPr="00402171">
        <w:rPr>
          <w:bCs/>
        </w:rPr>
        <w:t>T</w:t>
      </w:r>
      <w:r w:rsidR="008E4B88" w:rsidRPr="00402171">
        <w:rPr>
          <w:bCs/>
        </w:rPr>
        <w:t xml:space="preserve">hough Royalty was required to put on its defense, </w:t>
      </w:r>
      <w:r w:rsidR="00113525" w:rsidRPr="00402171">
        <w:rPr>
          <w:bCs/>
        </w:rPr>
        <w:t xml:space="preserve">as </w:t>
      </w:r>
      <w:r w:rsidR="00D50E0B">
        <w:rPr>
          <w:bCs/>
        </w:rPr>
        <w:t xml:space="preserve">stated </w:t>
      </w:r>
      <w:r w:rsidR="00113525" w:rsidRPr="00402171">
        <w:rPr>
          <w:bCs/>
        </w:rPr>
        <w:t xml:space="preserve">in the decertification order, </w:t>
      </w:r>
      <w:r w:rsidR="008E4B88" w:rsidRPr="00402171">
        <w:rPr>
          <w:bCs/>
        </w:rPr>
        <w:t xml:space="preserve">the trial court’s ruling was </w:t>
      </w:r>
      <w:r w:rsidR="00113525" w:rsidRPr="00402171">
        <w:rPr>
          <w:bCs/>
        </w:rPr>
        <w:t xml:space="preserve">driven </w:t>
      </w:r>
      <w:r w:rsidR="008E4B88" w:rsidRPr="00402171">
        <w:rPr>
          <w:bCs/>
        </w:rPr>
        <w:t xml:space="preserve">by </w:t>
      </w:r>
      <w:r w:rsidR="008E4B88" w:rsidRPr="00402171">
        <w:rPr>
          <w:bCs/>
          <w:i/>
          <w:iCs/>
        </w:rPr>
        <w:t>plaintiffs</w:t>
      </w:r>
      <w:r w:rsidR="008E4B88" w:rsidRPr="00402171">
        <w:rPr>
          <w:bCs/>
        </w:rPr>
        <w:t xml:space="preserve">’ failure to </w:t>
      </w:r>
      <w:r w:rsidR="00834C37">
        <w:rPr>
          <w:bCs/>
        </w:rPr>
        <w:t>establish commonality or p</w:t>
      </w:r>
      <w:r w:rsidR="00A516E0">
        <w:rPr>
          <w:bCs/>
        </w:rPr>
        <w:t>redominance</w:t>
      </w:r>
      <w:r w:rsidR="008E4B88" w:rsidRPr="00402171">
        <w:rPr>
          <w:bCs/>
        </w:rPr>
        <w:t xml:space="preserve">.  </w:t>
      </w:r>
      <w:r w:rsidR="00E43D29">
        <w:rPr>
          <w:bCs/>
        </w:rPr>
        <w:t xml:space="preserve">This </w:t>
      </w:r>
      <w:r w:rsidR="0022516B">
        <w:rPr>
          <w:bCs/>
        </w:rPr>
        <w:t xml:space="preserve">conclusion </w:t>
      </w:r>
      <w:r w:rsidR="004536F2">
        <w:rPr>
          <w:bCs/>
        </w:rPr>
        <w:t xml:space="preserve">was primarily driven by the court’s </w:t>
      </w:r>
      <w:r w:rsidR="00B06980">
        <w:rPr>
          <w:bCs/>
        </w:rPr>
        <w:t xml:space="preserve">finding </w:t>
      </w:r>
      <w:r w:rsidR="004536F2">
        <w:rPr>
          <w:bCs/>
        </w:rPr>
        <w:t xml:space="preserve">that employee choice </w:t>
      </w:r>
      <w:r w:rsidR="00802A83">
        <w:rPr>
          <w:bCs/>
        </w:rPr>
        <w:t xml:space="preserve">led to a significant amount of late or missed meal breaks.  But </w:t>
      </w:r>
      <w:r w:rsidR="003F5603" w:rsidRPr="00402171">
        <w:rPr>
          <w:bCs/>
        </w:rPr>
        <w:t>the court may have ruled differently had it</w:t>
      </w:r>
      <w:r w:rsidR="00113525" w:rsidRPr="00402171">
        <w:rPr>
          <w:bCs/>
        </w:rPr>
        <w:t>s</w:t>
      </w:r>
      <w:r w:rsidR="003F5603" w:rsidRPr="00402171">
        <w:rPr>
          <w:bCs/>
        </w:rPr>
        <w:t xml:space="preserve"> </w:t>
      </w:r>
      <w:r w:rsidR="00113525" w:rsidRPr="00402171">
        <w:rPr>
          <w:bCs/>
        </w:rPr>
        <w:t xml:space="preserve">analysis started </w:t>
      </w:r>
      <w:r w:rsidR="003F5603" w:rsidRPr="00402171">
        <w:rPr>
          <w:bCs/>
        </w:rPr>
        <w:t>from the presumption that Royalty was liable for the</w:t>
      </w:r>
      <w:r w:rsidR="00BE39F1">
        <w:rPr>
          <w:bCs/>
        </w:rPr>
        <w:t xml:space="preserve">se meal period violations </w:t>
      </w:r>
      <w:r w:rsidRPr="00402171">
        <w:rPr>
          <w:bCs/>
        </w:rPr>
        <w:t>and had the burden of showing otherwise</w:t>
      </w:r>
      <w:r w:rsidR="00173AD6" w:rsidRPr="00402171">
        <w:rPr>
          <w:bCs/>
        </w:rPr>
        <w:t xml:space="preserve">.  </w:t>
      </w:r>
      <w:r w:rsidR="00EC1510">
        <w:rPr>
          <w:bCs/>
        </w:rPr>
        <w:t>Based on the record</w:t>
      </w:r>
      <w:r w:rsidR="00BB16E7">
        <w:rPr>
          <w:bCs/>
        </w:rPr>
        <w:t xml:space="preserve">, </w:t>
      </w:r>
      <w:r w:rsidR="00EC1510">
        <w:rPr>
          <w:bCs/>
        </w:rPr>
        <w:t xml:space="preserve">this case was close </w:t>
      </w:r>
      <w:r w:rsidR="009F2CB2">
        <w:rPr>
          <w:bCs/>
        </w:rPr>
        <w:t xml:space="preserve">enough that </w:t>
      </w:r>
      <w:r w:rsidR="0038507E">
        <w:rPr>
          <w:bCs/>
        </w:rPr>
        <w:t xml:space="preserve">there is a reasonable likelihood the failure to shift </w:t>
      </w:r>
      <w:r w:rsidR="008F36F0">
        <w:rPr>
          <w:bCs/>
        </w:rPr>
        <w:t xml:space="preserve">the </w:t>
      </w:r>
      <w:r w:rsidR="00EC1510">
        <w:rPr>
          <w:bCs/>
        </w:rPr>
        <w:t>burden affect</w:t>
      </w:r>
      <w:r w:rsidR="007329D9">
        <w:rPr>
          <w:bCs/>
        </w:rPr>
        <w:t>ed</w:t>
      </w:r>
      <w:r w:rsidR="00EC1510">
        <w:rPr>
          <w:bCs/>
        </w:rPr>
        <w:t xml:space="preserve"> the outcome.</w:t>
      </w:r>
    </w:p>
    <w:p w14:paraId="18B3D60B" w14:textId="7CA44226" w:rsidR="00671531" w:rsidRPr="00402171" w:rsidRDefault="00432A9A" w:rsidP="00E44002">
      <w:pPr>
        <w:tabs>
          <w:tab w:val="left" w:pos="1440"/>
          <w:tab w:val="left" w:pos="2880"/>
          <w:tab w:val="left" w:pos="4320"/>
          <w:tab w:val="left" w:pos="5760"/>
          <w:tab w:val="left" w:pos="7200"/>
          <w:tab w:val="left" w:pos="8640"/>
        </w:tabs>
        <w:spacing w:line="480" w:lineRule="atLeast"/>
        <w:rPr>
          <w:bCs/>
        </w:rPr>
      </w:pPr>
      <w:r w:rsidRPr="00402171">
        <w:rPr>
          <w:bCs/>
        </w:rPr>
        <w:tab/>
        <w:t>For example</w:t>
      </w:r>
      <w:r w:rsidR="00A564F2" w:rsidRPr="00402171">
        <w:rPr>
          <w:bCs/>
        </w:rPr>
        <w:t xml:space="preserve">, </w:t>
      </w:r>
      <w:r w:rsidR="00163B9F" w:rsidRPr="00402171">
        <w:rPr>
          <w:bCs/>
        </w:rPr>
        <w:t xml:space="preserve">one of plaintiffs’ theories at trial was that </w:t>
      </w:r>
      <w:r w:rsidR="00907D9D" w:rsidRPr="00402171">
        <w:rPr>
          <w:bCs/>
        </w:rPr>
        <w:t xml:space="preserve">first </w:t>
      </w:r>
      <w:r w:rsidR="00163B9F" w:rsidRPr="00402171">
        <w:rPr>
          <w:bCs/>
        </w:rPr>
        <w:t xml:space="preserve">meal periods were taken late because </w:t>
      </w:r>
      <w:r w:rsidR="00907D9D" w:rsidRPr="00402171">
        <w:rPr>
          <w:bCs/>
        </w:rPr>
        <w:t xml:space="preserve">Royalty </w:t>
      </w:r>
      <w:r w:rsidR="00163B9F" w:rsidRPr="00402171">
        <w:rPr>
          <w:bCs/>
        </w:rPr>
        <w:t xml:space="preserve">required </w:t>
      </w:r>
      <w:r w:rsidR="00907D9D" w:rsidRPr="00402171">
        <w:rPr>
          <w:bCs/>
        </w:rPr>
        <w:t xml:space="preserve">workers </w:t>
      </w:r>
      <w:r w:rsidR="00163B9F" w:rsidRPr="00402171">
        <w:rPr>
          <w:bCs/>
        </w:rPr>
        <w:t xml:space="preserve">to be relieved or finish their work prior to taking meal breaks.  The court rejected </w:t>
      </w:r>
      <w:r w:rsidR="00902700">
        <w:rPr>
          <w:bCs/>
        </w:rPr>
        <w:t>it</w:t>
      </w:r>
      <w:r w:rsidR="00163B9F" w:rsidRPr="00402171">
        <w:rPr>
          <w:bCs/>
        </w:rPr>
        <w:t xml:space="preserve">, finding “various employees did not need to </w:t>
      </w:r>
      <w:r w:rsidR="00163B9F" w:rsidRPr="00402171">
        <w:rPr>
          <w:bCs/>
        </w:rPr>
        <w:lastRenderedPageBreak/>
        <w:t xml:space="preserve">be relieved or finish their work in order to take a meal break, and that employee choice was a significant factor with respect to taking meal breaks.” </w:t>
      </w:r>
      <w:r w:rsidR="001F2A37" w:rsidRPr="00402171">
        <w:rPr>
          <w:bCs/>
        </w:rPr>
        <w:t xml:space="preserve"> </w:t>
      </w:r>
      <w:r w:rsidR="00371D36">
        <w:rPr>
          <w:bCs/>
        </w:rPr>
        <w:t>I</w:t>
      </w:r>
      <w:r w:rsidR="00371D36">
        <w:t xml:space="preserve">t appears </w:t>
      </w:r>
      <w:r w:rsidR="00A13D2B">
        <w:t>this finding</w:t>
      </w:r>
      <w:r w:rsidR="00371D36">
        <w:t xml:space="preserve"> was </w:t>
      </w:r>
      <w:r w:rsidR="00525D3F">
        <w:t xml:space="preserve">materially influenced by </w:t>
      </w:r>
      <w:r w:rsidR="00371D36">
        <w:t xml:space="preserve">the testimony of five employees, four of which were named plaintiffs. </w:t>
      </w:r>
      <w:r w:rsidR="00CD0650">
        <w:t xml:space="preserve"> </w:t>
      </w:r>
      <w:r w:rsidR="00C31F21">
        <w:t>In particular, t</w:t>
      </w:r>
      <w:r w:rsidR="00125643">
        <w:t xml:space="preserve">he court focused on </w:t>
      </w:r>
      <w:r w:rsidR="00C31F21">
        <w:t>inconsistent testimony given by several of these witnesses.</w:t>
      </w:r>
      <w:r>
        <w:rPr>
          <w:rStyle w:val="FootnoteReference"/>
          <w:bCs/>
        </w:rPr>
        <w:footnoteReference w:id="12"/>
      </w:r>
      <w:r w:rsidR="00C31F21">
        <w:t xml:space="preserve">  </w:t>
      </w:r>
      <w:r w:rsidRPr="00402171">
        <w:rPr>
          <w:bCs/>
        </w:rPr>
        <w:t xml:space="preserve">In addressing the evidence relevant to </w:t>
      </w:r>
      <w:r w:rsidR="000F67ED">
        <w:rPr>
          <w:bCs/>
        </w:rPr>
        <w:t xml:space="preserve">plaintiffs’ </w:t>
      </w:r>
      <w:r w:rsidRPr="00402171">
        <w:rPr>
          <w:bCs/>
        </w:rPr>
        <w:t>theory</w:t>
      </w:r>
      <w:r w:rsidR="00D2590E">
        <w:rPr>
          <w:bCs/>
        </w:rPr>
        <w:t xml:space="preserve"> above</w:t>
      </w:r>
      <w:r w:rsidRPr="00402171">
        <w:rPr>
          <w:bCs/>
        </w:rPr>
        <w:t>, t</w:t>
      </w:r>
      <w:r w:rsidR="00BD0370" w:rsidRPr="00402171">
        <w:rPr>
          <w:bCs/>
        </w:rPr>
        <w:t xml:space="preserve">he court </w:t>
      </w:r>
      <w:r w:rsidR="00163B9F" w:rsidRPr="00402171">
        <w:rPr>
          <w:bCs/>
        </w:rPr>
        <w:t xml:space="preserve">observed </w:t>
      </w:r>
      <w:r w:rsidR="00BD0370" w:rsidRPr="00402171">
        <w:rPr>
          <w:bCs/>
        </w:rPr>
        <w:t xml:space="preserve">one of plaintiffs’ witnesses </w:t>
      </w:r>
      <w:r w:rsidR="00E44002" w:rsidRPr="00402171">
        <w:rPr>
          <w:bCs/>
        </w:rPr>
        <w:t xml:space="preserve">“first . . . </w:t>
      </w:r>
      <w:r w:rsidRPr="00402171">
        <w:rPr>
          <w:bCs/>
        </w:rPr>
        <w:t>s</w:t>
      </w:r>
      <w:r w:rsidR="00E44002" w:rsidRPr="00402171">
        <w:rPr>
          <w:bCs/>
        </w:rPr>
        <w:t xml:space="preserve">aid she had to be relieved to take a meal break. </w:t>
      </w:r>
      <w:r w:rsidR="00525D3F">
        <w:rPr>
          <w:bCs/>
        </w:rPr>
        <w:t xml:space="preserve"> </w:t>
      </w:r>
      <w:r w:rsidR="00E44002" w:rsidRPr="00402171">
        <w:rPr>
          <w:bCs/>
        </w:rPr>
        <w:t xml:space="preserve">Then she said she didn’t take a meal break after working five hours in a day.  Then she said the opposite, that she did get meal breaks like three times a week.  So </w:t>
      </w:r>
      <w:r w:rsidR="007600F9" w:rsidRPr="00402171">
        <w:rPr>
          <w:bCs/>
        </w:rPr>
        <w:t xml:space="preserve">she changed her testimony. </w:t>
      </w:r>
      <w:r w:rsidR="00702509" w:rsidRPr="00402171">
        <w:rPr>
          <w:bCs/>
        </w:rPr>
        <w:t xml:space="preserve"> </w:t>
      </w:r>
      <w:r w:rsidR="007600F9" w:rsidRPr="00402171">
        <w:rPr>
          <w:bCs/>
        </w:rPr>
        <w:t>On a dime.</w:t>
      </w:r>
      <w:r w:rsidR="00DC7D2E" w:rsidRPr="00402171">
        <w:rPr>
          <w:bCs/>
        </w:rPr>
        <w:t>”</w:t>
      </w:r>
      <w:r w:rsidR="00D46166" w:rsidRPr="00402171">
        <w:rPr>
          <w:bCs/>
        </w:rPr>
        <w:t xml:space="preserve"> </w:t>
      </w:r>
      <w:r w:rsidR="00890B0A">
        <w:rPr>
          <w:bCs/>
        </w:rPr>
        <w:t xml:space="preserve"> </w:t>
      </w:r>
      <w:r w:rsidR="006B12A7" w:rsidRPr="00402171">
        <w:t>Likewise, t</w:t>
      </w:r>
      <w:r w:rsidR="00673F47" w:rsidRPr="00402171">
        <w:t>he court</w:t>
      </w:r>
      <w:r w:rsidR="00673F47" w:rsidRPr="00402171">
        <w:rPr>
          <w:b/>
          <w:bCs/>
        </w:rPr>
        <w:t xml:space="preserve"> </w:t>
      </w:r>
      <w:r w:rsidR="006B12A7" w:rsidRPr="00402171">
        <w:t xml:space="preserve">noted </w:t>
      </w:r>
      <w:r w:rsidR="00673F47" w:rsidRPr="00402171">
        <w:t>another of plaintiffs’ witnesses “</w:t>
      </w:r>
      <w:r w:rsidR="00DD7FCA" w:rsidRPr="00402171">
        <w:t>gave three</w:t>
      </w:r>
      <w:r w:rsidR="00673F47" w:rsidRPr="00402171">
        <w:t xml:space="preserve"> </w:t>
      </w:r>
      <w:r w:rsidR="00DD7FCA" w:rsidRPr="00402171">
        <w:t>different answers right in a row on this topic regarding how</w:t>
      </w:r>
      <w:r w:rsidR="00673F47" w:rsidRPr="00402171">
        <w:t xml:space="preserve"> </w:t>
      </w:r>
      <w:r w:rsidR="00DD7FCA" w:rsidRPr="00402171">
        <w:t>often</w:t>
      </w:r>
      <w:r w:rsidR="00673F47" w:rsidRPr="00402171">
        <w:t xml:space="preserve">” his manager told him he could not </w:t>
      </w:r>
      <w:r w:rsidR="00DD7FCA" w:rsidRPr="00402171">
        <w:t xml:space="preserve">take lunch </w:t>
      </w:r>
      <w:r w:rsidR="00163B9F" w:rsidRPr="00402171">
        <w:t xml:space="preserve">before </w:t>
      </w:r>
      <w:r w:rsidR="00DD7FCA" w:rsidRPr="00402171">
        <w:t>finishing his work</w:t>
      </w:r>
      <w:r w:rsidR="00673F47" w:rsidRPr="00402171">
        <w:t>.</w:t>
      </w:r>
      <w:r w:rsidR="00890B0A">
        <w:t xml:space="preserve">  </w:t>
      </w:r>
      <w:r w:rsidR="006B12A7" w:rsidRPr="00402171">
        <w:t xml:space="preserve">It </w:t>
      </w:r>
      <w:r w:rsidR="00B614DE">
        <w:t xml:space="preserve">also </w:t>
      </w:r>
      <w:r w:rsidR="002B4397">
        <w:t xml:space="preserve">highlighted </w:t>
      </w:r>
      <w:r w:rsidR="006B12A7" w:rsidRPr="00402171">
        <w:t>a</w:t>
      </w:r>
      <w:r w:rsidR="00163B9F" w:rsidRPr="00402171">
        <w:t xml:space="preserve">nother </w:t>
      </w:r>
      <w:r w:rsidR="006B12A7" w:rsidRPr="00402171">
        <w:t>witness</w:t>
      </w:r>
      <w:r w:rsidR="002B4397">
        <w:t xml:space="preserve">’s testimony </w:t>
      </w:r>
      <w:r w:rsidR="007979D0" w:rsidRPr="00402171">
        <w:t xml:space="preserve">that his </w:t>
      </w:r>
      <w:r w:rsidR="006B12A7" w:rsidRPr="00402171">
        <w:t>“</w:t>
      </w:r>
      <w:r w:rsidR="007979D0" w:rsidRPr="00402171">
        <w:t>supervisor did not tell him when to take meal break.  Took meal break after five hours.  Not his decision; supervisor</w:t>
      </w:r>
      <w:r w:rsidR="00163B9F" w:rsidRPr="00402171">
        <w:t>’</w:t>
      </w:r>
      <w:r w:rsidR="007979D0" w:rsidRPr="00402171">
        <w:t>s.  So that sounds like changing his testimony relatively quickly.”</w:t>
      </w:r>
    </w:p>
    <w:p w14:paraId="21B35323" w14:textId="77777777" w:rsidR="00890B0A" w:rsidRDefault="00432A9A" w:rsidP="00C8407A">
      <w:pPr>
        <w:tabs>
          <w:tab w:val="left" w:pos="1440"/>
          <w:tab w:val="left" w:pos="2880"/>
          <w:tab w:val="left" w:pos="4320"/>
          <w:tab w:val="left" w:pos="5760"/>
          <w:tab w:val="left" w:pos="7200"/>
          <w:tab w:val="left" w:pos="8640"/>
        </w:tabs>
        <w:spacing w:line="480" w:lineRule="atLeast"/>
        <w:rPr>
          <w:bCs/>
        </w:rPr>
      </w:pPr>
      <w:r w:rsidRPr="00402171">
        <w:rPr>
          <w:bCs/>
        </w:rPr>
        <w:tab/>
      </w:r>
      <w:r w:rsidR="00107F65">
        <w:rPr>
          <w:bCs/>
        </w:rPr>
        <w:t>T</w:t>
      </w:r>
      <w:r w:rsidR="005E0913" w:rsidRPr="00402171">
        <w:rPr>
          <w:bCs/>
        </w:rPr>
        <w:t xml:space="preserve">hat the court spent significant time pointing out </w:t>
      </w:r>
      <w:r w:rsidR="00B34D6E">
        <w:rPr>
          <w:bCs/>
        </w:rPr>
        <w:t xml:space="preserve">this </w:t>
      </w:r>
      <w:r w:rsidR="005E0913" w:rsidRPr="00402171">
        <w:rPr>
          <w:bCs/>
        </w:rPr>
        <w:t xml:space="preserve">inconsistent testimony causes us to believe it was a material factor in </w:t>
      </w:r>
      <w:r w:rsidR="00CE73C5">
        <w:rPr>
          <w:bCs/>
        </w:rPr>
        <w:t xml:space="preserve">the court’s </w:t>
      </w:r>
      <w:r w:rsidR="003E04A5">
        <w:rPr>
          <w:bCs/>
        </w:rPr>
        <w:t xml:space="preserve">finding </w:t>
      </w:r>
      <w:r w:rsidR="00BC1D2A">
        <w:rPr>
          <w:bCs/>
        </w:rPr>
        <w:t>that employee choice created too many individualized issues</w:t>
      </w:r>
      <w:r w:rsidR="005E0913" w:rsidRPr="00402171">
        <w:rPr>
          <w:bCs/>
        </w:rPr>
        <w:t xml:space="preserve">.  </w:t>
      </w:r>
      <w:r w:rsidR="00042302">
        <w:rPr>
          <w:bCs/>
        </w:rPr>
        <w:t xml:space="preserve">Once </w:t>
      </w:r>
      <w:r w:rsidR="00EB56F0">
        <w:rPr>
          <w:bCs/>
        </w:rPr>
        <w:t xml:space="preserve">the </w:t>
      </w:r>
      <w:r w:rsidR="00EB56F0" w:rsidRPr="00EB56F0">
        <w:rPr>
          <w:bCs/>
          <w:i/>
          <w:iCs/>
        </w:rPr>
        <w:t>Donohue</w:t>
      </w:r>
      <w:r w:rsidR="00EB56F0">
        <w:rPr>
          <w:bCs/>
        </w:rPr>
        <w:t xml:space="preserve"> </w:t>
      </w:r>
      <w:r w:rsidR="00B75CB8" w:rsidRPr="00402171">
        <w:rPr>
          <w:bCs/>
        </w:rPr>
        <w:t>presumption</w:t>
      </w:r>
      <w:r w:rsidR="00515D49">
        <w:rPr>
          <w:bCs/>
        </w:rPr>
        <w:t xml:space="preserve"> </w:t>
      </w:r>
      <w:r w:rsidR="00042302">
        <w:rPr>
          <w:bCs/>
        </w:rPr>
        <w:t xml:space="preserve">was </w:t>
      </w:r>
      <w:r w:rsidR="00515D49">
        <w:rPr>
          <w:bCs/>
        </w:rPr>
        <w:t>raised</w:t>
      </w:r>
      <w:r w:rsidR="00B75CB8" w:rsidRPr="00402171">
        <w:rPr>
          <w:bCs/>
        </w:rPr>
        <w:t xml:space="preserve">, </w:t>
      </w:r>
      <w:r w:rsidR="00C709A4">
        <w:rPr>
          <w:bCs/>
        </w:rPr>
        <w:t xml:space="preserve">though, </w:t>
      </w:r>
      <w:r w:rsidR="00065B8A">
        <w:rPr>
          <w:bCs/>
        </w:rPr>
        <w:t xml:space="preserve">plaintiffs </w:t>
      </w:r>
      <w:r w:rsidR="00042302">
        <w:rPr>
          <w:bCs/>
        </w:rPr>
        <w:t xml:space="preserve">no longer had the </w:t>
      </w:r>
      <w:r w:rsidR="008877C6">
        <w:rPr>
          <w:bCs/>
        </w:rPr>
        <w:t xml:space="preserve">burden of proving a </w:t>
      </w:r>
      <w:r w:rsidR="00472170">
        <w:rPr>
          <w:bCs/>
        </w:rPr>
        <w:t xml:space="preserve">theory of </w:t>
      </w:r>
      <w:r w:rsidR="001163FF">
        <w:rPr>
          <w:bCs/>
        </w:rPr>
        <w:t>class</w:t>
      </w:r>
      <w:r w:rsidR="005E0168">
        <w:rPr>
          <w:bCs/>
        </w:rPr>
        <w:t xml:space="preserve"> </w:t>
      </w:r>
      <w:r w:rsidR="00472170">
        <w:rPr>
          <w:bCs/>
        </w:rPr>
        <w:t>liability</w:t>
      </w:r>
      <w:r w:rsidR="00065B8A">
        <w:rPr>
          <w:bCs/>
        </w:rPr>
        <w:t xml:space="preserve">.  </w:t>
      </w:r>
      <w:r w:rsidR="00E215B7">
        <w:rPr>
          <w:bCs/>
        </w:rPr>
        <w:t xml:space="preserve">Rather, </w:t>
      </w:r>
      <w:r w:rsidR="00A61615">
        <w:rPr>
          <w:bCs/>
        </w:rPr>
        <w:t xml:space="preserve">it would have been presumed from the time records that </w:t>
      </w:r>
      <w:r w:rsidR="00065B8A">
        <w:rPr>
          <w:bCs/>
        </w:rPr>
        <w:t>Royalty</w:t>
      </w:r>
      <w:r w:rsidR="00A61615">
        <w:rPr>
          <w:bCs/>
        </w:rPr>
        <w:t xml:space="preserve"> </w:t>
      </w:r>
      <w:r w:rsidR="004A7865">
        <w:rPr>
          <w:bCs/>
        </w:rPr>
        <w:t xml:space="preserve">had provided </w:t>
      </w:r>
      <w:r w:rsidR="00A61615">
        <w:rPr>
          <w:bCs/>
        </w:rPr>
        <w:t xml:space="preserve">untimely meal periods </w:t>
      </w:r>
      <w:r w:rsidR="004B443E">
        <w:rPr>
          <w:bCs/>
        </w:rPr>
        <w:t>to its employees</w:t>
      </w:r>
      <w:r w:rsidR="00392F46">
        <w:rPr>
          <w:bCs/>
        </w:rPr>
        <w:t xml:space="preserve"> and was liable for those viola</w:t>
      </w:r>
      <w:r w:rsidR="0007377D">
        <w:rPr>
          <w:bCs/>
        </w:rPr>
        <w:t>tions</w:t>
      </w:r>
      <w:r w:rsidR="00434CE3">
        <w:rPr>
          <w:bCs/>
        </w:rPr>
        <w:t xml:space="preserve">. </w:t>
      </w:r>
      <w:r w:rsidR="00A61615">
        <w:rPr>
          <w:bCs/>
        </w:rPr>
        <w:t xml:space="preserve"> </w:t>
      </w:r>
      <w:r w:rsidR="00A61615" w:rsidRPr="00A61615">
        <w:rPr>
          <w:bCs/>
        </w:rPr>
        <w:t>(</w:t>
      </w:r>
      <w:r w:rsidR="00A61615" w:rsidRPr="00A61615">
        <w:rPr>
          <w:bCs/>
          <w:i/>
          <w:iCs/>
        </w:rPr>
        <w:t>Donohue</w:t>
      </w:r>
      <w:r w:rsidR="00A61615" w:rsidRPr="00A61615">
        <w:rPr>
          <w:bCs/>
        </w:rPr>
        <w:t xml:space="preserve">, </w:t>
      </w:r>
      <w:r w:rsidR="00A61615" w:rsidRPr="00A61615">
        <w:rPr>
          <w:bCs/>
          <w:i/>
          <w:iCs/>
        </w:rPr>
        <w:t>supra</w:t>
      </w:r>
      <w:r w:rsidR="00A61615" w:rsidRPr="00A61615">
        <w:rPr>
          <w:bCs/>
        </w:rPr>
        <w:t>, 11 Cal.5th at p</w:t>
      </w:r>
      <w:r w:rsidR="00A61615">
        <w:rPr>
          <w:bCs/>
        </w:rPr>
        <w:t>p</w:t>
      </w:r>
      <w:r w:rsidR="00A61615" w:rsidRPr="00A61615">
        <w:rPr>
          <w:bCs/>
        </w:rPr>
        <w:t xml:space="preserve">. </w:t>
      </w:r>
      <w:r w:rsidR="00A61615">
        <w:rPr>
          <w:bCs/>
        </w:rPr>
        <w:t xml:space="preserve">74, </w:t>
      </w:r>
      <w:r w:rsidR="00A61615" w:rsidRPr="00A61615">
        <w:rPr>
          <w:bCs/>
        </w:rPr>
        <w:t xml:space="preserve">77.) </w:t>
      </w:r>
      <w:r w:rsidR="00434CE3">
        <w:rPr>
          <w:bCs/>
        </w:rPr>
        <w:t xml:space="preserve"> </w:t>
      </w:r>
      <w:r w:rsidR="004853DC">
        <w:rPr>
          <w:bCs/>
        </w:rPr>
        <w:t xml:space="preserve">Put differently, class liability would be presumed.  </w:t>
      </w:r>
      <w:r w:rsidR="00D51D07">
        <w:rPr>
          <w:bCs/>
        </w:rPr>
        <w:t xml:space="preserve">The burden would then be on </w:t>
      </w:r>
      <w:r w:rsidR="004853DC">
        <w:rPr>
          <w:bCs/>
        </w:rPr>
        <w:t xml:space="preserve">Royalty </w:t>
      </w:r>
      <w:r w:rsidR="00D51D07">
        <w:rPr>
          <w:bCs/>
        </w:rPr>
        <w:t xml:space="preserve">to show </w:t>
      </w:r>
      <w:r w:rsidR="00510681">
        <w:rPr>
          <w:bCs/>
        </w:rPr>
        <w:t xml:space="preserve">it </w:t>
      </w:r>
      <w:r w:rsidR="00636731">
        <w:rPr>
          <w:bCs/>
        </w:rPr>
        <w:t xml:space="preserve">gave </w:t>
      </w:r>
      <w:r w:rsidR="004478F3">
        <w:rPr>
          <w:bCs/>
        </w:rPr>
        <w:t>employees</w:t>
      </w:r>
      <w:r w:rsidR="00395293">
        <w:rPr>
          <w:bCs/>
        </w:rPr>
        <w:t xml:space="preserve"> </w:t>
      </w:r>
      <w:r w:rsidR="00641E9A">
        <w:rPr>
          <w:bCs/>
        </w:rPr>
        <w:t xml:space="preserve">compliant </w:t>
      </w:r>
      <w:r w:rsidR="0027240F">
        <w:rPr>
          <w:bCs/>
        </w:rPr>
        <w:t xml:space="preserve">meal breaks </w:t>
      </w:r>
      <w:r w:rsidR="00E21543">
        <w:rPr>
          <w:bCs/>
        </w:rPr>
        <w:t>that were voluntarily not taken</w:t>
      </w:r>
      <w:r w:rsidR="0027240F">
        <w:rPr>
          <w:bCs/>
        </w:rPr>
        <w:t xml:space="preserve">.  </w:t>
      </w:r>
      <w:r w:rsidR="00395293">
        <w:t xml:space="preserve">In </w:t>
      </w:r>
      <w:r w:rsidR="00557256">
        <w:t xml:space="preserve">this </w:t>
      </w:r>
      <w:r w:rsidR="00395293">
        <w:t>scenario</w:t>
      </w:r>
      <w:r w:rsidR="005F0DD5">
        <w:t xml:space="preserve">, we are not </w:t>
      </w:r>
      <w:r w:rsidR="0078502E">
        <w:t xml:space="preserve">reasonably </w:t>
      </w:r>
      <w:r w:rsidR="0078502E">
        <w:lastRenderedPageBreak/>
        <w:t>certain</w:t>
      </w:r>
      <w:r w:rsidR="005F0DD5">
        <w:t xml:space="preserve"> the conflicting testimony of five employees</w:t>
      </w:r>
      <w:r w:rsidR="00FE4D55">
        <w:t xml:space="preserve">, </w:t>
      </w:r>
      <w:r w:rsidR="00514488">
        <w:t xml:space="preserve">from </w:t>
      </w:r>
      <w:r w:rsidR="00FE4D55">
        <w:t>a class of 215 employees,</w:t>
      </w:r>
      <w:r w:rsidR="005F0DD5">
        <w:t xml:space="preserve"> </w:t>
      </w:r>
      <w:r w:rsidR="00191624">
        <w:t xml:space="preserve">would </w:t>
      </w:r>
      <w:r w:rsidR="00DC07E5">
        <w:t xml:space="preserve">still </w:t>
      </w:r>
      <w:r w:rsidR="00191624">
        <w:t xml:space="preserve">have led </w:t>
      </w:r>
      <w:r w:rsidR="0019358D">
        <w:t xml:space="preserve">the court to conclude </w:t>
      </w:r>
      <w:r w:rsidR="00191624">
        <w:t>that employee choice was a significant factor</w:t>
      </w:r>
      <w:r w:rsidR="003C6639">
        <w:t xml:space="preserve"> and created too many individualized issues</w:t>
      </w:r>
      <w:r w:rsidR="00EB1466">
        <w:t>.</w:t>
      </w:r>
      <w:r>
        <w:t xml:space="preserve"> </w:t>
      </w:r>
      <w:r w:rsidR="00EB1466">
        <w:t xml:space="preserve"> </w:t>
      </w:r>
      <w:r w:rsidR="000A15DF">
        <w:t xml:space="preserve">Rather, </w:t>
      </w:r>
      <w:r w:rsidR="00F45E9D">
        <w:t xml:space="preserve">there is a reasonable probability </w:t>
      </w:r>
      <w:r w:rsidR="000A15DF">
        <w:t xml:space="preserve">the court </w:t>
      </w:r>
      <w:r w:rsidR="00D821C4">
        <w:t xml:space="preserve">would </w:t>
      </w:r>
      <w:r w:rsidR="000A15DF">
        <w:t xml:space="preserve">have </w:t>
      </w:r>
      <w:r w:rsidR="00E03A9D">
        <w:t xml:space="preserve">reached a </w:t>
      </w:r>
      <w:r w:rsidR="003015F3">
        <w:t xml:space="preserve">different </w:t>
      </w:r>
      <w:r w:rsidR="00E03A9D">
        <w:t xml:space="preserve">result </w:t>
      </w:r>
      <w:r w:rsidR="003015F3">
        <w:t xml:space="preserve">based on </w:t>
      </w:r>
      <w:r w:rsidR="00A565BE">
        <w:t xml:space="preserve">this </w:t>
      </w:r>
      <w:r w:rsidR="003015F3">
        <w:t xml:space="preserve">evidence.  </w:t>
      </w:r>
      <w:r w:rsidR="007A0FD0">
        <w:rPr>
          <w:bCs/>
        </w:rPr>
        <w:t>O</w:t>
      </w:r>
      <w:r w:rsidR="00E63538" w:rsidRPr="00402171">
        <w:rPr>
          <w:bCs/>
        </w:rPr>
        <w:t>ur confidence in the court’s ruling</w:t>
      </w:r>
      <w:r w:rsidR="005E0913" w:rsidRPr="00402171">
        <w:rPr>
          <w:bCs/>
        </w:rPr>
        <w:t xml:space="preserve"> is sufficiently undermined to find prejudice</w:t>
      </w:r>
      <w:r w:rsidR="00E63538" w:rsidRPr="00402171">
        <w:rPr>
          <w:bCs/>
        </w:rPr>
        <w:t>.</w:t>
      </w:r>
    </w:p>
    <w:p w14:paraId="400A9D3B" w14:textId="04590888" w:rsidR="001C3E97" w:rsidRPr="00402171" w:rsidRDefault="00432A9A" w:rsidP="00C8407A">
      <w:pPr>
        <w:tabs>
          <w:tab w:val="left" w:pos="1440"/>
          <w:tab w:val="left" w:pos="2880"/>
          <w:tab w:val="left" w:pos="4320"/>
          <w:tab w:val="left" w:pos="5760"/>
          <w:tab w:val="left" w:pos="7200"/>
          <w:tab w:val="left" w:pos="8640"/>
        </w:tabs>
        <w:spacing w:line="480" w:lineRule="atLeast"/>
        <w:rPr>
          <w:bCs/>
        </w:rPr>
      </w:pPr>
      <w:r w:rsidRPr="00402171">
        <w:rPr>
          <w:bCs/>
        </w:rPr>
        <w:tab/>
        <w:t xml:space="preserve">Similarly, </w:t>
      </w:r>
      <w:r w:rsidR="00D6771D" w:rsidRPr="00402171">
        <w:rPr>
          <w:bCs/>
        </w:rPr>
        <w:t xml:space="preserve">as to the missed second meal period claims, </w:t>
      </w:r>
      <w:r w:rsidR="00C45B31" w:rsidRPr="00402171">
        <w:rPr>
          <w:bCs/>
        </w:rPr>
        <w:t xml:space="preserve">the court’s ruling was based on evidence that some employees wanted to </w:t>
      </w:r>
      <w:r w:rsidR="003F5568" w:rsidRPr="00402171">
        <w:rPr>
          <w:bCs/>
        </w:rPr>
        <w:t>skip second meal breaks so they could leave earlier in the day.</w:t>
      </w:r>
      <w:r w:rsidR="00733DD7" w:rsidRPr="00402171">
        <w:rPr>
          <w:bCs/>
        </w:rPr>
        <w:t xml:space="preserve"> </w:t>
      </w:r>
      <w:r w:rsidR="0014351C" w:rsidRPr="00402171">
        <w:rPr>
          <w:bCs/>
        </w:rPr>
        <w:t xml:space="preserve"> </w:t>
      </w:r>
      <w:r w:rsidR="00733DD7" w:rsidRPr="00402171">
        <w:rPr>
          <w:bCs/>
        </w:rPr>
        <w:t xml:space="preserve">But, again, </w:t>
      </w:r>
      <w:r w:rsidR="001867F4">
        <w:rPr>
          <w:bCs/>
        </w:rPr>
        <w:t xml:space="preserve">this </w:t>
      </w:r>
      <w:r w:rsidR="0014351C" w:rsidRPr="00402171">
        <w:rPr>
          <w:bCs/>
        </w:rPr>
        <w:t xml:space="preserve">ruling was based </w:t>
      </w:r>
      <w:r w:rsidRPr="00402171">
        <w:rPr>
          <w:bCs/>
        </w:rPr>
        <w:t xml:space="preserve">on the erroneous belief that </w:t>
      </w:r>
      <w:r w:rsidR="0014351C" w:rsidRPr="00402171">
        <w:rPr>
          <w:bCs/>
        </w:rPr>
        <w:t>plaintiffs</w:t>
      </w:r>
      <w:r w:rsidRPr="00402171">
        <w:rPr>
          <w:bCs/>
        </w:rPr>
        <w:t xml:space="preserve"> had the burden of showing </w:t>
      </w:r>
      <w:r w:rsidR="00A52E7F">
        <w:rPr>
          <w:bCs/>
        </w:rPr>
        <w:t xml:space="preserve">second </w:t>
      </w:r>
      <w:r w:rsidRPr="00402171">
        <w:rPr>
          <w:bCs/>
        </w:rPr>
        <w:t>meal breaks</w:t>
      </w:r>
      <w:r w:rsidR="000628FD">
        <w:rPr>
          <w:bCs/>
        </w:rPr>
        <w:t xml:space="preserve"> </w:t>
      </w:r>
      <w:r w:rsidR="00A52E7F">
        <w:rPr>
          <w:bCs/>
        </w:rPr>
        <w:t xml:space="preserve">were not given and </w:t>
      </w:r>
      <w:r w:rsidR="000628FD">
        <w:rPr>
          <w:bCs/>
        </w:rPr>
        <w:t>establishing a theory of class liability</w:t>
      </w:r>
      <w:r w:rsidR="0014351C" w:rsidRPr="00402171">
        <w:rPr>
          <w:bCs/>
        </w:rPr>
        <w:t xml:space="preserve">. </w:t>
      </w:r>
      <w:r w:rsidR="00231DA7" w:rsidRPr="00402171">
        <w:rPr>
          <w:bCs/>
        </w:rPr>
        <w:t xml:space="preserve"> </w:t>
      </w:r>
      <w:r w:rsidRPr="00402171">
        <w:rPr>
          <w:bCs/>
        </w:rPr>
        <w:t xml:space="preserve">Instead, it was Royalty’s burden to show </w:t>
      </w:r>
      <w:r w:rsidR="00064598">
        <w:rPr>
          <w:bCs/>
        </w:rPr>
        <w:t xml:space="preserve">it provided second meal periods and that a </w:t>
      </w:r>
      <w:r w:rsidR="00A13D2B">
        <w:rPr>
          <w:bCs/>
        </w:rPr>
        <w:t>material</w:t>
      </w:r>
      <w:r w:rsidRPr="00402171">
        <w:rPr>
          <w:bCs/>
        </w:rPr>
        <w:t xml:space="preserve"> number of employees chose to skip </w:t>
      </w:r>
      <w:r w:rsidR="00064598">
        <w:rPr>
          <w:bCs/>
        </w:rPr>
        <w:t>them</w:t>
      </w:r>
      <w:r w:rsidRPr="00402171">
        <w:rPr>
          <w:bCs/>
        </w:rPr>
        <w:t>.</w:t>
      </w:r>
    </w:p>
    <w:p w14:paraId="07982E40" w14:textId="77777777" w:rsidR="00A13D2B" w:rsidRDefault="00432A9A" w:rsidP="00F01BA1">
      <w:pPr>
        <w:tabs>
          <w:tab w:val="left" w:pos="1440"/>
          <w:tab w:val="left" w:pos="2880"/>
          <w:tab w:val="left" w:pos="4320"/>
          <w:tab w:val="left" w:pos="5760"/>
          <w:tab w:val="left" w:pos="7200"/>
          <w:tab w:val="left" w:pos="8640"/>
        </w:tabs>
        <w:spacing w:line="480" w:lineRule="atLeast"/>
        <w:rPr>
          <w:bCs/>
        </w:rPr>
      </w:pPr>
      <w:r w:rsidRPr="00402171">
        <w:rPr>
          <w:bCs/>
        </w:rPr>
        <w:tab/>
      </w:r>
      <w:r w:rsidR="00C933CF" w:rsidRPr="00402171">
        <w:rPr>
          <w:bCs/>
        </w:rPr>
        <w:t xml:space="preserve">At trial, </w:t>
      </w:r>
      <w:r w:rsidR="00604575">
        <w:rPr>
          <w:bCs/>
        </w:rPr>
        <w:t xml:space="preserve">there was </w:t>
      </w:r>
      <w:r w:rsidR="00D90044">
        <w:rPr>
          <w:bCs/>
        </w:rPr>
        <w:t xml:space="preserve">some evidence </w:t>
      </w:r>
      <w:r w:rsidR="003C6697">
        <w:rPr>
          <w:bCs/>
        </w:rPr>
        <w:t xml:space="preserve">directly </w:t>
      </w:r>
      <w:r w:rsidR="00D90044">
        <w:rPr>
          <w:bCs/>
        </w:rPr>
        <w:t xml:space="preserve">showing </w:t>
      </w:r>
      <w:r w:rsidR="00C933CF" w:rsidRPr="00402171">
        <w:rPr>
          <w:bCs/>
        </w:rPr>
        <w:t xml:space="preserve">employees </w:t>
      </w:r>
      <w:r w:rsidR="00D31CB3" w:rsidRPr="00402171">
        <w:rPr>
          <w:bCs/>
        </w:rPr>
        <w:t xml:space="preserve">voluntarily chose to skip </w:t>
      </w:r>
      <w:r w:rsidR="00C87AE4">
        <w:rPr>
          <w:bCs/>
        </w:rPr>
        <w:t xml:space="preserve">second </w:t>
      </w:r>
      <w:r w:rsidR="00D31CB3" w:rsidRPr="00402171">
        <w:rPr>
          <w:bCs/>
        </w:rPr>
        <w:t>meal breaks</w:t>
      </w:r>
      <w:r w:rsidR="00563A11">
        <w:rPr>
          <w:bCs/>
        </w:rPr>
        <w:t xml:space="preserve">, but it was </w:t>
      </w:r>
      <w:r w:rsidR="00523A56">
        <w:rPr>
          <w:bCs/>
        </w:rPr>
        <w:t>not entirely persuasive</w:t>
      </w:r>
      <w:r w:rsidR="00563A11">
        <w:rPr>
          <w:bCs/>
        </w:rPr>
        <w:t xml:space="preserve">.  </w:t>
      </w:r>
      <w:r w:rsidR="0014084B">
        <w:rPr>
          <w:bCs/>
        </w:rPr>
        <w:t xml:space="preserve">Royalty had </w:t>
      </w:r>
      <w:r w:rsidR="0054360D" w:rsidRPr="00402171">
        <w:rPr>
          <w:bCs/>
        </w:rPr>
        <w:t xml:space="preserve">waivers signed by three different employees – Juan Martinez, Agustin Mendoza, and Alberto Ventura. </w:t>
      </w:r>
      <w:r w:rsidR="00890B0A">
        <w:rPr>
          <w:bCs/>
        </w:rPr>
        <w:t xml:space="preserve"> </w:t>
      </w:r>
      <w:r w:rsidR="0075031A">
        <w:rPr>
          <w:bCs/>
        </w:rPr>
        <w:t xml:space="preserve">But </w:t>
      </w:r>
      <w:r w:rsidR="009628F8">
        <w:rPr>
          <w:bCs/>
        </w:rPr>
        <w:t xml:space="preserve">one of these </w:t>
      </w:r>
      <w:r w:rsidR="00682E9C">
        <w:rPr>
          <w:bCs/>
        </w:rPr>
        <w:t>employees</w:t>
      </w:r>
      <w:r w:rsidR="009628F8">
        <w:rPr>
          <w:bCs/>
        </w:rPr>
        <w:t xml:space="preserve">, Ventura, had previously submitted a declaration </w:t>
      </w:r>
      <w:r w:rsidR="004D6038">
        <w:rPr>
          <w:bCs/>
        </w:rPr>
        <w:t xml:space="preserve">indicating his waiver was involuntary:  </w:t>
      </w:r>
      <w:r w:rsidR="00DA0497">
        <w:rPr>
          <w:bCs/>
        </w:rPr>
        <w:t>“</w:t>
      </w:r>
      <w:r w:rsidR="00DA0497" w:rsidRPr="00DA0497">
        <w:rPr>
          <w:bCs/>
        </w:rPr>
        <w:t xml:space="preserve">if my co-workers and </w:t>
      </w:r>
      <w:r w:rsidR="00DA0497">
        <w:rPr>
          <w:bCs/>
        </w:rPr>
        <w:t>I</w:t>
      </w:r>
      <w:r w:rsidR="00DA0497" w:rsidRPr="00DA0497">
        <w:rPr>
          <w:bCs/>
        </w:rPr>
        <w:t xml:space="preserve"> worked more than 10 hours</w:t>
      </w:r>
      <w:r w:rsidR="00DA0497">
        <w:rPr>
          <w:bCs/>
        </w:rPr>
        <w:t xml:space="preserve"> </w:t>
      </w:r>
      <w:r w:rsidR="00DA0497" w:rsidRPr="00DA0497">
        <w:rPr>
          <w:bCs/>
        </w:rPr>
        <w:t xml:space="preserve">in a day, </w:t>
      </w:r>
      <w:r w:rsidR="00DA0497">
        <w:rPr>
          <w:bCs/>
        </w:rPr>
        <w:t>[our supervisors] . . . </w:t>
      </w:r>
      <w:r w:rsidR="00DA0497" w:rsidRPr="00DA0497">
        <w:rPr>
          <w:bCs/>
        </w:rPr>
        <w:t>require</w:t>
      </w:r>
      <w:r w:rsidR="00DA0497">
        <w:rPr>
          <w:bCs/>
        </w:rPr>
        <w:t>[d]</w:t>
      </w:r>
      <w:r w:rsidR="00DA0497" w:rsidRPr="00DA0497">
        <w:rPr>
          <w:bCs/>
        </w:rPr>
        <w:t xml:space="preserve"> us to sign a document stating that we waived our second meal</w:t>
      </w:r>
      <w:r w:rsidR="00DA0497">
        <w:rPr>
          <w:bCs/>
        </w:rPr>
        <w:t xml:space="preserve"> </w:t>
      </w:r>
      <w:r w:rsidR="00DA0497" w:rsidRPr="00DA0497">
        <w:rPr>
          <w:bCs/>
        </w:rPr>
        <w:t>break.</w:t>
      </w:r>
      <w:r w:rsidR="00DA0497">
        <w:rPr>
          <w:bCs/>
        </w:rPr>
        <w:t>”</w:t>
      </w:r>
    </w:p>
    <w:p w14:paraId="149EBCDB" w14:textId="7432F243" w:rsidR="00F01BA1" w:rsidRDefault="00432A9A" w:rsidP="00F01BA1">
      <w:pPr>
        <w:tabs>
          <w:tab w:val="left" w:pos="1440"/>
          <w:tab w:val="left" w:pos="2880"/>
          <w:tab w:val="left" w:pos="4320"/>
          <w:tab w:val="left" w:pos="5760"/>
          <w:tab w:val="left" w:pos="7200"/>
          <w:tab w:val="left" w:pos="8640"/>
        </w:tabs>
        <w:spacing w:line="480" w:lineRule="atLeast"/>
      </w:pPr>
      <w:r>
        <w:rPr>
          <w:bCs/>
        </w:rPr>
        <w:tab/>
      </w:r>
      <w:r w:rsidR="00907F71">
        <w:rPr>
          <w:bCs/>
        </w:rPr>
        <w:t xml:space="preserve">Royalty </w:t>
      </w:r>
      <w:r w:rsidR="00F060CF">
        <w:rPr>
          <w:bCs/>
        </w:rPr>
        <w:t xml:space="preserve">also </w:t>
      </w:r>
      <w:r w:rsidR="00907F71">
        <w:rPr>
          <w:bCs/>
        </w:rPr>
        <w:t xml:space="preserve">called two employees to testify at trial.  </w:t>
      </w:r>
      <w:r w:rsidR="00697E75">
        <w:rPr>
          <w:bCs/>
        </w:rPr>
        <w:t xml:space="preserve">One </w:t>
      </w:r>
      <w:r w:rsidR="00697E75" w:rsidRPr="00402171">
        <w:t>witness</w:t>
      </w:r>
      <w:r w:rsidR="00697E75">
        <w:t xml:space="preserve"> </w:t>
      </w:r>
      <w:r w:rsidR="001F5ACA">
        <w:t xml:space="preserve">said </w:t>
      </w:r>
      <w:r w:rsidR="00697E75" w:rsidRPr="00402171">
        <w:t>he was unaware of his right to a second meal break.</w:t>
      </w:r>
      <w:r w:rsidR="00890B0A">
        <w:t xml:space="preserve">  </w:t>
      </w:r>
      <w:r w:rsidR="001574A3">
        <w:rPr>
          <w:bCs/>
        </w:rPr>
        <w:t xml:space="preserve">The other </w:t>
      </w:r>
      <w:r w:rsidR="00C67E7E">
        <w:rPr>
          <w:bCs/>
        </w:rPr>
        <w:t xml:space="preserve">witness, a lead employee, </w:t>
      </w:r>
      <w:r w:rsidR="00554FD6" w:rsidRPr="00402171">
        <w:t>testified he waived his second meal break so he could leave early</w:t>
      </w:r>
      <w:r w:rsidR="00890B0A">
        <w:t xml:space="preserve">, </w:t>
      </w:r>
      <w:r w:rsidR="00084A11" w:rsidRPr="00084A11">
        <w:rPr>
          <w:bCs/>
        </w:rPr>
        <w:t>and</w:t>
      </w:r>
      <w:r w:rsidR="00084A11">
        <w:rPr>
          <w:b/>
        </w:rPr>
        <w:t xml:space="preserve"> </w:t>
      </w:r>
      <w:r w:rsidR="00212F92">
        <w:rPr>
          <w:bCs/>
        </w:rPr>
        <w:t xml:space="preserve">he also </w:t>
      </w:r>
      <w:r w:rsidR="00212F92">
        <w:t xml:space="preserve">stated </w:t>
      </w:r>
      <w:r w:rsidR="00007DFB" w:rsidRPr="00402171">
        <w:t xml:space="preserve">an indefinite number of employees sometimes told him they wanted to skip their second meal break.  </w:t>
      </w:r>
      <w:r w:rsidR="003D40E3">
        <w:t xml:space="preserve">But this same employee also testified </w:t>
      </w:r>
      <w:r>
        <w:t xml:space="preserve">he was unaware of employees’ right to a second meal break for a </w:t>
      </w:r>
      <w:r w:rsidR="006A0FAA">
        <w:t>substantial</w:t>
      </w:r>
      <w:r w:rsidR="00F03D9B">
        <w:t xml:space="preserve"> </w:t>
      </w:r>
      <w:r>
        <w:t>portion of the class period:</w:t>
      </w:r>
    </w:p>
    <w:p w14:paraId="28BFDE4C" w14:textId="2CA4DEE5" w:rsidR="00F01BA1" w:rsidRDefault="00432A9A" w:rsidP="00F01BA1">
      <w:pPr>
        <w:tabs>
          <w:tab w:val="left" w:pos="1440"/>
          <w:tab w:val="left" w:pos="2880"/>
          <w:tab w:val="left" w:pos="4320"/>
          <w:tab w:val="left" w:pos="5760"/>
          <w:tab w:val="left" w:pos="7200"/>
          <w:tab w:val="left" w:pos="8640"/>
        </w:tabs>
        <w:spacing w:line="480" w:lineRule="atLeast"/>
      </w:pPr>
      <w:r>
        <w:tab/>
      </w:r>
      <w:r w:rsidR="00890B0A">
        <w:t>“</w:t>
      </w:r>
      <w:r>
        <w:t>Q:  During t</w:t>
      </w:r>
      <w:r>
        <w:t>he period of December 2009 to November 2013, did you sometimes work shifts that lasted more than 10 hours?</w:t>
      </w:r>
    </w:p>
    <w:p w14:paraId="63BFE10D" w14:textId="5CA200DE" w:rsidR="00F01BA1" w:rsidRDefault="00432A9A" w:rsidP="00F01BA1">
      <w:pPr>
        <w:tabs>
          <w:tab w:val="left" w:pos="1440"/>
          <w:tab w:val="left" w:pos="2880"/>
          <w:tab w:val="left" w:pos="4320"/>
          <w:tab w:val="left" w:pos="5760"/>
          <w:tab w:val="left" w:pos="7200"/>
          <w:tab w:val="left" w:pos="8640"/>
        </w:tabs>
        <w:spacing w:line="480" w:lineRule="atLeast"/>
      </w:pPr>
      <w:r>
        <w:lastRenderedPageBreak/>
        <w:tab/>
      </w:r>
      <w:r w:rsidR="00890B0A">
        <w:t>“</w:t>
      </w:r>
      <w:r>
        <w:t>A:  Yes.</w:t>
      </w:r>
    </w:p>
    <w:p w14:paraId="53298896" w14:textId="4F4A293D" w:rsidR="00F01BA1" w:rsidRDefault="00432A9A" w:rsidP="00F01BA1">
      <w:pPr>
        <w:tabs>
          <w:tab w:val="left" w:pos="1440"/>
          <w:tab w:val="left" w:pos="2880"/>
          <w:tab w:val="left" w:pos="4320"/>
          <w:tab w:val="left" w:pos="5760"/>
          <w:tab w:val="left" w:pos="7200"/>
          <w:tab w:val="left" w:pos="8640"/>
        </w:tabs>
        <w:spacing w:line="480" w:lineRule="atLeast"/>
      </w:pPr>
      <w:r>
        <w:tab/>
      </w:r>
      <w:r w:rsidR="00890B0A">
        <w:t>“</w:t>
      </w:r>
      <w:r>
        <w:t>Q:  And on those occasions, is it correct that you understood you had a right to take a second meal break?</w:t>
      </w:r>
    </w:p>
    <w:p w14:paraId="7B69CCAA" w14:textId="021A48E7" w:rsidR="00F01BA1" w:rsidRDefault="00432A9A" w:rsidP="00F01BA1">
      <w:pPr>
        <w:tabs>
          <w:tab w:val="left" w:pos="1440"/>
          <w:tab w:val="left" w:pos="2880"/>
          <w:tab w:val="left" w:pos="4320"/>
          <w:tab w:val="left" w:pos="5760"/>
          <w:tab w:val="left" w:pos="7200"/>
          <w:tab w:val="left" w:pos="8640"/>
        </w:tabs>
        <w:spacing w:line="480" w:lineRule="atLeast"/>
      </w:pPr>
      <w:r>
        <w:tab/>
      </w:r>
      <w:r w:rsidR="00890B0A">
        <w:t>“</w:t>
      </w:r>
      <w:r>
        <w:t>A:  No.”</w:t>
      </w:r>
    </w:p>
    <w:p w14:paraId="1C490AA0" w14:textId="50F2A536" w:rsidR="00A12DEE" w:rsidRPr="001B4C76" w:rsidRDefault="00432A9A" w:rsidP="001B4C76">
      <w:pPr>
        <w:tabs>
          <w:tab w:val="left" w:pos="1440"/>
          <w:tab w:val="left" w:pos="2880"/>
          <w:tab w:val="left" w:pos="4320"/>
          <w:tab w:val="left" w:pos="5760"/>
          <w:tab w:val="left" w:pos="7200"/>
          <w:tab w:val="left" w:pos="8640"/>
        </w:tabs>
        <w:spacing w:line="480" w:lineRule="atLeast"/>
      </w:pPr>
      <w:r>
        <w:tab/>
      </w:r>
      <w:r w:rsidR="002C6662">
        <w:t>T</w:t>
      </w:r>
      <w:r w:rsidR="00820467">
        <w:t xml:space="preserve">his </w:t>
      </w:r>
      <w:r w:rsidR="00A13D2B">
        <w:t xml:space="preserve">lead </w:t>
      </w:r>
      <w:r w:rsidR="00820467">
        <w:t xml:space="preserve">employee had </w:t>
      </w:r>
      <w:r w:rsidR="00A13D2B">
        <w:t xml:space="preserve">also </w:t>
      </w:r>
      <w:r w:rsidR="00820467">
        <w:t xml:space="preserve">previously submitted a declaration signed </w:t>
      </w:r>
      <w:r w:rsidR="0097071B">
        <w:t xml:space="preserve">in </w:t>
      </w:r>
      <w:r w:rsidR="00820467">
        <w:t>June 2015, stating</w:t>
      </w:r>
      <w:r w:rsidR="002C6662">
        <w:t xml:space="preserve"> that</w:t>
      </w:r>
      <w:r w:rsidR="00820467">
        <w:t xml:space="preserve"> </w:t>
      </w:r>
      <w:r w:rsidR="00F3538E">
        <w:t>“[employees] were informed that we have a right to a second meal break, but I independently decided to waive the second meal break.”</w:t>
      </w:r>
      <w:r w:rsidR="00446845">
        <w:t xml:space="preserve"> </w:t>
      </w:r>
      <w:r w:rsidR="002C6662">
        <w:t xml:space="preserve"> </w:t>
      </w:r>
      <w:r w:rsidR="005356EC">
        <w:t>A</w:t>
      </w:r>
      <w:r w:rsidR="002C6662">
        <w:t xml:space="preserve">t trial, </w:t>
      </w:r>
      <w:r w:rsidR="005356EC">
        <w:t xml:space="preserve">however, </w:t>
      </w:r>
      <w:r w:rsidR="00FD5AC4">
        <w:t xml:space="preserve">he </w:t>
      </w:r>
      <w:r w:rsidR="00A2682A">
        <w:t>disclosed</w:t>
      </w:r>
      <w:r w:rsidR="00724DAD">
        <w:t xml:space="preserve"> </w:t>
      </w:r>
      <w:r w:rsidR="008115C5">
        <w:t>Royalty had only begun informing employees of their right to a second meal break at the time he signed the declaration, i.e.</w:t>
      </w:r>
      <w:r w:rsidR="00027000">
        <w:t>,</w:t>
      </w:r>
      <w:r w:rsidR="008115C5">
        <w:t xml:space="preserve"> </w:t>
      </w:r>
      <w:r w:rsidR="00A13D2B">
        <w:t xml:space="preserve">around </w:t>
      </w:r>
      <w:r w:rsidR="008115C5">
        <w:t xml:space="preserve">June 2015. </w:t>
      </w:r>
      <w:r w:rsidR="00075446">
        <w:t xml:space="preserve"> </w:t>
      </w:r>
      <w:r w:rsidR="00CA3A5C">
        <w:t xml:space="preserve">He </w:t>
      </w:r>
      <w:r w:rsidR="00F40DFB">
        <w:t xml:space="preserve">also </w:t>
      </w:r>
      <w:r w:rsidR="00F94318">
        <w:t xml:space="preserve">revealed </w:t>
      </w:r>
      <w:r w:rsidR="00AF1F96">
        <w:t xml:space="preserve">his </w:t>
      </w:r>
      <w:r w:rsidR="00446845">
        <w:t xml:space="preserve">declaration </w:t>
      </w:r>
      <w:r w:rsidR="00897219">
        <w:t xml:space="preserve">had been </w:t>
      </w:r>
      <w:r w:rsidR="00446845">
        <w:t>prepared by an attorney and that he signed it “</w:t>
      </w:r>
      <w:r w:rsidR="00027000">
        <w:t>[</w:t>
      </w:r>
      <w:r w:rsidR="00446845">
        <w:t>f</w:t>
      </w:r>
      <w:r w:rsidR="00027000">
        <w:t>]</w:t>
      </w:r>
      <w:r w:rsidR="00446845">
        <w:t>or fear of having retaliation and fear of losing my job.”</w:t>
      </w:r>
    </w:p>
    <w:p w14:paraId="436C7FB6" w14:textId="30B17BC6" w:rsidR="007F63CB" w:rsidRPr="00402171" w:rsidRDefault="00432A9A" w:rsidP="00C8407A">
      <w:pPr>
        <w:tabs>
          <w:tab w:val="left" w:pos="1440"/>
          <w:tab w:val="left" w:pos="2880"/>
          <w:tab w:val="left" w:pos="4320"/>
          <w:tab w:val="left" w:pos="5760"/>
          <w:tab w:val="left" w:pos="7200"/>
          <w:tab w:val="left" w:pos="8640"/>
        </w:tabs>
        <w:spacing w:line="480" w:lineRule="atLeast"/>
      </w:pPr>
      <w:r w:rsidRPr="00402171">
        <w:tab/>
        <w:t xml:space="preserve">Had the court applied the presumption, </w:t>
      </w:r>
      <w:r w:rsidR="00267F66">
        <w:t xml:space="preserve">the burden would have been on Royalty to show a significant number of employees </w:t>
      </w:r>
      <w:r w:rsidR="00BD577C">
        <w:t>voluntarily chose to skip their meal breaks</w:t>
      </w:r>
      <w:r w:rsidR="00BA1A12">
        <w:t xml:space="preserve">, </w:t>
      </w:r>
      <w:r w:rsidR="00316B91">
        <w:t xml:space="preserve">creating </w:t>
      </w:r>
      <w:r w:rsidR="00BA1A12">
        <w:t>individualized issues</w:t>
      </w:r>
      <w:r w:rsidR="00316B91">
        <w:t xml:space="preserve"> of liability</w:t>
      </w:r>
      <w:r w:rsidR="00BD577C">
        <w:t xml:space="preserve">.  </w:t>
      </w:r>
      <w:r w:rsidR="00CB7503">
        <w:t xml:space="preserve">Based on </w:t>
      </w:r>
      <w:r w:rsidR="002B3912">
        <w:t>Royalty</w:t>
      </w:r>
      <w:r w:rsidR="00F86D47">
        <w:t>’s</w:t>
      </w:r>
      <w:r w:rsidR="002B3912">
        <w:t xml:space="preserve"> </w:t>
      </w:r>
      <w:r w:rsidR="00CB7503">
        <w:t>above evidence, we are no</w:t>
      </w:r>
      <w:r w:rsidR="00AF4E31">
        <w:t>t</w:t>
      </w:r>
      <w:r w:rsidR="00CB7503">
        <w:t xml:space="preserve"> reasonably certain the court would have still ruled in favor of Royalty</w:t>
      </w:r>
      <w:r w:rsidR="00746357">
        <w:t xml:space="preserve"> had the burden been shifted</w:t>
      </w:r>
      <w:r w:rsidR="00CB7503">
        <w:t xml:space="preserve">.  </w:t>
      </w:r>
      <w:r w:rsidR="003649B7" w:rsidRPr="00402171">
        <w:t xml:space="preserve">It is true the court </w:t>
      </w:r>
      <w:r w:rsidR="00FF7ADE">
        <w:t xml:space="preserve">also </w:t>
      </w:r>
      <w:r w:rsidR="003649B7" w:rsidRPr="00402171">
        <w:t xml:space="preserve">inferred </w:t>
      </w:r>
      <w:r w:rsidR="004665C6" w:rsidRPr="00402171">
        <w:t xml:space="preserve">a significant number of employees </w:t>
      </w:r>
      <w:r w:rsidR="00502778" w:rsidRPr="00402171">
        <w:t xml:space="preserve">voluntarily chose to skip second meal periods based on data showing 30 percent of </w:t>
      </w:r>
      <w:r w:rsidR="00BD6808">
        <w:t xml:space="preserve">the relevant </w:t>
      </w:r>
      <w:r w:rsidR="00502778" w:rsidRPr="00402171">
        <w:t xml:space="preserve">workdays were </w:t>
      </w:r>
      <w:r w:rsidR="007524CD">
        <w:t xml:space="preserve">only </w:t>
      </w:r>
      <w:r w:rsidR="00502778" w:rsidRPr="00402171">
        <w:t>between 10 hours and 10 hours and 15 minutes</w:t>
      </w:r>
      <w:r w:rsidR="007524CD">
        <w:t xml:space="preserve"> long</w:t>
      </w:r>
      <w:r w:rsidR="00502778" w:rsidRPr="00402171">
        <w:t>.</w:t>
      </w:r>
      <w:r w:rsidR="0021049F" w:rsidRPr="00402171">
        <w:t xml:space="preserve">  </w:t>
      </w:r>
      <w:r w:rsidR="00E3692C">
        <w:t xml:space="preserve">But </w:t>
      </w:r>
      <w:r w:rsidR="00874037">
        <w:t xml:space="preserve">it appears this inference </w:t>
      </w:r>
      <w:r w:rsidR="0021049F" w:rsidRPr="00402171">
        <w:t xml:space="preserve">was </w:t>
      </w:r>
      <w:r w:rsidR="00CA15E3">
        <w:t xml:space="preserve">at least partially </w:t>
      </w:r>
      <w:r w:rsidR="00D939BE" w:rsidRPr="00402171">
        <w:t xml:space="preserve">influenced by </w:t>
      </w:r>
      <w:r w:rsidR="0021049F" w:rsidRPr="00402171">
        <w:t xml:space="preserve">the </w:t>
      </w:r>
      <w:r w:rsidR="00D43368">
        <w:t xml:space="preserve">aforementioned </w:t>
      </w:r>
      <w:r w:rsidR="0021049F" w:rsidRPr="00402171">
        <w:t>anecdotal evidence from witnesses</w:t>
      </w:r>
      <w:r w:rsidR="00D43368">
        <w:t xml:space="preserve">. </w:t>
      </w:r>
      <w:r w:rsidR="00027000">
        <w:t xml:space="preserve"> </w:t>
      </w:r>
      <w:r w:rsidR="00D43368">
        <w:t xml:space="preserve">And even if it was not, it is unclear how much of the court’s ruling was based on </w:t>
      </w:r>
      <w:r w:rsidR="00C21EB2">
        <w:t xml:space="preserve">witness testimony </w:t>
      </w:r>
      <w:r w:rsidR="00D43368">
        <w:t xml:space="preserve">versus </w:t>
      </w:r>
      <w:r w:rsidR="009B26E0">
        <w:t xml:space="preserve">statistical data.  </w:t>
      </w:r>
      <w:r w:rsidR="00F51B8B">
        <w:t xml:space="preserve">Besides, employees cannot voluntarily skip second meal periods if they are unaware of their legal right to take them.  </w:t>
      </w:r>
      <w:r w:rsidR="00D92FD0">
        <w:t>Accordingly</w:t>
      </w:r>
      <w:r w:rsidR="00D939BE" w:rsidRPr="00402171">
        <w:t xml:space="preserve">, we conclude there is a reasonable chance the court </w:t>
      </w:r>
      <w:r w:rsidR="00067F8F">
        <w:t xml:space="preserve">would </w:t>
      </w:r>
      <w:r w:rsidR="00D939BE" w:rsidRPr="00402171">
        <w:t xml:space="preserve">have reached a </w:t>
      </w:r>
      <w:r w:rsidR="005822E3">
        <w:t xml:space="preserve">different </w:t>
      </w:r>
      <w:r w:rsidR="00D939BE" w:rsidRPr="00402171">
        <w:t>result had the presumption been applied.</w:t>
      </w:r>
    </w:p>
    <w:p w14:paraId="089BBC0E" w14:textId="6FC4BDEE" w:rsidR="00CC5612" w:rsidRPr="00402171" w:rsidRDefault="00432A9A" w:rsidP="007F6AE6">
      <w:pPr>
        <w:tabs>
          <w:tab w:val="left" w:pos="1440"/>
          <w:tab w:val="left" w:pos="2880"/>
          <w:tab w:val="left" w:pos="4320"/>
          <w:tab w:val="left" w:pos="5760"/>
          <w:tab w:val="left" w:pos="7200"/>
          <w:tab w:val="left" w:pos="8640"/>
        </w:tabs>
        <w:spacing w:line="480" w:lineRule="atLeast"/>
      </w:pPr>
      <w:r w:rsidRPr="00402171">
        <w:tab/>
      </w:r>
      <w:r w:rsidR="00D84D05" w:rsidRPr="00402171">
        <w:t xml:space="preserve">For </w:t>
      </w:r>
      <w:r w:rsidR="006C0076">
        <w:t xml:space="preserve">the above </w:t>
      </w:r>
      <w:r w:rsidR="00D84D05" w:rsidRPr="00402171">
        <w:t xml:space="preserve">reasons, we reverse the trial court’s decision to decertify the Dyer/Derian meal period subclasses.  On remand, we </w:t>
      </w:r>
      <w:r w:rsidR="00027000">
        <w:t>direct</w:t>
      </w:r>
      <w:r w:rsidR="00D84D05" w:rsidRPr="00402171">
        <w:t xml:space="preserve"> the trial court to </w:t>
      </w:r>
      <w:r w:rsidR="009B60E0" w:rsidRPr="00402171">
        <w:t>apply th</w:t>
      </w:r>
      <w:r w:rsidR="00673078">
        <w:t xml:space="preserve">e </w:t>
      </w:r>
      <w:r w:rsidR="00673078" w:rsidRPr="00673078">
        <w:rPr>
          <w:i/>
          <w:iCs/>
        </w:rPr>
        <w:lastRenderedPageBreak/>
        <w:t>Donohue</w:t>
      </w:r>
      <w:r w:rsidR="00673078">
        <w:t xml:space="preserve"> </w:t>
      </w:r>
      <w:r w:rsidR="009B60E0" w:rsidRPr="00402171">
        <w:t xml:space="preserve">presumption and </w:t>
      </w:r>
      <w:r w:rsidR="007F6AE6" w:rsidRPr="00402171">
        <w:t xml:space="preserve">hold a </w:t>
      </w:r>
      <w:r w:rsidR="009B60E0" w:rsidRPr="00402171">
        <w:t xml:space="preserve">new </w:t>
      </w:r>
      <w:r w:rsidR="007F6AE6" w:rsidRPr="00402171">
        <w:t xml:space="preserve">trial </w:t>
      </w:r>
      <w:r w:rsidR="002E0841" w:rsidRPr="00402171">
        <w:t xml:space="preserve">in light of this opinion </w:t>
      </w:r>
      <w:r w:rsidR="009B60E0" w:rsidRPr="00402171">
        <w:t xml:space="preserve">to determine </w:t>
      </w:r>
      <w:r w:rsidR="005F5A88">
        <w:t xml:space="preserve">whether class liability is </w:t>
      </w:r>
      <w:r w:rsidR="007F6AE6" w:rsidRPr="00402171">
        <w:t>appropriate</w:t>
      </w:r>
      <w:r w:rsidR="00DD3F65">
        <w:t xml:space="preserve"> on th</w:t>
      </w:r>
      <w:r w:rsidR="00B57378">
        <w:t>e</w:t>
      </w:r>
      <w:r w:rsidR="00DD3F65">
        <w:t>se claims</w:t>
      </w:r>
      <w:r w:rsidR="00F51B8B">
        <w:t xml:space="preserve"> and, if so, the amount of defendant’s liability</w:t>
      </w:r>
      <w:r w:rsidR="007F6AE6" w:rsidRPr="00402171">
        <w:t>.</w:t>
      </w:r>
    </w:p>
    <w:p w14:paraId="1DEC08C9" w14:textId="7A4E5D99" w:rsidR="009759C6" w:rsidRPr="00027000" w:rsidRDefault="00432A9A" w:rsidP="00027000">
      <w:pPr>
        <w:pStyle w:val="ListParagraph"/>
        <w:keepNext/>
        <w:tabs>
          <w:tab w:val="left" w:pos="1440"/>
          <w:tab w:val="left" w:pos="2880"/>
          <w:tab w:val="left" w:pos="4320"/>
          <w:tab w:val="left" w:pos="5760"/>
          <w:tab w:val="left" w:pos="7200"/>
          <w:tab w:val="left" w:pos="8640"/>
        </w:tabs>
        <w:spacing w:before="360" w:line="480" w:lineRule="exact"/>
        <w:ind w:hanging="720"/>
        <w:rPr>
          <w:i/>
          <w:iCs/>
        </w:rPr>
      </w:pPr>
      <w:r>
        <w:rPr>
          <w:i/>
          <w:iCs/>
        </w:rPr>
        <w:t xml:space="preserve">E.  </w:t>
      </w:r>
      <w:r w:rsidRPr="00027000">
        <w:rPr>
          <w:i/>
          <w:iCs/>
        </w:rPr>
        <w:t xml:space="preserve">Prejudgment </w:t>
      </w:r>
      <w:r>
        <w:rPr>
          <w:i/>
          <w:iCs/>
        </w:rPr>
        <w:t>I</w:t>
      </w:r>
      <w:r w:rsidRPr="00027000">
        <w:rPr>
          <w:i/>
          <w:iCs/>
        </w:rPr>
        <w:t>nterest</w:t>
      </w:r>
      <w:r>
        <w:rPr>
          <w:i/>
          <w:iCs/>
        </w:rPr>
        <w:t xml:space="preserve"> R</w:t>
      </w:r>
      <w:r w:rsidRPr="00027000">
        <w:rPr>
          <w:i/>
          <w:iCs/>
        </w:rPr>
        <w:t>ate</w:t>
      </w:r>
    </w:p>
    <w:p w14:paraId="11A22D7B" w14:textId="0CC769EC" w:rsidR="00E92617" w:rsidRDefault="00432A9A" w:rsidP="00E92617">
      <w:pPr>
        <w:tabs>
          <w:tab w:val="left" w:pos="1440"/>
          <w:tab w:val="left" w:pos="2880"/>
          <w:tab w:val="left" w:pos="4320"/>
          <w:tab w:val="left" w:pos="5760"/>
          <w:tab w:val="left" w:pos="7200"/>
          <w:tab w:val="left" w:pos="8640"/>
        </w:tabs>
        <w:spacing w:line="480" w:lineRule="exact"/>
      </w:pPr>
      <w:r w:rsidRPr="002535E6">
        <w:tab/>
        <w:t>The</w:t>
      </w:r>
      <w:r>
        <w:t xml:space="preserve"> trial</w:t>
      </w:r>
      <w:r w:rsidRPr="002535E6">
        <w:t xml:space="preserve"> court awarded premium pay under section 226.7 for meal period violations to the Porterville class.  It granted prejudgment interest on these sums at a rate of seven percent, but plaintiffs maintain a 10</w:t>
      </w:r>
      <w:r>
        <w:t> </w:t>
      </w:r>
      <w:r w:rsidRPr="002535E6">
        <w:t xml:space="preserve">percent rate should have been applied.  </w:t>
      </w:r>
      <w:r>
        <w:t>T</w:t>
      </w:r>
      <w:r w:rsidRPr="002535E6">
        <w:t xml:space="preserve">he court used the </w:t>
      </w:r>
      <w:r w:rsidR="005A3DA4">
        <w:t xml:space="preserve">correct </w:t>
      </w:r>
      <w:r w:rsidRPr="002535E6">
        <w:t>rate.</w:t>
      </w:r>
      <w:r>
        <w:rPr>
          <w:rStyle w:val="FootnoteReference"/>
        </w:rPr>
        <w:footnoteReference w:id="13"/>
      </w:r>
    </w:p>
    <w:p w14:paraId="15B773D2" w14:textId="13A0FCAB" w:rsidR="00E92617" w:rsidRDefault="00432A9A" w:rsidP="00E92617">
      <w:pPr>
        <w:tabs>
          <w:tab w:val="left" w:pos="1440"/>
          <w:tab w:val="left" w:pos="2880"/>
          <w:tab w:val="left" w:pos="4320"/>
          <w:tab w:val="left" w:pos="5760"/>
          <w:tab w:val="left" w:pos="7200"/>
          <w:tab w:val="left" w:pos="8640"/>
        </w:tabs>
        <w:spacing w:line="480" w:lineRule="exact"/>
      </w:pPr>
      <w:r>
        <w:tab/>
      </w:r>
      <w:r w:rsidRPr="00731FA8">
        <w:t>“The primary purpose of an award of prejudgment interest is to compensate the plaintiff for the loss of use of money during the period before the entry of judgment, in order to mak</w:t>
      </w:r>
      <w:r w:rsidRPr="00731FA8">
        <w:t>e the plaintiff whole.  [Citation</w:t>
      </w:r>
      <w:r w:rsidR="00027000">
        <w:t>s</w:t>
      </w:r>
      <w:r w:rsidRPr="00731FA8">
        <w:t xml:space="preserve">.]  Absent a statutory provision specifically governing the type of claim at issue, the prejudgment interest rate is 7 percent </w:t>
      </w:r>
      <w:r>
        <w:t>. . . </w:t>
      </w:r>
      <w:r w:rsidRPr="00731FA8">
        <w:t>.”  (</w:t>
      </w:r>
      <w:r w:rsidRPr="006B2CA0">
        <w:rPr>
          <w:i/>
          <w:iCs/>
        </w:rPr>
        <w:t>Bullock v. Philip Morris USA, Inc.</w:t>
      </w:r>
      <w:r w:rsidRPr="00731FA8">
        <w:t xml:space="preserve"> (2011) 198 Cal.App.4th 543, 573.)</w:t>
      </w:r>
      <w:r>
        <w:t xml:space="preserve">  Plaintiffs bel</w:t>
      </w:r>
      <w:r>
        <w:t xml:space="preserve">ieve section 218.6 applies here, which states </w:t>
      </w:r>
      <w:r w:rsidRPr="00576FB1">
        <w:t>“</w:t>
      </w:r>
      <w:r w:rsidRPr="002E062B">
        <w:rPr>
          <w:i/>
          <w:iCs/>
        </w:rPr>
        <w:t>[i]n any action brought for the nonpayment of wages</w:t>
      </w:r>
      <w:r>
        <w:t xml:space="preserve">, </w:t>
      </w:r>
      <w:r w:rsidRPr="000E7865">
        <w:t>the court shall award interest on all due and unpaid wages at the rate of interest specified in subdivision (b) of Section 3289 of the Civil Code</w:t>
      </w:r>
      <w:r w:rsidR="00027000">
        <w:t xml:space="preserve"> </w:t>
      </w:r>
      <w:r>
        <w:t>.</w:t>
      </w:r>
      <w:r w:rsidR="00027000">
        <w:t xml:space="preserve"> . . .</w:t>
      </w:r>
      <w:r w:rsidRPr="00576FB1">
        <w:t>”</w:t>
      </w:r>
      <w:r>
        <w:t xml:space="preserve">  </w:t>
      </w:r>
      <w:r>
        <w:t xml:space="preserve">(Italics added.)  </w:t>
      </w:r>
      <w:r w:rsidR="00F51B8B">
        <w:t xml:space="preserve">Under </w:t>
      </w:r>
      <w:r>
        <w:t>Civil Code section 3289, subdivision (b)</w:t>
      </w:r>
      <w:r w:rsidR="007A0964">
        <w:t>,</w:t>
      </w:r>
      <w:r>
        <w:t xml:space="preserve"> a 10 percent prejudgment interest rate </w:t>
      </w:r>
      <w:r w:rsidR="00F51B8B">
        <w:t xml:space="preserve">is applied </w:t>
      </w:r>
      <w:r>
        <w:t>in breach of contract cases in which the contract does not contain a governing provision.</w:t>
      </w:r>
    </w:p>
    <w:p w14:paraId="39E2F23E" w14:textId="6926A268" w:rsidR="00E92617" w:rsidRDefault="00432A9A" w:rsidP="00E92617">
      <w:pPr>
        <w:tabs>
          <w:tab w:val="left" w:pos="1440"/>
          <w:tab w:val="left" w:pos="2880"/>
          <w:tab w:val="left" w:pos="4320"/>
          <w:tab w:val="left" w:pos="5760"/>
          <w:tab w:val="left" w:pos="7200"/>
          <w:tab w:val="left" w:pos="8640"/>
        </w:tabs>
        <w:spacing w:line="480" w:lineRule="exact"/>
      </w:pPr>
      <w:r>
        <w:tab/>
        <w:t>The resolution of this issue turns on whether pla</w:t>
      </w:r>
      <w:r>
        <w:t xml:space="preserve">intiffs’ claim for premium pay under section 226.7 is </w:t>
      </w:r>
      <w:r w:rsidR="007A0964">
        <w:t>“</w:t>
      </w:r>
      <w:r>
        <w:t xml:space="preserve">an action brought for the nonpayment of wages,” as required by section 218.6.  It is not.  While our Supreme Court has </w:t>
      </w:r>
      <w:r w:rsidR="000A4DAC">
        <w:t xml:space="preserve">held </w:t>
      </w:r>
      <w:r>
        <w:t xml:space="preserve">that </w:t>
      </w:r>
      <w:r w:rsidRPr="000F3D85">
        <w:t>premium pay</w:t>
      </w:r>
      <w:r>
        <w:t xml:space="preserve"> is a wage and not a penalty, it has clarified “</w:t>
      </w:r>
      <w:r w:rsidRPr="000763C9">
        <w:t>a section 226</w:t>
      </w:r>
      <w:r w:rsidRPr="000763C9">
        <w:t xml:space="preserve">.7 claim is </w:t>
      </w:r>
      <w:r w:rsidRPr="00D924E8">
        <w:rPr>
          <w:iCs/>
        </w:rPr>
        <w:t>not</w:t>
      </w:r>
      <w:r w:rsidRPr="000763C9">
        <w:t xml:space="preserve"> an action brought for nonpayment of wages; it is an action brought for nonprovision of meal or rest breaks.”</w:t>
      </w:r>
      <w:r>
        <w:t xml:space="preserve">  </w:t>
      </w:r>
      <w:r w:rsidRPr="000F3D85">
        <w:lastRenderedPageBreak/>
        <w:t>(</w:t>
      </w:r>
      <w:r w:rsidRPr="00D01498">
        <w:rPr>
          <w:i/>
          <w:iCs/>
        </w:rPr>
        <w:t>Kirby</w:t>
      </w:r>
      <w:r w:rsidR="007A0964">
        <w:rPr>
          <w:i/>
          <w:iCs/>
        </w:rPr>
        <w:t xml:space="preserve"> v. Immoos Fire Protection, Inc.</w:t>
      </w:r>
      <w:r w:rsidRPr="000F3D85">
        <w:t xml:space="preserve">, </w:t>
      </w:r>
      <w:r w:rsidRPr="00D01498">
        <w:rPr>
          <w:i/>
          <w:iCs/>
        </w:rPr>
        <w:t>supra</w:t>
      </w:r>
      <w:r w:rsidRPr="000F3D85">
        <w:t>, 53 Cal.4th at p</w:t>
      </w:r>
      <w:r>
        <w:t>p</w:t>
      </w:r>
      <w:r w:rsidRPr="000F3D85">
        <w:t xml:space="preserve">. </w:t>
      </w:r>
      <w:r>
        <w:t>1256-</w:t>
      </w:r>
      <w:r w:rsidRPr="000F3D85">
        <w:t>125</w:t>
      </w:r>
      <w:r>
        <w:t>7</w:t>
      </w:r>
      <w:r w:rsidRPr="000F3D85">
        <w:t>.)</w:t>
      </w:r>
      <w:r>
        <w:t xml:space="preserve">  </w:t>
      </w:r>
      <w:r w:rsidRPr="001E6FFD">
        <w:t>“</w:t>
      </w:r>
      <w:r>
        <w:t>N</w:t>
      </w:r>
      <w:r w:rsidRPr="001E6FFD">
        <w:t>onpayment of wages is not the gravamen of a sectio</w:t>
      </w:r>
      <w:r w:rsidRPr="001E6FFD">
        <w:t xml:space="preserve">n 226.7 violation. </w:t>
      </w:r>
      <w:r>
        <w:t xml:space="preserve"> </w:t>
      </w:r>
      <w:r w:rsidRPr="001E6FFD">
        <w:t>Instead, subdivision (a) of section 226.7 defines a legal violation solely by reference to an employer</w:t>
      </w:r>
      <w:r>
        <w:t>’</w:t>
      </w:r>
      <w:r w:rsidRPr="001E6FFD">
        <w:t>s obligation to provide meal and rest breaks.  [Citation.]  The ‘additional hour of pay’ provided for in subdivision (b) is the legal</w:t>
      </w:r>
      <w:r w:rsidRPr="001E6FFD">
        <w:t xml:space="preserve"> remedy for a violation of subdivision (a), but whether or not it has been paid is irrelevant to whether section 226.7 was violated.”  </w:t>
      </w:r>
      <w:r>
        <w:t>(</w:t>
      </w:r>
      <w:r w:rsidRPr="00D3394E">
        <w:rPr>
          <w:i/>
          <w:iCs/>
        </w:rPr>
        <w:t>I</w:t>
      </w:r>
      <w:r w:rsidR="007A0964">
        <w:rPr>
          <w:i/>
          <w:iCs/>
        </w:rPr>
        <w:t>bid</w:t>
      </w:r>
      <w:r>
        <w:t>.</w:t>
      </w:r>
      <w:r w:rsidRPr="001E6FFD">
        <w:t>)</w:t>
      </w:r>
      <w:r w:rsidRPr="009C1744">
        <w:t xml:space="preserve"> </w:t>
      </w:r>
      <w:r>
        <w:t xml:space="preserve"> Rather, it is </w:t>
      </w:r>
      <w:r w:rsidRPr="009C1744">
        <w:t>“</w:t>
      </w:r>
      <w:r>
        <w:t>[t]</w:t>
      </w:r>
      <w:r w:rsidRPr="009C1744">
        <w:t xml:space="preserve">he failure to provide required meal and rest breaks </w:t>
      </w:r>
      <w:r>
        <w:t xml:space="preserve">[that] </w:t>
      </w:r>
      <w:r w:rsidRPr="009C1744">
        <w:t>triggers a violation of section 226.7.</w:t>
      </w:r>
      <w:r>
        <w:t>”</w:t>
      </w:r>
      <w:r w:rsidRPr="009C1744">
        <w:t xml:space="preserve">  (</w:t>
      </w:r>
      <w:r w:rsidRPr="009C1744">
        <w:rPr>
          <w:i/>
          <w:iCs/>
        </w:rPr>
        <w:t>I</w:t>
      </w:r>
      <w:r w:rsidR="007A0964">
        <w:rPr>
          <w:i/>
          <w:iCs/>
        </w:rPr>
        <w:t>bi</w:t>
      </w:r>
      <w:r w:rsidRPr="009C1744">
        <w:rPr>
          <w:i/>
          <w:iCs/>
        </w:rPr>
        <w:t>d</w:t>
      </w:r>
      <w:r>
        <w:t>.</w:t>
      </w:r>
      <w:r w:rsidRPr="009C1744">
        <w:t>)</w:t>
      </w:r>
    </w:p>
    <w:p w14:paraId="5273FBC8" w14:textId="7DD49535" w:rsidR="00E92617" w:rsidRDefault="00432A9A" w:rsidP="00E92617">
      <w:pPr>
        <w:tabs>
          <w:tab w:val="left" w:pos="1440"/>
          <w:tab w:val="left" w:pos="2880"/>
          <w:tab w:val="left" w:pos="4320"/>
          <w:tab w:val="left" w:pos="5760"/>
          <w:tab w:val="left" w:pos="7200"/>
          <w:tab w:val="left" w:pos="8640"/>
        </w:tabs>
        <w:spacing w:line="480" w:lineRule="exact"/>
      </w:pPr>
      <w:r>
        <w:tab/>
        <w:t xml:space="preserve">Citing </w:t>
      </w:r>
      <w:r w:rsidRPr="008342C1">
        <w:rPr>
          <w:i/>
          <w:iCs/>
        </w:rPr>
        <w:t>Bell v. Farmers Ins. Exchange</w:t>
      </w:r>
      <w:r w:rsidRPr="008342C1">
        <w:t xml:space="preserve"> (2006) 135 Cal.App.4th 1138</w:t>
      </w:r>
      <w:r>
        <w:t>, p</w:t>
      </w:r>
      <w:r w:rsidRPr="008342C1">
        <w:t xml:space="preserve">laintiffs also appear to suggest that if section 218.6 </w:t>
      </w:r>
      <w:r>
        <w:t>is inapplicable</w:t>
      </w:r>
      <w:r w:rsidRPr="008342C1">
        <w:t xml:space="preserve">, </w:t>
      </w:r>
      <w:r>
        <w:t xml:space="preserve">a </w:t>
      </w:r>
      <w:r w:rsidRPr="008342C1">
        <w:t>10 per</w:t>
      </w:r>
      <w:r w:rsidRPr="008342C1">
        <w:t xml:space="preserve">cent rate </w:t>
      </w:r>
      <w:r>
        <w:t xml:space="preserve">should be applied </w:t>
      </w:r>
      <w:r w:rsidRPr="008342C1">
        <w:t>under Civil Code section 3289, subdivision (b)</w:t>
      </w:r>
      <w:r>
        <w:t>.</w:t>
      </w:r>
      <w:r w:rsidRPr="008342C1">
        <w:t xml:space="preserve">  In </w:t>
      </w:r>
      <w:r w:rsidRPr="008342C1">
        <w:rPr>
          <w:i/>
          <w:iCs/>
        </w:rPr>
        <w:t>Bell</w:t>
      </w:r>
      <w:r>
        <w:t>,</w:t>
      </w:r>
      <w:r w:rsidRPr="008342C1">
        <w:t xml:space="preserve"> </w:t>
      </w:r>
      <w:r>
        <w:t xml:space="preserve">the trial court awarded a class over $90 million in unpaid overtime compensation plus </w:t>
      </w:r>
      <w:r w:rsidR="00F802C3">
        <w:t xml:space="preserve">10 percent </w:t>
      </w:r>
      <w:r>
        <w:t>prejudgment interest under Civil Code section 3289.  (</w:t>
      </w:r>
      <w:r w:rsidR="007A0964">
        <w:rPr>
          <w:i/>
          <w:iCs/>
        </w:rPr>
        <w:t>Bell</w:t>
      </w:r>
      <w:r w:rsidR="007A0964">
        <w:t>,</w:t>
      </w:r>
      <w:r>
        <w:t xml:space="preserve"> at p. 1141.) </w:t>
      </w:r>
      <w:r>
        <w:t xml:space="preserve"> The defendant claimed this rate was incorrect</w:t>
      </w:r>
      <w:r w:rsidR="00BC4A9A">
        <w:t xml:space="preserve"> because </w:t>
      </w:r>
      <w:r>
        <w:t xml:space="preserve">the 10 percent rate was first authorized by section 218.6, which had gone into effect shortly before judgment was entered.  </w:t>
      </w:r>
      <w:r w:rsidR="002C7425">
        <w:t xml:space="preserve">It </w:t>
      </w:r>
      <w:r>
        <w:t>sought to apply a seven percent interest rate to the period before the eff</w:t>
      </w:r>
      <w:r>
        <w:t>ective date of section 218.6, and a 10 percent rate to the period after.  (</w:t>
      </w:r>
      <w:r w:rsidR="007A0964">
        <w:rPr>
          <w:i/>
          <w:iCs/>
        </w:rPr>
        <w:t>Bell</w:t>
      </w:r>
      <w:r w:rsidR="007A0964">
        <w:t>,</w:t>
      </w:r>
      <w:r>
        <w:t xml:space="preserve"> at p. 1142.)  The appellate court disagreed and </w:t>
      </w:r>
      <w:r w:rsidR="001D10E0">
        <w:t xml:space="preserve">affirmed </w:t>
      </w:r>
      <w:r>
        <w:t>the trial court</w:t>
      </w:r>
      <w:r w:rsidR="006352B2">
        <w:t xml:space="preserve">, finding </w:t>
      </w:r>
      <w:r>
        <w:t>section 218.6 merely clarified existing law:  “</w:t>
      </w:r>
      <w:r w:rsidRPr="00F43D83">
        <w:t>Before section 218.6 expressly required the us</w:t>
      </w:r>
      <w:r w:rsidRPr="00F43D83">
        <w:t xml:space="preserve">e of the breach-of-contract rate for prejudgment interest, this rate was still the appropriate rate for </w:t>
      </w:r>
      <w:r w:rsidRPr="00493575">
        <w:rPr>
          <w:i/>
          <w:iCs/>
        </w:rPr>
        <w:t>unpaid wage claims</w:t>
      </w:r>
      <w:r w:rsidRPr="00F43D83">
        <w:t xml:space="preserve"> </w:t>
      </w:r>
      <w:r>
        <w:t xml:space="preserve">[under Civil Code section 3289] </w:t>
      </w:r>
      <w:r w:rsidRPr="00F43D83">
        <w:t>because of the contractual nature of the employment relationship.</w:t>
      </w:r>
      <w:r>
        <w:t>”  (</w:t>
      </w:r>
      <w:r w:rsidRPr="00A14D5B">
        <w:rPr>
          <w:i/>
          <w:iCs/>
        </w:rPr>
        <w:t>Ibid</w:t>
      </w:r>
      <w:r w:rsidR="007A0964">
        <w:rPr>
          <w:i/>
          <w:iCs/>
        </w:rPr>
        <w:t>.</w:t>
      </w:r>
      <w:r>
        <w:t>, italics added.)</w:t>
      </w:r>
    </w:p>
    <w:p w14:paraId="526DC54D" w14:textId="15F15C9E" w:rsidR="007A0964" w:rsidRDefault="00432A9A" w:rsidP="00F51B8B">
      <w:pPr>
        <w:tabs>
          <w:tab w:val="left" w:pos="1440"/>
          <w:tab w:val="left" w:pos="2880"/>
          <w:tab w:val="left" w:pos="4320"/>
          <w:tab w:val="left" w:pos="5760"/>
          <w:tab w:val="left" w:pos="7200"/>
          <w:tab w:val="left" w:pos="8640"/>
        </w:tabs>
        <w:spacing w:line="480" w:lineRule="exact"/>
        <w:rPr>
          <w:bCs/>
          <w:iCs/>
          <w:szCs w:val="26"/>
        </w:rPr>
      </w:pPr>
      <w:r>
        <w:tab/>
      </w:r>
      <w:r w:rsidRPr="008342C1">
        <w:t xml:space="preserve">We </w:t>
      </w:r>
      <w:r w:rsidRPr="008342C1">
        <w:t>are unpersuaded</w:t>
      </w:r>
      <w:r>
        <w:t xml:space="preserve"> by </w:t>
      </w:r>
      <w:r w:rsidRPr="00772F8B">
        <w:rPr>
          <w:i/>
        </w:rPr>
        <w:t>Bell</w:t>
      </w:r>
      <w:r>
        <w:t>, which</w:t>
      </w:r>
      <w:r>
        <w:rPr>
          <w:iCs/>
        </w:rPr>
        <w:t xml:space="preserve"> </w:t>
      </w:r>
      <w:r>
        <w:t xml:space="preserve">merely clarified that claims for </w:t>
      </w:r>
      <w:r w:rsidRPr="00F76508">
        <w:rPr>
          <w:i/>
          <w:iCs/>
        </w:rPr>
        <w:t>unpaid wages</w:t>
      </w:r>
      <w:r>
        <w:t xml:space="preserve"> were already subject to a prejudgment interest rate of 10 percent under Civil Code section 3289, subdivision (b), prior to the effective date of section 218.6.  </w:t>
      </w:r>
      <w:r>
        <w:rPr>
          <w:bCs/>
          <w:iCs/>
          <w:szCs w:val="26"/>
        </w:rPr>
        <w:t xml:space="preserve">We do not read </w:t>
      </w:r>
      <w:r w:rsidRPr="00D545A4">
        <w:rPr>
          <w:bCs/>
          <w:i/>
          <w:szCs w:val="26"/>
        </w:rPr>
        <w:t>Bel</w:t>
      </w:r>
      <w:r w:rsidRPr="00D545A4">
        <w:rPr>
          <w:bCs/>
          <w:i/>
          <w:szCs w:val="26"/>
        </w:rPr>
        <w:t>l</w:t>
      </w:r>
      <w:r>
        <w:rPr>
          <w:bCs/>
          <w:iCs/>
          <w:szCs w:val="26"/>
        </w:rPr>
        <w:t xml:space="preserve"> to imbue Civil Code section 3289, subdivision (b) with more expansive rights than section 218.6 in the context of this lawsuit.</w:t>
      </w:r>
      <w:r>
        <w:rPr>
          <w:iCs/>
        </w:rPr>
        <w:t xml:space="preserve">  </w:t>
      </w:r>
      <w:r>
        <w:rPr>
          <w:bCs/>
          <w:iCs/>
          <w:szCs w:val="26"/>
        </w:rPr>
        <w:t xml:space="preserve">Since plaintiffs are not entitled to 10 percent </w:t>
      </w:r>
      <w:r>
        <w:rPr>
          <w:bCs/>
          <w:iCs/>
          <w:szCs w:val="26"/>
        </w:rPr>
        <w:lastRenderedPageBreak/>
        <w:t>interest under section 218.6, they are not entitled to it under Civil Code se</w:t>
      </w:r>
      <w:r>
        <w:rPr>
          <w:bCs/>
          <w:iCs/>
          <w:szCs w:val="26"/>
        </w:rPr>
        <w:t>ction 3289, subdivision (b).</w:t>
      </w:r>
    </w:p>
    <w:p w14:paraId="323066C2" w14:textId="6FC369D7" w:rsidR="00315D5D" w:rsidRDefault="00432A9A" w:rsidP="007A0964">
      <w:pPr>
        <w:pStyle w:val="ListParagraph"/>
        <w:keepNext/>
        <w:tabs>
          <w:tab w:val="left" w:pos="1440"/>
          <w:tab w:val="left" w:pos="2880"/>
          <w:tab w:val="left" w:pos="4320"/>
          <w:tab w:val="left" w:pos="5760"/>
          <w:tab w:val="left" w:pos="7200"/>
          <w:tab w:val="left" w:pos="8640"/>
        </w:tabs>
        <w:spacing w:before="360" w:line="480" w:lineRule="exact"/>
        <w:ind w:hanging="720"/>
        <w:contextualSpacing w:val="0"/>
        <w:rPr>
          <w:i/>
          <w:iCs/>
        </w:rPr>
      </w:pPr>
      <w:r>
        <w:rPr>
          <w:i/>
          <w:iCs/>
        </w:rPr>
        <w:t xml:space="preserve">F.  Derivative </w:t>
      </w:r>
      <w:r w:rsidR="000150EE">
        <w:rPr>
          <w:i/>
          <w:iCs/>
        </w:rPr>
        <w:t>P</w:t>
      </w:r>
      <w:r>
        <w:rPr>
          <w:i/>
          <w:iCs/>
        </w:rPr>
        <w:t>enalties</w:t>
      </w:r>
      <w:r w:rsidR="009F382A">
        <w:rPr>
          <w:i/>
          <w:iCs/>
        </w:rPr>
        <w:t xml:space="preserve"> for Porterville Employees</w:t>
      </w:r>
    </w:p>
    <w:p w14:paraId="489C1EB0" w14:textId="7D50616C" w:rsidR="0079750D" w:rsidRPr="007A0964" w:rsidRDefault="00432A9A" w:rsidP="007A0964">
      <w:pPr>
        <w:pStyle w:val="ListParagraph"/>
        <w:tabs>
          <w:tab w:val="left" w:pos="1440"/>
          <w:tab w:val="left" w:pos="2880"/>
          <w:tab w:val="left" w:pos="4320"/>
          <w:tab w:val="left" w:pos="5760"/>
          <w:tab w:val="left" w:pos="7200"/>
          <w:tab w:val="left" w:pos="8640"/>
        </w:tabs>
        <w:spacing w:line="480" w:lineRule="exact"/>
        <w:ind w:left="1800" w:hanging="360"/>
        <w:rPr>
          <w:i/>
          <w:iCs/>
        </w:rPr>
      </w:pPr>
      <w:r>
        <w:rPr>
          <w:i/>
          <w:iCs/>
        </w:rPr>
        <w:t xml:space="preserve">1.  </w:t>
      </w:r>
      <w:r w:rsidR="009F382A" w:rsidRPr="007A0964">
        <w:rPr>
          <w:i/>
          <w:iCs/>
        </w:rPr>
        <w:t xml:space="preserve">Waiting time </w:t>
      </w:r>
      <w:r w:rsidR="004F27BE" w:rsidRPr="007A0964">
        <w:rPr>
          <w:i/>
          <w:iCs/>
        </w:rPr>
        <w:t>penalties</w:t>
      </w:r>
    </w:p>
    <w:p w14:paraId="10FE3076" w14:textId="05879968" w:rsidR="00E92617" w:rsidRDefault="00432A9A" w:rsidP="00E92617">
      <w:pPr>
        <w:tabs>
          <w:tab w:val="left" w:pos="1440"/>
          <w:tab w:val="left" w:pos="2880"/>
          <w:tab w:val="left" w:pos="4320"/>
          <w:tab w:val="left" w:pos="5760"/>
          <w:tab w:val="left" w:pos="7200"/>
          <w:tab w:val="left" w:pos="8640"/>
        </w:tabs>
        <w:spacing w:line="480" w:lineRule="exact"/>
      </w:pPr>
      <w:r>
        <w:tab/>
        <w:t>“‘If an employer discharges an employee, the wages earned and unpaid at the time of discharge are due and payable immediately.’”</w:t>
      </w:r>
      <w:r w:rsidR="007A0964">
        <w:t xml:space="preserve"> </w:t>
      </w:r>
      <w:r>
        <w:t xml:space="preserve"> (</w:t>
      </w:r>
      <w:r w:rsidRPr="00B52A8D">
        <w:rPr>
          <w:i/>
          <w:iCs/>
        </w:rPr>
        <w:t>Kao v. Holiday</w:t>
      </w:r>
      <w:r>
        <w:t xml:space="preserve"> (2</w:t>
      </w:r>
      <w:r>
        <w:t xml:space="preserve">017) 12 Cal.App.5th 947, 962.)  </w:t>
      </w:r>
      <w:r w:rsidR="007A0964">
        <w:t xml:space="preserve">As explained by </w:t>
      </w:r>
      <w:r w:rsidR="007A0964">
        <w:rPr>
          <w:i/>
          <w:iCs/>
        </w:rPr>
        <w:t>Kao</w:t>
      </w:r>
      <w:r w:rsidR="007A0964" w:rsidRPr="007A0964">
        <w:t>,</w:t>
      </w:r>
      <w:r w:rsidR="007A0964">
        <w:rPr>
          <w:i/>
          <w:iCs/>
        </w:rPr>
        <w:t xml:space="preserve"> </w:t>
      </w:r>
      <w:r w:rsidR="007A0964">
        <w:t>u</w:t>
      </w:r>
      <w:r>
        <w:t xml:space="preserve">nder section 203, subdivision (a), </w:t>
      </w:r>
      <w:r w:rsidR="007A0964">
        <w:t>“‘</w:t>
      </w:r>
      <w:r>
        <w:t xml:space="preserve">[i]f an employer </w:t>
      </w:r>
      <w:r w:rsidRPr="00BF3791">
        <w:rPr>
          <w:i/>
          <w:iCs/>
        </w:rPr>
        <w:t>willfully</w:t>
      </w:r>
      <w:r>
        <w:t xml:space="preserve"> fails to pay . . . any wages of an employee who is discharged . . .</w:t>
      </w:r>
      <w:r w:rsidR="00F7016F">
        <w:t xml:space="preserve"> </w:t>
      </w:r>
      <w:r>
        <w:t>, the wages of the employee shall continue as a penalty from the due d</w:t>
      </w:r>
      <w:r>
        <w:t>ate thereof at the same rate until paid or until an action therefor is commenced; but the wages shall not continue for more than 30 days.’  [Citation.]  ‘The plain purpose of . . . sections 201 and 203 is to compel the immediate payment of earned wages upo</w:t>
      </w:r>
      <w:r>
        <w:t>n a discharge.’”  (</w:t>
      </w:r>
      <w:r w:rsidRPr="00DE22FE">
        <w:rPr>
          <w:i/>
          <w:iCs/>
        </w:rPr>
        <w:t>Ibid</w:t>
      </w:r>
      <w:r>
        <w:t xml:space="preserve">, italics added.)  Because Royalty failed to provide premium pay to Porterville employees </w:t>
      </w:r>
      <w:r w:rsidR="00F51B8B">
        <w:t xml:space="preserve">for meal break violations </w:t>
      </w:r>
      <w:r>
        <w:t xml:space="preserve">when they were separated from employment, plaintiffs </w:t>
      </w:r>
      <w:r w:rsidR="00047134">
        <w:t xml:space="preserve">believe </w:t>
      </w:r>
      <w:r>
        <w:t xml:space="preserve">the Porterville class is owed waiting time </w:t>
      </w:r>
      <w:r>
        <w:t>penalties under section 203.</w:t>
      </w:r>
      <w:r w:rsidR="00F51B8B">
        <w:t xml:space="preserve">  Not so.</w:t>
      </w:r>
    </w:p>
    <w:p w14:paraId="0295E887" w14:textId="579DC0D2" w:rsidR="00E92617" w:rsidRDefault="00432A9A" w:rsidP="00E92617">
      <w:pPr>
        <w:tabs>
          <w:tab w:val="left" w:pos="1440"/>
          <w:tab w:val="left" w:pos="2880"/>
          <w:tab w:val="left" w:pos="4320"/>
          <w:tab w:val="left" w:pos="5760"/>
          <w:tab w:val="left" w:pos="7200"/>
          <w:tab w:val="left" w:pos="8640"/>
        </w:tabs>
        <w:spacing w:line="480" w:lineRule="exact"/>
      </w:pPr>
      <w:r>
        <w:tab/>
        <w:t xml:space="preserve">It is currently unclear whether an employee can pursue derivative waiting time penalties based on an employer’s failure to provide premium pay at separation.  In </w:t>
      </w:r>
      <w:r w:rsidRPr="00A92CCE">
        <w:rPr>
          <w:i/>
          <w:iCs/>
        </w:rPr>
        <w:t>Naranjo v. Spectrum Security Services, Inc.</w:t>
      </w:r>
      <w:r>
        <w:t xml:space="preserve"> (2019) 40 C</w:t>
      </w:r>
      <w:r>
        <w:t xml:space="preserve">al.App.5th 444, </w:t>
      </w:r>
      <w:r w:rsidR="00F7016F">
        <w:t xml:space="preserve">474, </w:t>
      </w:r>
      <w:r>
        <w:t>the Second District held that regardless of willfulness, “section 226.7 actions do not entitle employees to pursue the derivative penalties in section</w:t>
      </w:r>
      <w:r w:rsidR="00F7016F">
        <w:t>[]</w:t>
      </w:r>
      <w:r>
        <w:t xml:space="preserve"> 203.”  This holding was based on the </w:t>
      </w:r>
      <w:r w:rsidRPr="00F60CE9">
        <w:rPr>
          <w:i/>
        </w:rPr>
        <w:t>Naranjo</w:t>
      </w:r>
      <w:r>
        <w:t xml:space="preserve"> court’s interpretation of the meaning</w:t>
      </w:r>
      <w:r>
        <w:t xml:space="preserve"> of “wages” within section 203, which was based on the definitions of “wages” and “labor” provided in section 200, subdivisions (a) and (b).</w:t>
      </w:r>
      <w:r>
        <w:rPr>
          <w:rStyle w:val="FootnoteReference"/>
        </w:rPr>
        <w:footnoteReference w:id="14"/>
      </w:r>
      <w:r>
        <w:t xml:space="preserve">  (</w:t>
      </w:r>
      <w:r w:rsidR="00F7016F">
        <w:rPr>
          <w:i/>
          <w:iCs/>
        </w:rPr>
        <w:t>Naranjo</w:t>
      </w:r>
      <w:r w:rsidR="00F7016F">
        <w:t>,</w:t>
      </w:r>
      <w:r>
        <w:t xml:space="preserve"> at pp. 473-474.)  </w:t>
      </w:r>
      <w:r w:rsidRPr="00A92CCE">
        <w:rPr>
          <w:i/>
          <w:iCs/>
        </w:rPr>
        <w:t>Naranjo</w:t>
      </w:r>
      <w:r>
        <w:t xml:space="preserve"> is currently under review.  </w:t>
      </w:r>
      <w:r>
        <w:lastRenderedPageBreak/>
        <w:t>(</w:t>
      </w:r>
      <w:r w:rsidRPr="008132FC">
        <w:rPr>
          <w:i/>
          <w:iCs/>
        </w:rPr>
        <w:t>Naranjo v. Spectrum Security Services</w:t>
      </w:r>
      <w:r>
        <w:t xml:space="preserve"> (</w:t>
      </w:r>
      <w:r w:rsidR="00F7016F">
        <w:t>Jan. 2, 2020, S258966) __Cal.5th __, __</w:t>
      </w:r>
      <w:r>
        <w:t xml:space="preserve">.)  </w:t>
      </w:r>
      <w:r w:rsidR="00C5684B">
        <w:t xml:space="preserve">Plaintiffs appear to believe our Supreme Court’s </w:t>
      </w:r>
      <w:r w:rsidR="00C96E5F">
        <w:t xml:space="preserve">impending </w:t>
      </w:r>
      <w:r w:rsidR="00C5684B">
        <w:t xml:space="preserve">decision in </w:t>
      </w:r>
      <w:r w:rsidR="00C5684B" w:rsidRPr="00F33F39">
        <w:rPr>
          <w:i/>
          <w:iCs/>
        </w:rPr>
        <w:t>Naranjo</w:t>
      </w:r>
      <w:r w:rsidR="00C5684B">
        <w:t xml:space="preserve"> </w:t>
      </w:r>
      <w:r w:rsidR="00F33F39">
        <w:t>will be dispositive here</w:t>
      </w:r>
      <w:r w:rsidR="007D0AF2">
        <w:t xml:space="preserve">.  </w:t>
      </w:r>
      <w:r w:rsidR="00F9456A">
        <w:t xml:space="preserve">Addressing </w:t>
      </w:r>
      <w:r w:rsidR="004F671D" w:rsidRPr="004F671D">
        <w:rPr>
          <w:i/>
          <w:iCs/>
        </w:rPr>
        <w:t>Naranjo’s</w:t>
      </w:r>
      <w:r w:rsidR="004F671D">
        <w:t xml:space="preserve"> </w:t>
      </w:r>
      <w:r w:rsidR="00FD704B">
        <w:t>analysis,</w:t>
      </w:r>
      <w:r w:rsidR="00F33F39">
        <w:t xml:space="preserve"> they </w:t>
      </w:r>
      <w:r w:rsidR="00FD704B">
        <w:t xml:space="preserve">argue </w:t>
      </w:r>
      <w:r w:rsidR="00131F7E">
        <w:t xml:space="preserve">premium pay under section 226.7 constitutes </w:t>
      </w:r>
      <w:r w:rsidR="00F33F39">
        <w:t>wages</w:t>
      </w:r>
      <w:r w:rsidR="00FD704B">
        <w:t xml:space="preserve"> earned</w:t>
      </w:r>
      <w:r w:rsidR="00046F08">
        <w:t xml:space="preserve"> under section 203</w:t>
      </w:r>
      <w:r w:rsidR="00F51B8B">
        <w:t>, entitling them to premium pay</w:t>
      </w:r>
      <w:r w:rsidR="00046F08">
        <w:t>.</w:t>
      </w:r>
      <w:r w:rsidR="00F33F39">
        <w:t xml:space="preserve">  </w:t>
      </w:r>
      <w:r>
        <w:t xml:space="preserve">But we need not address </w:t>
      </w:r>
      <w:r w:rsidRPr="00192316">
        <w:rPr>
          <w:i/>
          <w:iCs/>
        </w:rPr>
        <w:t>Naranjo</w:t>
      </w:r>
      <w:r>
        <w:t xml:space="preserve">.  Here, </w:t>
      </w:r>
      <w:r w:rsidR="00DE3813">
        <w:t xml:space="preserve">even if premium pay is a wage under section 203, </w:t>
      </w:r>
      <w:r w:rsidR="00931B53">
        <w:t xml:space="preserve">no violation </w:t>
      </w:r>
      <w:r w:rsidR="0081472D">
        <w:t xml:space="preserve">occurred </w:t>
      </w:r>
      <w:r w:rsidR="00931B53">
        <w:t>because</w:t>
      </w:r>
      <w:r w:rsidR="00DE3813">
        <w:t xml:space="preserve"> </w:t>
      </w:r>
      <w:r>
        <w:t>Royalty</w:t>
      </w:r>
      <w:r w:rsidR="00284F38">
        <w:t>’s</w:t>
      </w:r>
      <w:r>
        <w:t xml:space="preserve"> </w:t>
      </w:r>
      <w:r w:rsidR="00931B53">
        <w:t xml:space="preserve">failure to provide premium pay was not </w:t>
      </w:r>
      <w:r w:rsidRPr="00B63346">
        <w:t>willful</w:t>
      </w:r>
      <w:r w:rsidR="00805E3B">
        <w:t>.</w:t>
      </w:r>
    </w:p>
    <w:p w14:paraId="4C06255C" w14:textId="74B60E38" w:rsidR="00E92617" w:rsidRDefault="00432A9A" w:rsidP="00E92617">
      <w:pPr>
        <w:tabs>
          <w:tab w:val="left" w:pos="1440"/>
          <w:tab w:val="left" w:pos="2880"/>
          <w:tab w:val="left" w:pos="4320"/>
          <w:tab w:val="left" w:pos="5760"/>
          <w:tab w:val="left" w:pos="7200"/>
          <w:tab w:val="left" w:pos="8640"/>
        </w:tabs>
        <w:spacing w:line="480" w:lineRule="exact"/>
      </w:pPr>
      <w:r>
        <w:tab/>
      </w:r>
      <w:r w:rsidRPr="00F844E7">
        <w:t xml:space="preserve">“A willful failure to pay wages </w:t>
      </w:r>
      <w:r w:rsidRPr="00F844E7">
        <w:t>within the meaning of Labor Code Section 203 occurs when an employer intentionally fails to pay wages to an employee when those wages are due.  However, a good faith dispute that any wages are due will preclude imposition of waiting time penalties under Se</w:t>
      </w:r>
      <w:r w:rsidRPr="00F844E7">
        <w:t>ction 203.”  (Cal. Code Regs., tit. 8, §</w:t>
      </w:r>
      <w:r w:rsidR="005A2AB7">
        <w:t> </w:t>
      </w:r>
      <w:r w:rsidRPr="00F844E7">
        <w:t xml:space="preserve">13520.)  </w:t>
      </w:r>
      <w:r w:rsidRPr="005B30D2">
        <w:t xml:space="preserve">“A ‘good faith dispute’ that any wages are due occurs when an employer presents a defense, based in law or fact which, if successful, would preclude any recovery on the part of the employee.  The fact that </w:t>
      </w:r>
      <w:r w:rsidRPr="005B30D2">
        <w:t xml:space="preserve">a defense is ultimately unsuccessful will not preclude a finding that a good faith dispute did exist.  Defenses presented which, under all the circumstances, are unsupported by any evidence, are unreasonable, or are presented in bad faith, will preclude a </w:t>
      </w:r>
      <w:r w:rsidRPr="005B30D2">
        <w:t xml:space="preserve">finding of a ‘good faith dispute.’”  (Cal. Code Regs., tit. 8, § 13520, subd. (a).)  </w:t>
      </w:r>
      <w:r>
        <w:t>An objective standard is applied.  (</w:t>
      </w:r>
      <w:r w:rsidRPr="0092664B">
        <w:rPr>
          <w:i/>
          <w:iCs/>
        </w:rPr>
        <w:t>Maldonado v. Epsilon Plastics, Inc.</w:t>
      </w:r>
      <w:r>
        <w:t xml:space="preserve"> (2018) 22 Cal.App.5th 1308, 1332.)</w:t>
      </w:r>
    </w:p>
    <w:p w14:paraId="22D41B9C" w14:textId="38C690CB" w:rsidR="00F51B8B" w:rsidRDefault="00432A9A" w:rsidP="00E92617">
      <w:pPr>
        <w:tabs>
          <w:tab w:val="left" w:pos="1440"/>
          <w:tab w:val="left" w:pos="2880"/>
          <w:tab w:val="left" w:pos="4320"/>
          <w:tab w:val="left" w:pos="5760"/>
          <w:tab w:val="left" w:pos="7200"/>
          <w:tab w:val="left" w:pos="8640"/>
        </w:tabs>
        <w:spacing w:line="480" w:lineRule="exact"/>
      </w:pPr>
      <w:r>
        <w:tab/>
        <w:t xml:space="preserve">As </w:t>
      </w:r>
      <w:r w:rsidR="002371EC">
        <w:t xml:space="preserve">set forth </w:t>
      </w:r>
      <w:r w:rsidR="00B93AB8">
        <w:t xml:space="preserve">above </w:t>
      </w:r>
      <w:r w:rsidR="00AE0F50">
        <w:t xml:space="preserve">in </w:t>
      </w:r>
      <w:r w:rsidR="00224E5C">
        <w:t>discussion part</w:t>
      </w:r>
      <w:r w:rsidR="005A2AB7">
        <w:t xml:space="preserve"> II.A.3</w:t>
      </w:r>
      <w:r w:rsidR="00224E5C">
        <w:t>.</w:t>
      </w:r>
      <w:r w:rsidR="00AE0F50">
        <w:t xml:space="preserve"> </w:t>
      </w:r>
      <w:r>
        <w:t>regarding the set</w:t>
      </w:r>
      <w:r>
        <w:t xml:space="preserve">tlement releases, there was a good faith dispute as to whether Royalty’s on-premises meal policy was lawful and whether Porterville employees were owed premium pay based on this policy.  </w:t>
      </w:r>
      <w:r w:rsidR="009A1BEA">
        <w:t>Therefore</w:t>
      </w:r>
      <w:r>
        <w:t>, Royalty’s failure to provide premium pay to Porterville em</w:t>
      </w:r>
      <w:r>
        <w:t>ployees upon separation was not willful, and it is not liable for any derivative waiting time penalties.</w:t>
      </w:r>
    </w:p>
    <w:p w14:paraId="34AD852D" w14:textId="77777777" w:rsidR="00F51B8B" w:rsidRDefault="00432A9A">
      <w:r>
        <w:br w:type="page"/>
      </w:r>
    </w:p>
    <w:p w14:paraId="0814826A" w14:textId="5C039FA3" w:rsidR="004F27BE" w:rsidRPr="00547048" w:rsidRDefault="00432A9A" w:rsidP="00594045">
      <w:pPr>
        <w:pStyle w:val="ListParagraph"/>
        <w:tabs>
          <w:tab w:val="left" w:pos="1440"/>
          <w:tab w:val="left" w:pos="2880"/>
          <w:tab w:val="left" w:pos="4320"/>
          <w:tab w:val="left" w:pos="5760"/>
          <w:tab w:val="left" w:pos="7200"/>
          <w:tab w:val="left" w:pos="8640"/>
        </w:tabs>
        <w:spacing w:before="360" w:line="480" w:lineRule="exact"/>
        <w:ind w:left="1800" w:hanging="360"/>
        <w:contextualSpacing w:val="0"/>
        <w:rPr>
          <w:i/>
          <w:iCs/>
        </w:rPr>
      </w:pPr>
      <w:r>
        <w:rPr>
          <w:i/>
          <w:iCs/>
        </w:rPr>
        <w:lastRenderedPageBreak/>
        <w:t xml:space="preserve">2.  </w:t>
      </w:r>
      <w:r w:rsidR="009F382A">
        <w:rPr>
          <w:i/>
          <w:iCs/>
        </w:rPr>
        <w:t>Wage statement</w:t>
      </w:r>
      <w:r w:rsidRPr="00547048">
        <w:rPr>
          <w:i/>
          <w:iCs/>
        </w:rPr>
        <w:t xml:space="preserve"> penalties</w:t>
      </w:r>
    </w:p>
    <w:p w14:paraId="5185415F" w14:textId="0F442B65" w:rsidR="00E92617" w:rsidRDefault="00432A9A" w:rsidP="00E92617">
      <w:pPr>
        <w:tabs>
          <w:tab w:val="left" w:pos="1440"/>
          <w:tab w:val="left" w:pos="2880"/>
          <w:tab w:val="left" w:pos="4320"/>
          <w:tab w:val="left" w:pos="5760"/>
          <w:tab w:val="left" w:pos="7200"/>
          <w:tab w:val="left" w:pos="8640"/>
        </w:tabs>
        <w:spacing w:line="480" w:lineRule="exact"/>
      </w:pPr>
      <w:r>
        <w:tab/>
        <w:t xml:space="preserve">Under </w:t>
      </w:r>
      <w:r w:rsidRPr="00547048">
        <w:t>section 226, subdivision</w:t>
      </w:r>
      <w:r>
        <w:t xml:space="preserve"> (a), employers must furnish employees with accurate itemized wage statements showing, among other things, all gross and net wages earned.  </w:t>
      </w:r>
      <w:r w:rsidRPr="000B51BC">
        <w:t>“An employee suffering injury as a result of a knowing and intentional failure by an employer to comply with subdivi</w:t>
      </w:r>
      <w:r w:rsidRPr="000B51BC">
        <w:t>sion (a) is entitled to recover the greater of all actual damages or fifty dollars ($50) for the initial pay period in which a violation occurs and one hundred dollars ($100) per employee for each violation in a subsequent pay period, not to exceed an aggr</w:t>
      </w:r>
      <w:r w:rsidRPr="000B51BC">
        <w:t>egate penalty of four thousand dollars ($4,000), and is entitled to an award of costs and reasonable attorney</w:t>
      </w:r>
      <w:r>
        <w:t>’</w:t>
      </w:r>
      <w:r w:rsidRPr="000B51BC">
        <w:t>s fees.”  (§ 226, subd. (e)(1).)</w:t>
      </w:r>
    </w:p>
    <w:p w14:paraId="0029B6F4" w14:textId="4BD9461D" w:rsidR="00E92617" w:rsidRDefault="00432A9A" w:rsidP="00E92617">
      <w:pPr>
        <w:tabs>
          <w:tab w:val="left" w:pos="1440"/>
          <w:tab w:val="left" w:pos="2880"/>
          <w:tab w:val="left" w:pos="4320"/>
          <w:tab w:val="left" w:pos="5760"/>
          <w:tab w:val="left" w:pos="7200"/>
          <w:tab w:val="left" w:pos="8640"/>
        </w:tabs>
        <w:spacing w:line="480" w:lineRule="exact"/>
      </w:pPr>
      <w:r>
        <w:tab/>
        <w:t>Plaintiffs’ derivative wage statement claim is again based on Royalty’s on-premises meal policy.  They contend t</w:t>
      </w:r>
      <w:r>
        <w:t xml:space="preserve">he Porterville class’s wage statements failed to reflect the premium pay they were owed due to this unlawful policy.  The trial court denied this claim under </w:t>
      </w:r>
      <w:r w:rsidRPr="00546E24">
        <w:rPr>
          <w:i/>
          <w:iCs/>
        </w:rPr>
        <w:t>Maldonado v. Epsilon Plastics. Inc.</w:t>
      </w:r>
      <w:r w:rsidR="00594045">
        <w:t xml:space="preserve">, </w:t>
      </w:r>
      <w:r w:rsidR="00594045">
        <w:rPr>
          <w:i/>
          <w:iCs/>
        </w:rPr>
        <w:t>supra</w:t>
      </w:r>
      <w:r w:rsidR="00594045">
        <w:t>,</w:t>
      </w:r>
      <w:r>
        <w:t xml:space="preserve"> 22 Cal.App.5th 1308.  As described by the trial court,</w:t>
      </w:r>
      <w:r>
        <w:t xml:space="preserve"> </w:t>
      </w:r>
      <w:r w:rsidRPr="00B03D41">
        <w:rPr>
          <w:i/>
          <w:iCs/>
        </w:rPr>
        <w:t>Maldonado</w:t>
      </w:r>
      <w:r>
        <w:t xml:space="preserve"> “held that no wage statement penalties should be imposed for statements that accurately reflect the basis for the particular paycheck.  Plaintiffs admitted that their wage statement claim was a derivative one, conceding that although the stateme</w:t>
      </w:r>
      <w:r>
        <w:t xml:space="preserve">nts accurately showed what defendant’s employees were paid, the wage statements were allegedly inaccurate only because they should have included additional pay.  The </w:t>
      </w:r>
      <w:r w:rsidRPr="007B1589">
        <w:rPr>
          <w:i/>
          <w:iCs/>
        </w:rPr>
        <w:t>Maldonado</w:t>
      </w:r>
      <w:r>
        <w:t xml:space="preserve"> court rejected this argument, and that holding applies here.”</w:t>
      </w:r>
    </w:p>
    <w:p w14:paraId="36280061" w14:textId="41BC5112" w:rsidR="00594045" w:rsidRDefault="00432A9A" w:rsidP="00F51B8B">
      <w:pPr>
        <w:tabs>
          <w:tab w:val="left" w:pos="1440"/>
          <w:tab w:val="left" w:pos="2880"/>
          <w:tab w:val="left" w:pos="4320"/>
          <w:tab w:val="left" w:pos="5760"/>
          <w:tab w:val="left" w:pos="7200"/>
          <w:tab w:val="left" w:pos="8640"/>
        </w:tabs>
        <w:spacing w:line="480" w:lineRule="exact"/>
      </w:pPr>
      <w:r>
        <w:tab/>
      </w:r>
      <w:r>
        <w:t>Plaintiffs fail to meet their “burden to affirmatively show error.  [Citation.]  To demonstrate error, appellant must present meaningful legal analysis supported by citations to authority and citations to facts in the record that support the claim of error</w:t>
      </w:r>
      <w:r>
        <w:t>.”  (</w:t>
      </w:r>
      <w:r w:rsidRPr="00DF66CF">
        <w:rPr>
          <w:i/>
          <w:iCs/>
        </w:rPr>
        <w:t>In re S.C.</w:t>
      </w:r>
      <w:r>
        <w:t xml:space="preserve"> (2006) 138 Cal.App.4th 396, 408.)  Plaintiffs do not discuss the court’s analysis of their wage statement claim.  They fail to even cite </w:t>
      </w:r>
      <w:r w:rsidRPr="00F87E8D">
        <w:rPr>
          <w:i/>
          <w:iCs/>
        </w:rPr>
        <w:t>Maldonado</w:t>
      </w:r>
      <w:r>
        <w:t xml:space="preserve"> in their briefs.  </w:t>
      </w:r>
      <w:r w:rsidRPr="00687ED4">
        <w:t xml:space="preserve">Rather, they insist premium pay under section 226.7 </w:t>
      </w:r>
      <w:r w:rsidR="00184F9E">
        <w:t xml:space="preserve">is </w:t>
      </w:r>
      <w:r w:rsidRPr="00687ED4">
        <w:t>wages earned</w:t>
      </w:r>
      <w:r w:rsidR="00D0281C">
        <w:t xml:space="preserve"> under section </w:t>
      </w:r>
      <w:r w:rsidR="00D0281C" w:rsidRPr="000B51BC">
        <w:t xml:space="preserve">226, </w:t>
      </w:r>
      <w:r w:rsidR="00D0281C">
        <w:t>subdivision (a)</w:t>
      </w:r>
      <w:r w:rsidRPr="00687ED4">
        <w:t xml:space="preserve">, </w:t>
      </w:r>
      <w:r w:rsidR="00CF3EDE">
        <w:t xml:space="preserve">and </w:t>
      </w:r>
      <w:r w:rsidRPr="00687ED4">
        <w:t xml:space="preserve">should have been included on </w:t>
      </w:r>
      <w:r w:rsidR="00CF3EDE">
        <w:t xml:space="preserve">the wage statements of </w:t>
      </w:r>
      <w:r w:rsidRPr="00687ED4">
        <w:t xml:space="preserve">Porterville </w:t>
      </w:r>
      <w:r w:rsidRPr="00687ED4">
        <w:lastRenderedPageBreak/>
        <w:t xml:space="preserve">employees.  </w:t>
      </w:r>
      <w:r>
        <w:t xml:space="preserve">But this argument does not address the court’s ruling, which found no liability </w:t>
      </w:r>
      <w:r w:rsidR="000E5597">
        <w:t xml:space="preserve">based on </w:t>
      </w:r>
      <w:r>
        <w:t>plaintiffs</w:t>
      </w:r>
      <w:r w:rsidR="000E5597">
        <w:t>’ concession that</w:t>
      </w:r>
      <w:r>
        <w:t xml:space="preserve"> their wage statements accurate</w:t>
      </w:r>
      <w:r>
        <w:t>ly reflected what they were actually paid.</w:t>
      </w:r>
    </w:p>
    <w:p w14:paraId="43EAF559" w14:textId="7E91607E" w:rsidR="006B4AB0" w:rsidRPr="001E0229" w:rsidRDefault="00432A9A" w:rsidP="00E92617">
      <w:pPr>
        <w:tabs>
          <w:tab w:val="left" w:pos="1440"/>
          <w:tab w:val="left" w:pos="2880"/>
          <w:tab w:val="left" w:pos="4320"/>
          <w:tab w:val="left" w:pos="5760"/>
          <w:tab w:val="left" w:pos="7200"/>
          <w:tab w:val="left" w:pos="8640"/>
        </w:tabs>
        <w:spacing w:line="480" w:lineRule="exact"/>
      </w:pPr>
      <w:r>
        <w:tab/>
      </w:r>
      <w:r w:rsidR="00713B2D">
        <w:t>In fact</w:t>
      </w:r>
      <w:r>
        <w:t>, Royalty’s respondent’s brief highlighted plaintiffs’ failure to discuss the court’s reasoning in their opening brief.  Plaintiffs</w:t>
      </w:r>
      <w:r w:rsidR="007B107F">
        <w:t>’ reply brief</w:t>
      </w:r>
      <w:r>
        <w:t xml:space="preserve"> </w:t>
      </w:r>
      <w:r w:rsidR="002828B0">
        <w:t xml:space="preserve">did not just ignore </w:t>
      </w:r>
      <w:r>
        <w:t>this contention</w:t>
      </w:r>
      <w:r w:rsidR="002828B0">
        <w:t xml:space="preserve">, it </w:t>
      </w:r>
      <w:r w:rsidR="006F5DEE">
        <w:t xml:space="preserve">failed to </w:t>
      </w:r>
      <w:r w:rsidR="000A5D9C">
        <w:t xml:space="preserve">include </w:t>
      </w:r>
      <w:r w:rsidR="006F5DEE">
        <w:t xml:space="preserve">any argument on </w:t>
      </w:r>
      <w:r w:rsidR="000A5D9C">
        <w:t xml:space="preserve">the </w:t>
      </w:r>
      <w:r>
        <w:t xml:space="preserve">wage statement claim.  Since plaintiffs have made no attempt to show any error in the court’s analysis, their “brief effectively asks the appellate court to become [their] lawyer.  A court cannot fairly </w:t>
      </w:r>
      <w:r w:rsidRPr="007B4EF3">
        <w:t>embrace this partisan role.”  (</w:t>
      </w:r>
      <w:r w:rsidRPr="001E0229">
        <w:rPr>
          <w:i/>
          <w:iCs/>
        </w:rPr>
        <w:t>Sing</w:t>
      </w:r>
      <w:r w:rsidRPr="001E0229">
        <w:rPr>
          <w:i/>
          <w:iCs/>
        </w:rPr>
        <w:t>man v. IMD</w:t>
      </w:r>
      <w:r w:rsidR="00594045">
        <w:rPr>
          <w:i/>
          <w:iCs/>
        </w:rPr>
        <w:t>B</w:t>
      </w:r>
      <w:r w:rsidRPr="001E0229">
        <w:rPr>
          <w:i/>
          <w:iCs/>
        </w:rPr>
        <w:t>.com, Inc.</w:t>
      </w:r>
      <w:r w:rsidRPr="001E0229">
        <w:t xml:space="preserve"> (2021) 72 Cal.App.5th 1150</w:t>
      </w:r>
      <w:r>
        <w:t xml:space="preserve">, </w:t>
      </w:r>
      <w:r w:rsidR="00594045">
        <w:t>1151</w:t>
      </w:r>
      <w:r>
        <w:t>.)</w:t>
      </w:r>
    </w:p>
    <w:p w14:paraId="32FB5A2B" w14:textId="4F78B101" w:rsidR="008C5390" w:rsidRDefault="00432A9A" w:rsidP="00A10CA5">
      <w:pPr>
        <w:keepNext/>
        <w:tabs>
          <w:tab w:val="left" w:pos="1440"/>
          <w:tab w:val="left" w:pos="2880"/>
          <w:tab w:val="left" w:pos="4320"/>
          <w:tab w:val="left" w:pos="5760"/>
          <w:tab w:val="left" w:pos="7200"/>
          <w:tab w:val="left" w:pos="8640"/>
        </w:tabs>
        <w:spacing w:before="480" w:line="480" w:lineRule="atLeast"/>
        <w:jc w:val="center"/>
      </w:pPr>
      <w:r>
        <w:t>III</w:t>
      </w:r>
    </w:p>
    <w:p w14:paraId="642B60FB" w14:textId="254DAD8D" w:rsidR="008C5390" w:rsidRDefault="00432A9A" w:rsidP="00A10CA5">
      <w:pPr>
        <w:keepNext/>
        <w:tabs>
          <w:tab w:val="left" w:pos="1440"/>
          <w:tab w:val="left" w:pos="2880"/>
          <w:tab w:val="left" w:pos="4320"/>
          <w:tab w:val="left" w:pos="5760"/>
          <w:tab w:val="left" w:pos="7200"/>
          <w:tab w:val="left" w:pos="8640"/>
        </w:tabs>
        <w:spacing w:line="480" w:lineRule="atLeast"/>
        <w:jc w:val="center"/>
      </w:pPr>
      <w:r>
        <w:t>DISPOSITION</w:t>
      </w:r>
    </w:p>
    <w:p w14:paraId="6E3269D1" w14:textId="6CE2D9D8" w:rsidR="0046187A" w:rsidRPr="00F92775" w:rsidRDefault="00432A9A" w:rsidP="00A10CA5">
      <w:pPr>
        <w:keepNext/>
        <w:tabs>
          <w:tab w:val="left" w:pos="1440"/>
          <w:tab w:val="left" w:pos="2880"/>
          <w:tab w:val="left" w:pos="4320"/>
          <w:tab w:val="left" w:pos="5760"/>
          <w:tab w:val="left" w:pos="7200"/>
          <w:tab w:val="left" w:pos="8640"/>
        </w:tabs>
        <w:spacing w:line="480" w:lineRule="atLeast"/>
      </w:pPr>
      <w:r>
        <w:tab/>
      </w:r>
      <w:r w:rsidR="004D09B1" w:rsidRPr="00F92775">
        <w:t xml:space="preserve">We reverse the </w:t>
      </w:r>
      <w:r w:rsidR="00E92617" w:rsidRPr="00F92775">
        <w:t>trial court’s order decertifying the Dyer/Derian meal period subclass</w:t>
      </w:r>
      <w:r w:rsidR="00947BD9" w:rsidRPr="00F92775">
        <w:t>es</w:t>
      </w:r>
      <w:r w:rsidR="00E92617" w:rsidRPr="00F92775">
        <w:t xml:space="preserve"> </w:t>
      </w:r>
      <w:r w:rsidR="00555A8C" w:rsidRPr="00F92775">
        <w:t xml:space="preserve">and dismissing the </w:t>
      </w:r>
      <w:r w:rsidR="0076281E" w:rsidRPr="00F92775">
        <w:t xml:space="preserve">portion of the </w:t>
      </w:r>
      <w:r w:rsidR="00555A8C" w:rsidRPr="00F92775">
        <w:t>Dyer/Derian PAGA claim based on meal period violations</w:t>
      </w:r>
      <w:r w:rsidR="00E92617" w:rsidRPr="00F92775">
        <w:t xml:space="preserve">.  </w:t>
      </w:r>
      <w:r w:rsidR="00074791" w:rsidRPr="00F92775">
        <w:t>O</w:t>
      </w:r>
      <w:r w:rsidR="001D0248" w:rsidRPr="00F92775">
        <w:t xml:space="preserve">n remand, the court shall hold a new trial on </w:t>
      </w:r>
      <w:r w:rsidR="00074791" w:rsidRPr="00F92775">
        <w:t>both claims.  As to both</w:t>
      </w:r>
      <w:r w:rsidR="001127B1" w:rsidRPr="00F92775">
        <w:t>, w</w:t>
      </w:r>
      <w:r w:rsidR="001D0248" w:rsidRPr="00F92775">
        <w:t xml:space="preserve">e leave it in the court’s discretion to determine whether additional witnesses or </w:t>
      </w:r>
      <w:r w:rsidR="00B63A90" w:rsidRPr="00F92775">
        <w:t xml:space="preserve">other </w:t>
      </w:r>
      <w:r w:rsidR="001D0248" w:rsidRPr="00F92775">
        <w:t xml:space="preserve">evidence will be </w:t>
      </w:r>
      <w:r w:rsidR="00B63A90" w:rsidRPr="00F92775">
        <w:t xml:space="preserve">allowed </w:t>
      </w:r>
      <w:r w:rsidR="008B783C">
        <w:t xml:space="preserve">in light of </w:t>
      </w:r>
      <w:r w:rsidR="001127B1" w:rsidRPr="00F92775">
        <w:t>the principles set forth in this opinion.</w:t>
      </w:r>
    </w:p>
    <w:p w14:paraId="652980F8" w14:textId="09CFBB5D" w:rsidR="00E92617" w:rsidRPr="00F92775" w:rsidRDefault="00432A9A" w:rsidP="00900EAA">
      <w:pPr>
        <w:tabs>
          <w:tab w:val="left" w:pos="1440"/>
          <w:tab w:val="left" w:pos="2880"/>
          <w:tab w:val="left" w:pos="4320"/>
          <w:tab w:val="left" w:pos="5760"/>
          <w:tab w:val="left" w:pos="7200"/>
          <w:tab w:val="left" w:pos="8640"/>
        </w:tabs>
        <w:spacing w:line="480" w:lineRule="atLeast"/>
      </w:pPr>
      <w:r w:rsidRPr="00F92775">
        <w:tab/>
      </w:r>
      <w:r w:rsidR="003B3947" w:rsidRPr="00F92775">
        <w:t xml:space="preserve">As to the </w:t>
      </w:r>
      <w:r w:rsidRPr="00F92775">
        <w:t>judgment</w:t>
      </w:r>
      <w:r w:rsidR="003B3947" w:rsidRPr="00F92775">
        <w:t>, f</w:t>
      </w:r>
      <w:r w:rsidR="00014321" w:rsidRPr="00F92775">
        <w:t>irst,</w:t>
      </w:r>
      <w:r w:rsidRPr="00F92775">
        <w:t xml:space="preserve"> we reverse the portion limiting recovery on the Porterville class’s meal period claim to violations occurring between November 17, 2012</w:t>
      </w:r>
      <w:r w:rsidR="00B36F02">
        <w:t>,</w:t>
      </w:r>
      <w:r w:rsidRPr="00F92775">
        <w:t xml:space="preserve"> through June 14, 2017, and restricting the class period to these dates.  On remand, the court</w:t>
      </w:r>
      <w:r w:rsidRPr="00F92775">
        <w:t xml:space="preserve"> shall recalculate damages on this claim so they reflect meal period violations occurring </w:t>
      </w:r>
      <w:r w:rsidR="00BD47D7" w:rsidRPr="00F92775">
        <w:t xml:space="preserve">at Porterville </w:t>
      </w:r>
      <w:r w:rsidRPr="00F92775">
        <w:t>between October 22, 2010</w:t>
      </w:r>
      <w:r w:rsidR="004C36E7">
        <w:t>,</w:t>
      </w:r>
      <w:r w:rsidRPr="00F92775">
        <w:t xml:space="preserve"> and June 14, 2017, and it shall expand the class period for this claim accordingly.  Second, the portion of the judgment awar</w:t>
      </w:r>
      <w:r w:rsidRPr="00F92775">
        <w:t>ding individual PAGA penalties to plaintiffs Jorge Luis Estrada, Paulina Nava Medina, Jose Garcia, and Martin Garcia is reversed based on our finding</w:t>
      </w:r>
      <w:r w:rsidR="00F85744" w:rsidRPr="00F92775">
        <w:t xml:space="preserve"> that</w:t>
      </w:r>
      <w:r w:rsidRPr="00F92775">
        <w:t xml:space="preserve"> the court </w:t>
      </w:r>
      <w:r w:rsidR="00B335FA">
        <w:t xml:space="preserve">improperly </w:t>
      </w:r>
      <w:r w:rsidR="006B18F7">
        <w:t xml:space="preserve">dismissed </w:t>
      </w:r>
      <w:r w:rsidRPr="00F92775">
        <w:t xml:space="preserve">their representative PAGA claim as unmanageable.  </w:t>
      </w:r>
      <w:r w:rsidR="003B3947" w:rsidRPr="00F92775">
        <w:t xml:space="preserve">Finally, we reverse any </w:t>
      </w:r>
      <w:r w:rsidR="003B3947" w:rsidRPr="00F92775">
        <w:lastRenderedPageBreak/>
        <w:t xml:space="preserve">portion of the judgment that is inconsistent with </w:t>
      </w:r>
      <w:r w:rsidR="00F51B8B">
        <w:t>this opinion</w:t>
      </w:r>
      <w:r w:rsidR="00974733" w:rsidRPr="00F92775">
        <w:t xml:space="preserve">.  </w:t>
      </w:r>
      <w:r w:rsidRPr="00F92775">
        <w:t xml:space="preserve">The judgment is affirmed in all other respects.  </w:t>
      </w:r>
      <w:r w:rsidR="00594045">
        <w:t>Each party shall bear their own costs on this appeal.</w:t>
      </w:r>
    </w:p>
    <w:p w14:paraId="71436F7B" w14:textId="71671EA7" w:rsidR="00006650" w:rsidRDefault="00006650" w:rsidP="00594045">
      <w:pPr>
        <w:keepNext/>
        <w:tabs>
          <w:tab w:val="left" w:pos="1440"/>
          <w:tab w:val="left" w:pos="2880"/>
          <w:tab w:val="left" w:pos="4320"/>
          <w:tab w:val="left" w:pos="5760"/>
          <w:tab w:val="left" w:pos="7200"/>
          <w:tab w:val="left" w:pos="8640"/>
        </w:tabs>
      </w:pPr>
    </w:p>
    <w:p w14:paraId="1C0FE036" w14:textId="77777777" w:rsidR="005E12A8" w:rsidRDefault="005E12A8" w:rsidP="00594045">
      <w:pPr>
        <w:keepNext/>
        <w:tabs>
          <w:tab w:val="left" w:pos="1440"/>
          <w:tab w:val="left" w:pos="2880"/>
          <w:tab w:val="left" w:pos="4320"/>
          <w:tab w:val="left" w:pos="5760"/>
          <w:tab w:val="left" w:pos="7200"/>
          <w:tab w:val="left" w:pos="8640"/>
        </w:tabs>
      </w:pPr>
    </w:p>
    <w:p w14:paraId="0EE1E2CC" w14:textId="79BE459D" w:rsidR="00006650" w:rsidRDefault="00006650" w:rsidP="00006650">
      <w:pPr>
        <w:keepNext/>
        <w:tabs>
          <w:tab w:val="left" w:pos="5040"/>
        </w:tabs>
      </w:pPr>
    </w:p>
    <w:p w14:paraId="0AC660A3" w14:textId="77777777" w:rsidR="00006650" w:rsidRDefault="00432A9A" w:rsidP="00006650">
      <w:pPr>
        <w:keepNext/>
        <w:tabs>
          <w:tab w:val="left" w:pos="5040"/>
        </w:tabs>
      </w:pPr>
      <w:r>
        <w:tab/>
        <w:t>MOORE, ACTING P. J.</w:t>
      </w:r>
    </w:p>
    <w:p w14:paraId="77760D5A" w14:textId="77777777" w:rsidR="00006650" w:rsidRDefault="00006650" w:rsidP="00006650">
      <w:pPr>
        <w:keepNext/>
        <w:tabs>
          <w:tab w:val="left" w:pos="5040"/>
        </w:tabs>
      </w:pPr>
    </w:p>
    <w:p w14:paraId="06EB221F" w14:textId="77777777" w:rsidR="00006650" w:rsidRDefault="00432A9A" w:rsidP="00006650">
      <w:pPr>
        <w:keepNext/>
        <w:tabs>
          <w:tab w:val="left" w:pos="5040"/>
        </w:tabs>
      </w:pPr>
      <w:r>
        <w:t>WE CONCUR:</w:t>
      </w:r>
    </w:p>
    <w:p w14:paraId="0588AC73" w14:textId="77777777" w:rsidR="00006650" w:rsidRDefault="00006650" w:rsidP="00006650">
      <w:pPr>
        <w:keepNext/>
        <w:tabs>
          <w:tab w:val="left" w:pos="5040"/>
        </w:tabs>
      </w:pPr>
    </w:p>
    <w:p w14:paraId="674C5931" w14:textId="77777777" w:rsidR="00006650" w:rsidRDefault="00006650" w:rsidP="00006650">
      <w:pPr>
        <w:keepNext/>
        <w:tabs>
          <w:tab w:val="left" w:pos="5040"/>
        </w:tabs>
      </w:pPr>
    </w:p>
    <w:p w14:paraId="7706AD73" w14:textId="13819FA9" w:rsidR="00006650" w:rsidRDefault="00006650" w:rsidP="00006650">
      <w:pPr>
        <w:keepNext/>
        <w:tabs>
          <w:tab w:val="left" w:pos="5040"/>
        </w:tabs>
      </w:pPr>
    </w:p>
    <w:p w14:paraId="56391042" w14:textId="77777777" w:rsidR="00006650" w:rsidRDefault="00432A9A" w:rsidP="00006650">
      <w:pPr>
        <w:keepNext/>
        <w:tabs>
          <w:tab w:val="left" w:pos="5040"/>
        </w:tabs>
      </w:pPr>
      <w:r>
        <w:t>GOETHALS, J.</w:t>
      </w:r>
    </w:p>
    <w:p w14:paraId="66319B00" w14:textId="77777777" w:rsidR="00006650" w:rsidRDefault="00006650" w:rsidP="00006650">
      <w:pPr>
        <w:keepNext/>
        <w:tabs>
          <w:tab w:val="left" w:pos="5040"/>
        </w:tabs>
      </w:pPr>
    </w:p>
    <w:p w14:paraId="181445D7" w14:textId="77777777" w:rsidR="00006650" w:rsidRDefault="00006650" w:rsidP="00006650">
      <w:pPr>
        <w:keepNext/>
        <w:tabs>
          <w:tab w:val="left" w:pos="5040"/>
        </w:tabs>
      </w:pPr>
    </w:p>
    <w:p w14:paraId="5CC7FFBA" w14:textId="6ED6C12D" w:rsidR="00006650" w:rsidRDefault="00006650" w:rsidP="00006650">
      <w:pPr>
        <w:keepNext/>
        <w:tabs>
          <w:tab w:val="left" w:pos="5040"/>
        </w:tabs>
      </w:pPr>
    </w:p>
    <w:p w14:paraId="7FAA6C5E" w14:textId="77777777" w:rsidR="00006650" w:rsidRDefault="00432A9A" w:rsidP="00006650">
      <w:pPr>
        <w:keepNext/>
        <w:tabs>
          <w:tab w:val="left" w:pos="5040"/>
        </w:tabs>
      </w:pPr>
      <w:r>
        <w:t>ZELON, J.*</w:t>
      </w:r>
    </w:p>
    <w:p w14:paraId="143463B0" w14:textId="37A36447" w:rsidR="00594045" w:rsidRDefault="00594045" w:rsidP="00006650">
      <w:pPr>
        <w:keepNext/>
        <w:tabs>
          <w:tab w:val="left" w:pos="5040"/>
        </w:tabs>
      </w:pPr>
    </w:p>
    <w:p w14:paraId="124AC5DF" w14:textId="77777777" w:rsidR="00594045" w:rsidRDefault="00594045" w:rsidP="00006650">
      <w:pPr>
        <w:keepNext/>
        <w:tabs>
          <w:tab w:val="left" w:pos="5040"/>
        </w:tabs>
      </w:pPr>
    </w:p>
    <w:p w14:paraId="2336F857" w14:textId="18BDBB1B" w:rsidR="00006650" w:rsidRDefault="00432A9A" w:rsidP="00594045">
      <w:pPr>
        <w:keepNext/>
        <w:tabs>
          <w:tab w:val="left" w:pos="1440"/>
          <w:tab w:val="left" w:pos="2880"/>
          <w:tab w:val="left" w:pos="4320"/>
          <w:tab w:val="left" w:pos="5760"/>
          <w:tab w:val="left" w:pos="7200"/>
          <w:tab w:val="left" w:pos="8640"/>
        </w:tabs>
      </w:pPr>
      <w:r>
        <w:t xml:space="preserve">*Retired </w:t>
      </w:r>
      <w:r>
        <w:t>Justice of the Court of Appeal, Second Appellate District, assigned by the Chief Justice pursuant to article VI, section 6 of the California Constitution.</w:t>
      </w:r>
    </w:p>
    <w:sectPr w:rsidR="00006650" w:rsidSect="008F51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0C3" w14:textId="77777777" w:rsidR="00000000" w:rsidRDefault="00432A9A">
      <w:r>
        <w:separator/>
      </w:r>
    </w:p>
  </w:endnote>
  <w:endnote w:type="continuationSeparator" w:id="0">
    <w:p w14:paraId="63D51F35" w14:textId="77777777" w:rsidR="00000000" w:rsidRDefault="0043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32E" w14:textId="77777777" w:rsidR="00CC67C6" w:rsidRDefault="00432A9A" w:rsidP="003916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4C9F1F3" w14:textId="77777777" w:rsidR="00CC67C6" w:rsidRDefault="00CC6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1625" w14:textId="40A21171" w:rsidR="00CC67C6" w:rsidRDefault="00432A9A" w:rsidP="003916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35A1">
      <w:rPr>
        <w:rStyle w:val="PageNumber"/>
        <w:noProof/>
      </w:rPr>
      <w:t>49</w:t>
    </w:r>
    <w:r>
      <w:rPr>
        <w:rStyle w:val="PageNumber"/>
      </w:rPr>
      <w:fldChar w:fldCharType="end"/>
    </w:r>
  </w:p>
  <w:p w14:paraId="6E264C33" w14:textId="77777777" w:rsidR="00CC67C6" w:rsidRDefault="00CC6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D9A" w14:textId="77777777" w:rsidR="00EE1B51" w:rsidRDefault="00EE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986F" w14:textId="77777777" w:rsidR="005E2994" w:rsidRDefault="00432A9A" w:rsidP="008F51CD">
      <w:r>
        <w:separator/>
      </w:r>
    </w:p>
  </w:footnote>
  <w:footnote w:type="continuationSeparator" w:id="0">
    <w:p w14:paraId="5E0949FB" w14:textId="77777777" w:rsidR="005E2994" w:rsidRDefault="00432A9A" w:rsidP="008F51CD">
      <w:r>
        <w:continuationSeparator/>
      </w:r>
    </w:p>
  </w:footnote>
  <w:footnote w:type="continuationNotice" w:id="1">
    <w:p w14:paraId="2427A23B" w14:textId="77777777" w:rsidR="005E2994" w:rsidRDefault="005E2994"/>
  </w:footnote>
  <w:footnote w:id="2">
    <w:p w14:paraId="28F1384F" w14:textId="20675429" w:rsidR="00CC67C6" w:rsidRDefault="00432A9A" w:rsidP="00FC6C03">
      <w:pPr>
        <w:pStyle w:val="FootnoteText"/>
      </w:pPr>
      <w:r>
        <w:rPr>
          <w:rStyle w:val="FootnoteReference"/>
        </w:rPr>
        <w:footnoteRef/>
      </w:r>
      <w:r>
        <w:t xml:space="preserve">  All further undesignated statutory references are to the Labor Code.</w:t>
      </w:r>
    </w:p>
  </w:footnote>
  <w:footnote w:id="3">
    <w:p w14:paraId="457145CC" w14:textId="15C0B3F8" w:rsidR="00CC67C6" w:rsidRPr="00BA5E4F" w:rsidRDefault="00432A9A" w:rsidP="002F670E">
      <w:pPr>
        <w:pStyle w:val="FootnoteText"/>
      </w:pPr>
      <w:r>
        <w:rPr>
          <w:rStyle w:val="FootnoteReference"/>
        </w:rPr>
        <w:footnoteRef/>
      </w:r>
      <w:r>
        <w:t xml:space="preserve">  Royalty operated another manufacturing facility located on Red Hill Avenue in Irvine.  </w:t>
      </w:r>
      <w:r w:rsidR="00BE4A1E">
        <w:t>No claims were brought on behalf of the employees at trial</w:t>
      </w:r>
      <w:r>
        <w:t>, so they are irrelevant to this appe</w:t>
      </w:r>
      <w:r>
        <w:t>al.</w:t>
      </w:r>
    </w:p>
  </w:footnote>
  <w:footnote w:id="4">
    <w:p w14:paraId="57294FD0" w14:textId="51809DF9" w:rsidR="00CC67C6" w:rsidRDefault="00432A9A">
      <w:pPr>
        <w:pStyle w:val="FootnoteText"/>
      </w:pPr>
      <w:r>
        <w:rPr>
          <w:rStyle w:val="FootnoteReference"/>
        </w:rPr>
        <w:footnoteRef/>
      </w:r>
      <w:r>
        <w:t xml:space="preserve">  The section 558 claim was not pursued at trial for unexplained reasons.  </w:t>
      </w:r>
      <w:r w:rsidRPr="009D3621">
        <w:t xml:space="preserve">We note that </w:t>
      </w:r>
      <w:r>
        <w:t xml:space="preserve">just </w:t>
      </w:r>
      <w:r w:rsidRPr="009D3621">
        <w:t>prior to the entry of judgment</w:t>
      </w:r>
      <w:r>
        <w:t xml:space="preserve"> in this case</w:t>
      </w:r>
      <w:r w:rsidRPr="009D3621">
        <w:t>, our Supreme Court held a plaintiff may not bring a private right of action under section 558</w:t>
      </w:r>
      <w:r>
        <w:t xml:space="preserve"> or </w:t>
      </w:r>
      <w:r w:rsidRPr="009D3621">
        <w:t>seek PAGA penalti</w:t>
      </w:r>
      <w:r w:rsidRPr="009D3621">
        <w:t>es for a violation of this statute.  (</w:t>
      </w:r>
      <w:r w:rsidRPr="002D4094">
        <w:rPr>
          <w:i/>
          <w:iCs/>
        </w:rPr>
        <w:t>ZB, N.A. v. Superior Court</w:t>
      </w:r>
      <w:r w:rsidRPr="009D3621">
        <w:t xml:space="preserve"> (2019) 8 Cal.5th 175, 181-182.)</w:t>
      </w:r>
    </w:p>
  </w:footnote>
  <w:footnote w:id="5">
    <w:p w14:paraId="72826D23" w14:textId="79346370" w:rsidR="00CC67C6" w:rsidRDefault="00432A9A">
      <w:pPr>
        <w:pStyle w:val="FootnoteText"/>
      </w:pPr>
      <w:r w:rsidRPr="0008254B">
        <w:rPr>
          <w:rStyle w:val="FootnoteReference"/>
        </w:rPr>
        <w:footnoteRef/>
      </w:r>
      <w:r w:rsidRPr="0008254B">
        <w:t xml:space="preserve">  The Porterville on-premises meal policy remained in place after Royalty entered into settlements agreements with individual class members.  Since settling Porterville class members only released claims up </w:t>
      </w:r>
      <w:r w:rsidR="009A7152">
        <w:t xml:space="preserve">to </w:t>
      </w:r>
      <w:r w:rsidRPr="0008254B">
        <w:t>the date of their settlements, the court award</w:t>
      </w:r>
      <w:r w:rsidRPr="0008254B">
        <w:t>ed them premium pay for the meal period violations that occurred after the</w:t>
      </w:r>
      <w:r>
        <w:t>ir</w:t>
      </w:r>
      <w:r w:rsidRPr="0008254B">
        <w:t xml:space="preserve"> settlement</w:t>
      </w:r>
      <w:r>
        <w:t>s</w:t>
      </w:r>
      <w:r w:rsidRPr="0008254B">
        <w:t xml:space="preserve"> were entered into</w:t>
      </w:r>
      <w:r>
        <w:t>.</w:t>
      </w:r>
    </w:p>
    <w:p w14:paraId="69D7C7E8" w14:textId="77777777" w:rsidR="00BA10B8" w:rsidRDefault="00BA10B8">
      <w:pPr>
        <w:pStyle w:val="FootnoteText"/>
      </w:pPr>
    </w:p>
  </w:footnote>
  <w:footnote w:id="6">
    <w:p w14:paraId="5C30A66D" w14:textId="5C78EAEA" w:rsidR="00CC67C6" w:rsidRPr="00133EDF" w:rsidRDefault="00432A9A" w:rsidP="00BA10B8">
      <w:pPr>
        <w:pStyle w:val="FootnoteText"/>
      </w:pPr>
      <w:r>
        <w:rPr>
          <w:rStyle w:val="FootnoteReference"/>
        </w:rPr>
        <w:footnoteRef/>
      </w:r>
      <w:r>
        <w:t xml:space="preserve">  </w:t>
      </w:r>
      <w:r w:rsidR="00F45F88">
        <w:t xml:space="preserve">The parties do not explain </w:t>
      </w:r>
      <w:r>
        <w:t xml:space="preserve">why only four of the five class representatives for the Dyer/Derian class were awarded damages.  </w:t>
      </w:r>
      <w:r w:rsidR="001D4169">
        <w:t xml:space="preserve">But it appears one of the </w:t>
      </w:r>
      <w:r w:rsidR="00133EDF">
        <w:t>class representatives did not testify at trial</w:t>
      </w:r>
      <w:r w:rsidR="007B5777">
        <w:t xml:space="preserve"> and</w:t>
      </w:r>
      <w:r w:rsidR="00311D19">
        <w:t>, consequently,</w:t>
      </w:r>
      <w:r w:rsidR="007B5777">
        <w:t xml:space="preserve"> was not awarded any damages</w:t>
      </w:r>
      <w:r w:rsidR="00133EDF">
        <w:t>.</w:t>
      </w:r>
    </w:p>
  </w:footnote>
  <w:footnote w:id="7">
    <w:p w14:paraId="62027936" w14:textId="599056E1" w:rsidR="00CC67C6" w:rsidRDefault="00432A9A">
      <w:pPr>
        <w:pStyle w:val="FootnoteText"/>
      </w:pPr>
      <w:r>
        <w:rPr>
          <w:rStyle w:val="FootnoteReference"/>
        </w:rPr>
        <w:footnoteRef/>
      </w:r>
      <w:r>
        <w:t xml:space="preserve">  The parties dispute the proper stan</w:t>
      </w:r>
      <w:r>
        <w:t>dard of review.  Royalty believes the substantial evidence standard applies, while plaintiffs assert our review is de novo.  We need not decide since our decision would be the same under either standard.</w:t>
      </w:r>
    </w:p>
  </w:footnote>
  <w:footnote w:id="8">
    <w:p w14:paraId="5215C552" w14:textId="4ADD6D82" w:rsidR="00CC67C6" w:rsidRPr="00E85441" w:rsidRDefault="00432A9A">
      <w:pPr>
        <w:pStyle w:val="FootnoteText"/>
      </w:pPr>
      <w:r w:rsidRPr="00371B0C">
        <w:rPr>
          <w:rStyle w:val="FootnoteReference"/>
        </w:rPr>
        <w:footnoteRef/>
      </w:r>
      <w:r w:rsidRPr="00371B0C">
        <w:t xml:space="preserve">  The court’s statement of decision </w:t>
      </w:r>
      <w:r w:rsidR="00207448">
        <w:t xml:space="preserve">provides </w:t>
      </w:r>
      <w:r w:rsidRPr="00371B0C">
        <w:t>“[t]he</w:t>
      </w:r>
      <w:r w:rsidRPr="00371B0C">
        <w:t xml:space="preserve"> court did not award PAGA penalties for Dyer and Derian employees who were not named plaintiffs because plaintiffs failed to show Labor Code violations as to them.”  This failure to find Labor Code violations, however, was tied to the court’s decision to </w:t>
      </w:r>
      <w:r w:rsidR="00886295">
        <w:t xml:space="preserve">dismiss the PAGA claim as </w:t>
      </w:r>
      <w:r w:rsidRPr="00371B0C">
        <w:t>unmanageab</w:t>
      </w:r>
      <w:r w:rsidR="00886295">
        <w:t>le</w:t>
      </w:r>
      <w:r w:rsidRPr="00371B0C">
        <w:t>.  The court explained in its oral ruling that it was awarding PAGA penalties to individual plaintiffs because “there [was] no group of [aggrieved] employees” due to its decision to decertify the class.</w:t>
      </w:r>
    </w:p>
  </w:footnote>
  <w:footnote w:id="9">
    <w:p w14:paraId="6E935460" w14:textId="679026E5" w:rsidR="00AB4C10" w:rsidRDefault="00432A9A" w:rsidP="00AB4C10">
      <w:pPr>
        <w:pStyle w:val="FootnoteText"/>
      </w:pPr>
      <w:r>
        <w:rPr>
          <w:rStyle w:val="FootnoteReference"/>
        </w:rPr>
        <w:footnoteRef/>
      </w:r>
      <w:r>
        <w:t xml:space="preserve">  For example, </w:t>
      </w:r>
      <w:r w:rsidR="00173300">
        <w:t xml:space="preserve">narrowing </w:t>
      </w:r>
      <w:r w:rsidR="0023177F">
        <w:t xml:space="preserve">alleged violations </w:t>
      </w:r>
      <w:r>
        <w:t xml:space="preserve">to </w:t>
      </w:r>
      <w:r w:rsidR="00173300">
        <w:t xml:space="preserve">employees at </w:t>
      </w:r>
      <w:r>
        <w:t>a single location or department.</w:t>
      </w:r>
    </w:p>
  </w:footnote>
  <w:footnote w:id="10">
    <w:p w14:paraId="03E20671" w14:textId="2FCF3A23" w:rsidR="00CC67C6" w:rsidRDefault="00432A9A">
      <w:pPr>
        <w:pStyle w:val="FootnoteText"/>
      </w:pPr>
      <w:r>
        <w:rPr>
          <w:rStyle w:val="FootnoteReference"/>
        </w:rPr>
        <w:footnoteRef/>
      </w:r>
      <w:r>
        <w:t xml:space="preserve">  Because of this finding, we do not consider plaintiffs’ argument that the SAC tolled the statute of limitations for this claim.</w:t>
      </w:r>
    </w:p>
  </w:footnote>
  <w:footnote w:id="11">
    <w:p w14:paraId="45256657" w14:textId="05991551" w:rsidR="00CC67C6" w:rsidRDefault="00432A9A" w:rsidP="0036293A">
      <w:pPr>
        <w:pStyle w:val="FootnoteText"/>
      </w:pPr>
      <w:r>
        <w:rPr>
          <w:rStyle w:val="FootnoteReference"/>
        </w:rPr>
        <w:footnoteRef/>
      </w:r>
      <w:r>
        <w:t xml:space="preserve">  Though the court’s initial certification ord</w:t>
      </w:r>
      <w:r>
        <w:t>er created a single meal period subclass, the court’s decertification order appears to treat the first and second meal period issues as two separate subclasses.</w:t>
      </w:r>
      <w:r w:rsidR="00D26EAB">
        <w:t xml:space="preserve"> </w:t>
      </w:r>
      <w:r>
        <w:t xml:space="preserve"> Thus, we also treat these issues as separate subclasses.</w:t>
      </w:r>
    </w:p>
  </w:footnote>
  <w:footnote w:id="12">
    <w:p w14:paraId="4054DBD9" w14:textId="25380BB6" w:rsidR="00C31F21" w:rsidRPr="00AC10DD" w:rsidRDefault="00432A9A" w:rsidP="00C31F21">
      <w:pPr>
        <w:pStyle w:val="FootnoteText"/>
      </w:pPr>
      <w:r>
        <w:rPr>
          <w:rStyle w:val="FootnoteReference"/>
        </w:rPr>
        <w:footnoteRef/>
      </w:r>
      <w:r>
        <w:t xml:space="preserve">  The five witnesses were Octavio Mo</w:t>
      </w:r>
      <w:r>
        <w:t xml:space="preserve">lina Chavez and Dyer/Derian plaintiffs Paulina </w:t>
      </w:r>
      <w:r w:rsidR="00B34303">
        <w:t xml:space="preserve">Nava </w:t>
      </w:r>
      <w:r>
        <w:t>Medina, Martin Garcia, Jose Garcia, and Juan Ortiz Lopez.  Many of the witnesses</w:t>
      </w:r>
      <w:r w:rsidR="00BA796B">
        <w:t xml:space="preserve"> at trial</w:t>
      </w:r>
      <w:r>
        <w:t xml:space="preserve">, including these five, required interpreters, which may have contributed to the </w:t>
      </w:r>
      <w:r w:rsidR="00381E59">
        <w:t>inconsistent</w:t>
      </w:r>
      <w:r w:rsidR="005055BF">
        <w:t xml:space="preserve"> </w:t>
      </w:r>
      <w:r>
        <w:t>testimony.</w:t>
      </w:r>
    </w:p>
  </w:footnote>
  <w:footnote w:id="13">
    <w:p w14:paraId="4C50226B" w14:textId="472D2266" w:rsidR="007F1300" w:rsidRDefault="00432A9A">
      <w:pPr>
        <w:pStyle w:val="FootnoteText"/>
      </w:pPr>
      <w:r>
        <w:rPr>
          <w:rStyle w:val="FootnoteReference"/>
        </w:rPr>
        <w:footnoteRef/>
      </w:r>
      <w:r>
        <w:t xml:space="preserve">  Plainti</w:t>
      </w:r>
      <w:r>
        <w:t xml:space="preserve">ffs also assert the court applied the incorrect interest rate to the </w:t>
      </w:r>
      <w:r w:rsidR="006D5380">
        <w:t xml:space="preserve">individual </w:t>
      </w:r>
      <w:r>
        <w:t>premium pay award</w:t>
      </w:r>
      <w:r w:rsidR="006D5380">
        <w:t xml:space="preserve">s granted </w:t>
      </w:r>
      <w:r w:rsidR="005F2404">
        <w:t xml:space="preserve">to </w:t>
      </w:r>
      <w:r w:rsidRPr="002535E6">
        <w:t>the named Dyer/Derian plaintiffs</w:t>
      </w:r>
      <w:r w:rsidR="000B0C63">
        <w:t xml:space="preserve"> for their meal period claims</w:t>
      </w:r>
      <w:r w:rsidR="00B83871">
        <w:t xml:space="preserve">.  Given our reversal </w:t>
      </w:r>
      <w:r w:rsidR="00892DD0">
        <w:t xml:space="preserve">of the court’s decertification order, </w:t>
      </w:r>
      <w:r w:rsidR="001401FB">
        <w:t xml:space="preserve">however, </w:t>
      </w:r>
      <w:r w:rsidR="00FC190B">
        <w:t>the</w:t>
      </w:r>
      <w:r w:rsidR="001401FB">
        <w:t xml:space="preserve">se individual awards are </w:t>
      </w:r>
      <w:r w:rsidR="00B61E7C">
        <w:t xml:space="preserve">also </w:t>
      </w:r>
      <w:r w:rsidR="001401FB">
        <w:t>reversed.</w:t>
      </w:r>
    </w:p>
  </w:footnote>
  <w:footnote w:id="14">
    <w:p w14:paraId="68B1EE0F" w14:textId="11BFA196" w:rsidR="00CC67C6" w:rsidRDefault="00432A9A" w:rsidP="00E92617">
      <w:pPr>
        <w:pStyle w:val="FootnoteText"/>
      </w:pPr>
      <w:r>
        <w:rPr>
          <w:rStyle w:val="FootnoteReference"/>
        </w:rPr>
        <w:footnoteRef/>
      </w:r>
      <w:r>
        <w:t xml:space="preserve">  </w:t>
      </w:r>
      <w:r w:rsidRPr="000145BE">
        <w:rPr>
          <w:i/>
          <w:iCs/>
        </w:rPr>
        <w:t>Naranjo</w:t>
      </w:r>
      <w:r>
        <w:t xml:space="preserve"> similarly found employees could not pursue derivative wage statement penalties (§ 226, subd. (e)(1))</w:t>
      </w:r>
      <w:r w:rsidR="00F7016F">
        <w:t>,</w:t>
      </w:r>
      <w:r>
        <w:t xml:space="preserve"> based on section 226.7 actions for premium pay.  (</w:t>
      </w:r>
      <w:r w:rsidRPr="00A92CCE">
        <w:rPr>
          <w:i/>
          <w:iCs/>
        </w:rPr>
        <w:t>Nar</w:t>
      </w:r>
      <w:r w:rsidRPr="00A92CCE">
        <w:rPr>
          <w:i/>
          <w:iCs/>
        </w:rPr>
        <w:t>anjo v. Spectrum Security Services, Inc.</w:t>
      </w:r>
      <w:r>
        <w:t xml:space="preserve">, </w:t>
      </w:r>
      <w:r w:rsidRPr="000145BE">
        <w:rPr>
          <w:i/>
          <w:iCs/>
        </w:rPr>
        <w:t>supra</w:t>
      </w:r>
      <w:r>
        <w:t>, 40 Cal.App.5th at p. 474.)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7C2A" w14:textId="77777777" w:rsidR="00EE1B51" w:rsidRDefault="00EE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7492" w14:textId="77777777" w:rsidR="00EE1B51" w:rsidRDefault="00EE1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D76E" w14:textId="77777777" w:rsidR="00EE1B51" w:rsidRDefault="00EE1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CD"/>
    <w:rsid w:val="00000667"/>
    <w:rsid w:val="00001FFF"/>
    <w:rsid w:val="000021D3"/>
    <w:rsid w:val="000022A9"/>
    <w:rsid w:val="0000276E"/>
    <w:rsid w:val="00002DB6"/>
    <w:rsid w:val="00002F50"/>
    <w:rsid w:val="0000367C"/>
    <w:rsid w:val="000036F5"/>
    <w:rsid w:val="00003B19"/>
    <w:rsid w:val="00003DD1"/>
    <w:rsid w:val="00004129"/>
    <w:rsid w:val="00004301"/>
    <w:rsid w:val="000043AB"/>
    <w:rsid w:val="00004515"/>
    <w:rsid w:val="00004648"/>
    <w:rsid w:val="00004838"/>
    <w:rsid w:val="00004C68"/>
    <w:rsid w:val="00004E69"/>
    <w:rsid w:val="00005458"/>
    <w:rsid w:val="000055A2"/>
    <w:rsid w:val="000057D1"/>
    <w:rsid w:val="00005AD2"/>
    <w:rsid w:val="00006389"/>
    <w:rsid w:val="00006650"/>
    <w:rsid w:val="000069AF"/>
    <w:rsid w:val="00006EA7"/>
    <w:rsid w:val="00007268"/>
    <w:rsid w:val="00007B41"/>
    <w:rsid w:val="00007D5C"/>
    <w:rsid w:val="00007DFB"/>
    <w:rsid w:val="00010142"/>
    <w:rsid w:val="000103B3"/>
    <w:rsid w:val="000103F0"/>
    <w:rsid w:val="00011070"/>
    <w:rsid w:val="00011094"/>
    <w:rsid w:val="00011512"/>
    <w:rsid w:val="00011522"/>
    <w:rsid w:val="00011651"/>
    <w:rsid w:val="00012123"/>
    <w:rsid w:val="00012547"/>
    <w:rsid w:val="00012751"/>
    <w:rsid w:val="00012A1D"/>
    <w:rsid w:val="00012D74"/>
    <w:rsid w:val="00012DC6"/>
    <w:rsid w:val="00012DD6"/>
    <w:rsid w:val="00013286"/>
    <w:rsid w:val="000137BC"/>
    <w:rsid w:val="00013C54"/>
    <w:rsid w:val="0001414B"/>
    <w:rsid w:val="0001421B"/>
    <w:rsid w:val="00014321"/>
    <w:rsid w:val="000145BE"/>
    <w:rsid w:val="00014C18"/>
    <w:rsid w:val="000150AD"/>
    <w:rsid w:val="000150EE"/>
    <w:rsid w:val="0001520E"/>
    <w:rsid w:val="00015402"/>
    <w:rsid w:val="000155FA"/>
    <w:rsid w:val="00015970"/>
    <w:rsid w:val="00015BFD"/>
    <w:rsid w:val="00016874"/>
    <w:rsid w:val="0001706C"/>
    <w:rsid w:val="00017776"/>
    <w:rsid w:val="00017E0C"/>
    <w:rsid w:val="00020095"/>
    <w:rsid w:val="00020E4A"/>
    <w:rsid w:val="0002160A"/>
    <w:rsid w:val="00021985"/>
    <w:rsid w:val="00021AA3"/>
    <w:rsid w:val="00021CBF"/>
    <w:rsid w:val="00021DC8"/>
    <w:rsid w:val="00021FE8"/>
    <w:rsid w:val="000222C2"/>
    <w:rsid w:val="00022BBB"/>
    <w:rsid w:val="00023970"/>
    <w:rsid w:val="00023A18"/>
    <w:rsid w:val="00023B03"/>
    <w:rsid w:val="0002451E"/>
    <w:rsid w:val="00024E4E"/>
    <w:rsid w:val="0002537E"/>
    <w:rsid w:val="000255F8"/>
    <w:rsid w:val="00025930"/>
    <w:rsid w:val="00025B66"/>
    <w:rsid w:val="00025F40"/>
    <w:rsid w:val="00025F59"/>
    <w:rsid w:val="00026078"/>
    <w:rsid w:val="00026146"/>
    <w:rsid w:val="0002624F"/>
    <w:rsid w:val="00026365"/>
    <w:rsid w:val="0002689B"/>
    <w:rsid w:val="00026B63"/>
    <w:rsid w:val="00027000"/>
    <w:rsid w:val="000277C7"/>
    <w:rsid w:val="00027A34"/>
    <w:rsid w:val="00027DE4"/>
    <w:rsid w:val="000301B8"/>
    <w:rsid w:val="000307F5"/>
    <w:rsid w:val="00030A15"/>
    <w:rsid w:val="00030E92"/>
    <w:rsid w:val="00031221"/>
    <w:rsid w:val="0003168B"/>
    <w:rsid w:val="00032469"/>
    <w:rsid w:val="00032857"/>
    <w:rsid w:val="00032BB0"/>
    <w:rsid w:val="00033579"/>
    <w:rsid w:val="0003359F"/>
    <w:rsid w:val="000335BF"/>
    <w:rsid w:val="000336AC"/>
    <w:rsid w:val="0003380A"/>
    <w:rsid w:val="00033D35"/>
    <w:rsid w:val="000341A0"/>
    <w:rsid w:val="000347EB"/>
    <w:rsid w:val="00035074"/>
    <w:rsid w:val="0003511E"/>
    <w:rsid w:val="00035156"/>
    <w:rsid w:val="00035305"/>
    <w:rsid w:val="00035D18"/>
    <w:rsid w:val="0003612B"/>
    <w:rsid w:val="00036309"/>
    <w:rsid w:val="0003647C"/>
    <w:rsid w:val="000364A0"/>
    <w:rsid w:val="00036E11"/>
    <w:rsid w:val="00037075"/>
    <w:rsid w:val="000371EB"/>
    <w:rsid w:val="00037844"/>
    <w:rsid w:val="00037C04"/>
    <w:rsid w:val="00037E1C"/>
    <w:rsid w:val="00037F27"/>
    <w:rsid w:val="000405EE"/>
    <w:rsid w:val="00040776"/>
    <w:rsid w:val="00040A62"/>
    <w:rsid w:val="00040C98"/>
    <w:rsid w:val="00040D31"/>
    <w:rsid w:val="00040E04"/>
    <w:rsid w:val="00040E41"/>
    <w:rsid w:val="000412C1"/>
    <w:rsid w:val="0004184E"/>
    <w:rsid w:val="00041D3E"/>
    <w:rsid w:val="00041F7B"/>
    <w:rsid w:val="00042302"/>
    <w:rsid w:val="000423E3"/>
    <w:rsid w:val="0004271F"/>
    <w:rsid w:val="00042857"/>
    <w:rsid w:val="000428CD"/>
    <w:rsid w:val="000436C6"/>
    <w:rsid w:val="00043753"/>
    <w:rsid w:val="00043844"/>
    <w:rsid w:val="00043A3F"/>
    <w:rsid w:val="00043D7C"/>
    <w:rsid w:val="000440C5"/>
    <w:rsid w:val="000443C0"/>
    <w:rsid w:val="00044514"/>
    <w:rsid w:val="000447BC"/>
    <w:rsid w:val="00044D89"/>
    <w:rsid w:val="000455A2"/>
    <w:rsid w:val="000457EB"/>
    <w:rsid w:val="00046282"/>
    <w:rsid w:val="0004639E"/>
    <w:rsid w:val="0004673D"/>
    <w:rsid w:val="00046A00"/>
    <w:rsid w:val="00046A4C"/>
    <w:rsid w:val="00046F08"/>
    <w:rsid w:val="00047134"/>
    <w:rsid w:val="000473B6"/>
    <w:rsid w:val="00047FCC"/>
    <w:rsid w:val="0005024A"/>
    <w:rsid w:val="00051330"/>
    <w:rsid w:val="000517BA"/>
    <w:rsid w:val="0005183A"/>
    <w:rsid w:val="00051C26"/>
    <w:rsid w:val="00051E85"/>
    <w:rsid w:val="0005201D"/>
    <w:rsid w:val="000521F9"/>
    <w:rsid w:val="00052A35"/>
    <w:rsid w:val="00052A4D"/>
    <w:rsid w:val="00052AAB"/>
    <w:rsid w:val="00052E1B"/>
    <w:rsid w:val="00053116"/>
    <w:rsid w:val="000531F8"/>
    <w:rsid w:val="00053212"/>
    <w:rsid w:val="00053905"/>
    <w:rsid w:val="00053D13"/>
    <w:rsid w:val="00053F3C"/>
    <w:rsid w:val="000542C1"/>
    <w:rsid w:val="00054857"/>
    <w:rsid w:val="000548F4"/>
    <w:rsid w:val="00054E72"/>
    <w:rsid w:val="0005510B"/>
    <w:rsid w:val="000554B0"/>
    <w:rsid w:val="00055F47"/>
    <w:rsid w:val="000560E2"/>
    <w:rsid w:val="0005626B"/>
    <w:rsid w:val="00056802"/>
    <w:rsid w:val="0005697A"/>
    <w:rsid w:val="0005701C"/>
    <w:rsid w:val="00057021"/>
    <w:rsid w:val="0005722C"/>
    <w:rsid w:val="00057290"/>
    <w:rsid w:val="00057C4F"/>
    <w:rsid w:val="00057F0B"/>
    <w:rsid w:val="00060193"/>
    <w:rsid w:val="00060680"/>
    <w:rsid w:val="000607B7"/>
    <w:rsid w:val="00061021"/>
    <w:rsid w:val="000612E5"/>
    <w:rsid w:val="00061865"/>
    <w:rsid w:val="00061AE3"/>
    <w:rsid w:val="00061C88"/>
    <w:rsid w:val="00061D8F"/>
    <w:rsid w:val="0006211E"/>
    <w:rsid w:val="0006226D"/>
    <w:rsid w:val="00062681"/>
    <w:rsid w:val="000628FD"/>
    <w:rsid w:val="000628FF"/>
    <w:rsid w:val="000629A9"/>
    <w:rsid w:val="00062B76"/>
    <w:rsid w:val="00062B96"/>
    <w:rsid w:val="00062CDF"/>
    <w:rsid w:val="0006330A"/>
    <w:rsid w:val="00063BBC"/>
    <w:rsid w:val="00064598"/>
    <w:rsid w:val="00064F27"/>
    <w:rsid w:val="00065018"/>
    <w:rsid w:val="00065259"/>
    <w:rsid w:val="00065B8A"/>
    <w:rsid w:val="00065D65"/>
    <w:rsid w:val="00065FB2"/>
    <w:rsid w:val="00066131"/>
    <w:rsid w:val="000662AB"/>
    <w:rsid w:val="0006637C"/>
    <w:rsid w:val="000663A1"/>
    <w:rsid w:val="00066562"/>
    <w:rsid w:val="00066DF3"/>
    <w:rsid w:val="000670F2"/>
    <w:rsid w:val="0006743D"/>
    <w:rsid w:val="000674CB"/>
    <w:rsid w:val="00067F8F"/>
    <w:rsid w:val="00067FAA"/>
    <w:rsid w:val="00070352"/>
    <w:rsid w:val="00070420"/>
    <w:rsid w:val="00070700"/>
    <w:rsid w:val="00070719"/>
    <w:rsid w:val="00070799"/>
    <w:rsid w:val="00070EC8"/>
    <w:rsid w:val="000710DC"/>
    <w:rsid w:val="00071753"/>
    <w:rsid w:val="00071DC4"/>
    <w:rsid w:val="00072C18"/>
    <w:rsid w:val="00072DDC"/>
    <w:rsid w:val="00072E9F"/>
    <w:rsid w:val="0007325C"/>
    <w:rsid w:val="00073605"/>
    <w:rsid w:val="0007377D"/>
    <w:rsid w:val="000737F6"/>
    <w:rsid w:val="00073C8C"/>
    <w:rsid w:val="00074008"/>
    <w:rsid w:val="000741AB"/>
    <w:rsid w:val="0007467C"/>
    <w:rsid w:val="00074791"/>
    <w:rsid w:val="0007539C"/>
    <w:rsid w:val="00075446"/>
    <w:rsid w:val="0007597F"/>
    <w:rsid w:val="000763C9"/>
    <w:rsid w:val="00076489"/>
    <w:rsid w:val="000769A2"/>
    <w:rsid w:val="00076CB9"/>
    <w:rsid w:val="00076CEF"/>
    <w:rsid w:val="000773BA"/>
    <w:rsid w:val="00077985"/>
    <w:rsid w:val="00077A30"/>
    <w:rsid w:val="00077C4F"/>
    <w:rsid w:val="00080001"/>
    <w:rsid w:val="0008016E"/>
    <w:rsid w:val="0008025C"/>
    <w:rsid w:val="0008064A"/>
    <w:rsid w:val="00080B5C"/>
    <w:rsid w:val="00080CAC"/>
    <w:rsid w:val="00081127"/>
    <w:rsid w:val="000813E3"/>
    <w:rsid w:val="000817AF"/>
    <w:rsid w:val="00081969"/>
    <w:rsid w:val="00081EC4"/>
    <w:rsid w:val="00082058"/>
    <w:rsid w:val="0008254B"/>
    <w:rsid w:val="0008277C"/>
    <w:rsid w:val="00082BCD"/>
    <w:rsid w:val="000832B5"/>
    <w:rsid w:val="00083350"/>
    <w:rsid w:val="00083871"/>
    <w:rsid w:val="00083BE5"/>
    <w:rsid w:val="00084199"/>
    <w:rsid w:val="00084911"/>
    <w:rsid w:val="00084A11"/>
    <w:rsid w:val="00084B21"/>
    <w:rsid w:val="00085843"/>
    <w:rsid w:val="000858FC"/>
    <w:rsid w:val="00085BAB"/>
    <w:rsid w:val="00085CAF"/>
    <w:rsid w:val="00085F74"/>
    <w:rsid w:val="000863C6"/>
    <w:rsid w:val="00086BA0"/>
    <w:rsid w:val="00086DA4"/>
    <w:rsid w:val="00086FD1"/>
    <w:rsid w:val="000875D4"/>
    <w:rsid w:val="000875F3"/>
    <w:rsid w:val="000878EB"/>
    <w:rsid w:val="00087ADF"/>
    <w:rsid w:val="000905E0"/>
    <w:rsid w:val="000909B2"/>
    <w:rsid w:val="00090F80"/>
    <w:rsid w:val="00090F85"/>
    <w:rsid w:val="0009117A"/>
    <w:rsid w:val="000919A3"/>
    <w:rsid w:val="00091C4E"/>
    <w:rsid w:val="0009286F"/>
    <w:rsid w:val="00092933"/>
    <w:rsid w:val="00092E51"/>
    <w:rsid w:val="00092F14"/>
    <w:rsid w:val="00092F89"/>
    <w:rsid w:val="00093139"/>
    <w:rsid w:val="0009330A"/>
    <w:rsid w:val="000933D3"/>
    <w:rsid w:val="000933FA"/>
    <w:rsid w:val="00093F56"/>
    <w:rsid w:val="00094301"/>
    <w:rsid w:val="00094521"/>
    <w:rsid w:val="00094855"/>
    <w:rsid w:val="00094908"/>
    <w:rsid w:val="00094A8D"/>
    <w:rsid w:val="00094B2C"/>
    <w:rsid w:val="00094FEF"/>
    <w:rsid w:val="0009515C"/>
    <w:rsid w:val="00095331"/>
    <w:rsid w:val="00095396"/>
    <w:rsid w:val="0009550E"/>
    <w:rsid w:val="00095EC0"/>
    <w:rsid w:val="00096199"/>
    <w:rsid w:val="000961C6"/>
    <w:rsid w:val="000969A7"/>
    <w:rsid w:val="00096DC2"/>
    <w:rsid w:val="00096EA7"/>
    <w:rsid w:val="0009700F"/>
    <w:rsid w:val="000973AE"/>
    <w:rsid w:val="000973CF"/>
    <w:rsid w:val="00097840"/>
    <w:rsid w:val="000979D3"/>
    <w:rsid w:val="00097B95"/>
    <w:rsid w:val="000A03EF"/>
    <w:rsid w:val="000A0498"/>
    <w:rsid w:val="000A04F1"/>
    <w:rsid w:val="000A0657"/>
    <w:rsid w:val="000A1084"/>
    <w:rsid w:val="000A1089"/>
    <w:rsid w:val="000A15DF"/>
    <w:rsid w:val="000A1A9A"/>
    <w:rsid w:val="000A1B17"/>
    <w:rsid w:val="000A1B73"/>
    <w:rsid w:val="000A1D42"/>
    <w:rsid w:val="000A1D98"/>
    <w:rsid w:val="000A247F"/>
    <w:rsid w:val="000A24EB"/>
    <w:rsid w:val="000A2670"/>
    <w:rsid w:val="000A288A"/>
    <w:rsid w:val="000A29F2"/>
    <w:rsid w:val="000A31FE"/>
    <w:rsid w:val="000A3775"/>
    <w:rsid w:val="000A3A2C"/>
    <w:rsid w:val="000A42BB"/>
    <w:rsid w:val="000A4670"/>
    <w:rsid w:val="000A4DAC"/>
    <w:rsid w:val="000A4DC5"/>
    <w:rsid w:val="000A4E76"/>
    <w:rsid w:val="000A5880"/>
    <w:rsid w:val="000A58DD"/>
    <w:rsid w:val="000A5A6A"/>
    <w:rsid w:val="000A5D9C"/>
    <w:rsid w:val="000A6207"/>
    <w:rsid w:val="000A6691"/>
    <w:rsid w:val="000A6839"/>
    <w:rsid w:val="000B005E"/>
    <w:rsid w:val="000B0347"/>
    <w:rsid w:val="000B051B"/>
    <w:rsid w:val="000B09DA"/>
    <w:rsid w:val="000B0BED"/>
    <w:rsid w:val="000B0C63"/>
    <w:rsid w:val="000B132D"/>
    <w:rsid w:val="000B163B"/>
    <w:rsid w:val="000B1820"/>
    <w:rsid w:val="000B1E26"/>
    <w:rsid w:val="000B2730"/>
    <w:rsid w:val="000B27C9"/>
    <w:rsid w:val="000B2836"/>
    <w:rsid w:val="000B2CFB"/>
    <w:rsid w:val="000B31E9"/>
    <w:rsid w:val="000B3425"/>
    <w:rsid w:val="000B39E0"/>
    <w:rsid w:val="000B3D41"/>
    <w:rsid w:val="000B3D98"/>
    <w:rsid w:val="000B3E42"/>
    <w:rsid w:val="000B4032"/>
    <w:rsid w:val="000B44A5"/>
    <w:rsid w:val="000B51BC"/>
    <w:rsid w:val="000B5495"/>
    <w:rsid w:val="000B555D"/>
    <w:rsid w:val="000B5737"/>
    <w:rsid w:val="000B5AC6"/>
    <w:rsid w:val="000B5D65"/>
    <w:rsid w:val="000B60AF"/>
    <w:rsid w:val="000B614E"/>
    <w:rsid w:val="000B63D0"/>
    <w:rsid w:val="000B6791"/>
    <w:rsid w:val="000B6F29"/>
    <w:rsid w:val="000B6F89"/>
    <w:rsid w:val="000B7B01"/>
    <w:rsid w:val="000C00FE"/>
    <w:rsid w:val="000C04B3"/>
    <w:rsid w:val="000C0911"/>
    <w:rsid w:val="000C0D77"/>
    <w:rsid w:val="000C0F39"/>
    <w:rsid w:val="000C102B"/>
    <w:rsid w:val="000C10B3"/>
    <w:rsid w:val="000C1350"/>
    <w:rsid w:val="000C14C0"/>
    <w:rsid w:val="000C1A2E"/>
    <w:rsid w:val="000C1BB7"/>
    <w:rsid w:val="000C1CD5"/>
    <w:rsid w:val="000C1F56"/>
    <w:rsid w:val="000C28BD"/>
    <w:rsid w:val="000C2AF0"/>
    <w:rsid w:val="000C2F8B"/>
    <w:rsid w:val="000C300A"/>
    <w:rsid w:val="000C3407"/>
    <w:rsid w:val="000C3531"/>
    <w:rsid w:val="000C40D4"/>
    <w:rsid w:val="000C42F1"/>
    <w:rsid w:val="000C47A5"/>
    <w:rsid w:val="000C4CD8"/>
    <w:rsid w:val="000C538E"/>
    <w:rsid w:val="000C5A0B"/>
    <w:rsid w:val="000C5BF1"/>
    <w:rsid w:val="000C5C18"/>
    <w:rsid w:val="000C5F90"/>
    <w:rsid w:val="000C65D5"/>
    <w:rsid w:val="000C66C5"/>
    <w:rsid w:val="000C66F2"/>
    <w:rsid w:val="000C674D"/>
    <w:rsid w:val="000C67DC"/>
    <w:rsid w:val="000C698D"/>
    <w:rsid w:val="000C6C67"/>
    <w:rsid w:val="000C6D3D"/>
    <w:rsid w:val="000C6D81"/>
    <w:rsid w:val="000C71B4"/>
    <w:rsid w:val="000C7407"/>
    <w:rsid w:val="000C7488"/>
    <w:rsid w:val="000C7620"/>
    <w:rsid w:val="000C7969"/>
    <w:rsid w:val="000C7C7C"/>
    <w:rsid w:val="000C7CC9"/>
    <w:rsid w:val="000C7CDD"/>
    <w:rsid w:val="000D0169"/>
    <w:rsid w:val="000D0397"/>
    <w:rsid w:val="000D045D"/>
    <w:rsid w:val="000D1096"/>
    <w:rsid w:val="000D10CE"/>
    <w:rsid w:val="000D1707"/>
    <w:rsid w:val="000D1B9E"/>
    <w:rsid w:val="000D20D6"/>
    <w:rsid w:val="000D22C5"/>
    <w:rsid w:val="000D2584"/>
    <w:rsid w:val="000D2B17"/>
    <w:rsid w:val="000D2CC5"/>
    <w:rsid w:val="000D2D72"/>
    <w:rsid w:val="000D2E5B"/>
    <w:rsid w:val="000D30BF"/>
    <w:rsid w:val="000D3600"/>
    <w:rsid w:val="000D3D24"/>
    <w:rsid w:val="000D3ECB"/>
    <w:rsid w:val="000D41BC"/>
    <w:rsid w:val="000D4213"/>
    <w:rsid w:val="000D4404"/>
    <w:rsid w:val="000D4485"/>
    <w:rsid w:val="000D4538"/>
    <w:rsid w:val="000D45B3"/>
    <w:rsid w:val="000D464A"/>
    <w:rsid w:val="000D4756"/>
    <w:rsid w:val="000D4934"/>
    <w:rsid w:val="000D50B1"/>
    <w:rsid w:val="000D52C4"/>
    <w:rsid w:val="000D54E2"/>
    <w:rsid w:val="000D5A80"/>
    <w:rsid w:val="000D6691"/>
    <w:rsid w:val="000D6B96"/>
    <w:rsid w:val="000D6D1B"/>
    <w:rsid w:val="000D6D6F"/>
    <w:rsid w:val="000D6DBE"/>
    <w:rsid w:val="000D71FB"/>
    <w:rsid w:val="000D7357"/>
    <w:rsid w:val="000D74AC"/>
    <w:rsid w:val="000D797C"/>
    <w:rsid w:val="000D7AAB"/>
    <w:rsid w:val="000D7CC6"/>
    <w:rsid w:val="000D7ED9"/>
    <w:rsid w:val="000E02A2"/>
    <w:rsid w:val="000E111E"/>
    <w:rsid w:val="000E1256"/>
    <w:rsid w:val="000E15A5"/>
    <w:rsid w:val="000E1635"/>
    <w:rsid w:val="000E179F"/>
    <w:rsid w:val="000E1B4B"/>
    <w:rsid w:val="000E22B4"/>
    <w:rsid w:val="000E27AF"/>
    <w:rsid w:val="000E298B"/>
    <w:rsid w:val="000E2E00"/>
    <w:rsid w:val="000E3000"/>
    <w:rsid w:val="000E358F"/>
    <w:rsid w:val="000E378F"/>
    <w:rsid w:val="000E393B"/>
    <w:rsid w:val="000E3B53"/>
    <w:rsid w:val="000E40DC"/>
    <w:rsid w:val="000E4190"/>
    <w:rsid w:val="000E442E"/>
    <w:rsid w:val="000E4CF5"/>
    <w:rsid w:val="000E4F78"/>
    <w:rsid w:val="000E516D"/>
    <w:rsid w:val="000E51EC"/>
    <w:rsid w:val="000E54BA"/>
    <w:rsid w:val="000E5597"/>
    <w:rsid w:val="000E644C"/>
    <w:rsid w:val="000E657E"/>
    <w:rsid w:val="000E6802"/>
    <w:rsid w:val="000E6C3A"/>
    <w:rsid w:val="000E6C55"/>
    <w:rsid w:val="000E7042"/>
    <w:rsid w:val="000E70E3"/>
    <w:rsid w:val="000E760D"/>
    <w:rsid w:val="000E7670"/>
    <w:rsid w:val="000E76DA"/>
    <w:rsid w:val="000E7865"/>
    <w:rsid w:val="000E7A4B"/>
    <w:rsid w:val="000F0842"/>
    <w:rsid w:val="000F0881"/>
    <w:rsid w:val="000F0890"/>
    <w:rsid w:val="000F094C"/>
    <w:rsid w:val="000F099D"/>
    <w:rsid w:val="000F0AF7"/>
    <w:rsid w:val="000F0D91"/>
    <w:rsid w:val="000F1160"/>
    <w:rsid w:val="000F1187"/>
    <w:rsid w:val="000F135D"/>
    <w:rsid w:val="000F18F9"/>
    <w:rsid w:val="000F219D"/>
    <w:rsid w:val="000F2BE6"/>
    <w:rsid w:val="000F2C84"/>
    <w:rsid w:val="000F2FA1"/>
    <w:rsid w:val="000F3155"/>
    <w:rsid w:val="000F34D6"/>
    <w:rsid w:val="000F392E"/>
    <w:rsid w:val="000F3B5F"/>
    <w:rsid w:val="000F3D85"/>
    <w:rsid w:val="000F402C"/>
    <w:rsid w:val="000F4443"/>
    <w:rsid w:val="000F44E3"/>
    <w:rsid w:val="000F45CD"/>
    <w:rsid w:val="000F46B7"/>
    <w:rsid w:val="000F4B78"/>
    <w:rsid w:val="000F5293"/>
    <w:rsid w:val="000F5667"/>
    <w:rsid w:val="000F5980"/>
    <w:rsid w:val="000F5D88"/>
    <w:rsid w:val="000F5F7A"/>
    <w:rsid w:val="000F67ED"/>
    <w:rsid w:val="000F6CA3"/>
    <w:rsid w:val="000F6ED5"/>
    <w:rsid w:val="000F6FA7"/>
    <w:rsid w:val="000F71AA"/>
    <w:rsid w:val="000F7724"/>
    <w:rsid w:val="000F7AA8"/>
    <w:rsid w:val="0010064F"/>
    <w:rsid w:val="001008A3"/>
    <w:rsid w:val="00100988"/>
    <w:rsid w:val="00100C70"/>
    <w:rsid w:val="00100E02"/>
    <w:rsid w:val="00100F22"/>
    <w:rsid w:val="00100F4C"/>
    <w:rsid w:val="00101417"/>
    <w:rsid w:val="001018E3"/>
    <w:rsid w:val="00101B8C"/>
    <w:rsid w:val="00101D37"/>
    <w:rsid w:val="00101F16"/>
    <w:rsid w:val="00102313"/>
    <w:rsid w:val="001023FA"/>
    <w:rsid w:val="00102F4D"/>
    <w:rsid w:val="00102F84"/>
    <w:rsid w:val="00102F9A"/>
    <w:rsid w:val="00103DEC"/>
    <w:rsid w:val="00103F46"/>
    <w:rsid w:val="00103F9F"/>
    <w:rsid w:val="00104C62"/>
    <w:rsid w:val="00104E87"/>
    <w:rsid w:val="00104FD8"/>
    <w:rsid w:val="0010540B"/>
    <w:rsid w:val="0010551D"/>
    <w:rsid w:val="001057F8"/>
    <w:rsid w:val="00105B59"/>
    <w:rsid w:val="00105F08"/>
    <w:rsid w:val="00106598"/>
    <w:rsid w:val="001066E6"/>
    <w:rsid w:val="00106A29"/>
    <w:rsid w:val="00106BFB"/>
    <w:rsid w:val="00106F11"/>
    <w:rsid w:val="00106FFC"/>
    <w:rsid w:val="00107542"/>
    <w:rsid w:val="00107786"/>
    <w:rsid w:val="001077D0"/>
    <w:rsid w:val="00107870"/>
    <w:rsid w:val="00107AC4"/>
    <w:rsid w:val="00107F65"/>
    <w:rsid w:val="00110109"/>
    <w:rsid w:val="001112A7"/>
    <w:rsid w:val="001117BC"/>
    <w:rsid w:val="001119A5"/>
    <w:rsid w:val="00111BB5"/>
    <w:rsid w:val="00111C24"/>
    <w:rsid w:val="00111F17"/>
    <w:rsid w:val="00112354"/>
    <w:rsid w:val="0011262E"/>
    <w:rsid w:val="0011272B"/>
    <w:rsid w:val="001127B1"/>
    <w:rsid w:val="001127C3"/>
    <w:rsid w:val="00112A67"/>
    <w:rsid w:val="00112FDD"/>
    <w:rsid w:val="00113525"/>
    <w:rsid w:val="00113AA5"/>
    <w:rsid w:val="00113B67"/>
    <w:rsid w:val="00113E3F"/>
    <w:rsid w:val="001141AD"/>
    <w:rsid w:val="0011421C"/>
    <w:rsid w:val="00114578"/>
    <w:rsid w:val="00114771"/>
    <w:rsid w:val="00114E18"/>
    <w:rsid w:val="00114F1E"/>
    <w:rsid w:val="00116002"/>
    <w:rsid w:val="001163FF"/>
    <w:rsid w:val="0011655D"/>
    <w:rsid w:val="00116E89"/>
    <w:rsid w:val="00117222"/>
    <w:rsid w:val="0011726E"/>
    <w:rsid w:val="001173A4"/>
    <w:rsid w:val="00117409"/>
    <w:rsid w:val="00117AD3"/>
    <w:rsid w:val="00117B4F"/>
    <w:rsid w:val="00117C6A"/>
    <w:rsid w:val="00117D32"/>
    <w:rsid w:val="00117D73"/>
    <w:rsid w:val="0012002E"/>
    <w:rsid w:val="00120A11"/>
    <w:rsid w:val="00120D16"/>
    <w:rsid w:val="00120DD2"/>
    <w:rsid w:val="00121805"/>
    <w:rsid w:val="00121DE2"/>
    <w:rsid w:val="00121FCD"/>
    <w:rsid w:val="00122087"/>
    <w:rsid w:val="001222A7"/>
    <w:rsid w:val="001225DD"/>
    <w:rsid w:val="001228FB"/>
    <w:rsid w:val="00122F80"/>
    <w:rsid w:val="00123434"/>
    <w:rsid w:val="0012372C"/>
    <w:rsid w:val="00123A83"/>
    <w:rsid w:val="00123CFA"/>
    <w:rsid w:val="00123EA9"/>
    <w:rsid w:val="001243BB"/>
    <w:rsid w:val="001244B2"/>
    <w:rsid w:val="00124643"/>
    <w:rsid w:val="00124F3E"/>
    <w:rsid w:val="001250C2"/>
    <w:rsid w:val="001250F2"/>
    <w:rsid w:val="00125121"/>
    <w:rsid w:val="0012544C"/>
    <w:rsid w:val="00125643"/>
    <w:rsid w:val="001257D0"/>
    <w:rsid w:val="00125B3A"/>
    <w:rsid w:val="0012617A"/>
    <w:rsid w:val="00126233"/>
    <w:rsid w:val="001262B3"/>
    <w:rsid w:val="001263A9"/>
    <w:rsid w:val="0012691D"/>
    <w:rsid w:val="00126D96"/>
    <w:rsid w:val="00126E0B"/>
    <w:rsid w:val="00127055"/>
    <w:rsid w:val="00127289"/>
    <w:rsid w:val="00127EFF"/>
    <w:rsid w:val="00130251"/>
    <w:rsid w:val="001305B7"/>
    <w:rsid w:val="001306BA"/>
    <w:rsid w:val="0013074E"/>
    <w:rsid w:val="001309E6"/>
    <w:rsid w:val="00130C67"/>
    <w:rsid w:val="001311A4"/>
    <w:rsid w:val="001315E3"/>
    <w:rsid w:val="00131F7E"/>
    <w:rsid w:val="0013206C"/>
    <w:rsid w:val="0013219D"/>
    <w:rsid w:val="00132A98"/>
    <w:rsid w:val="00132C4E"/>
    <w:rsid w:val="00133451"/>
    <w:rsid w:val="0013352E"/>
    <w:rsid w:val="00133DCF"/>
    <w:rsid w:val="00133EDF"/>
    <w:rsid w:val="00133F09"/>
    <w:rsid w:val="00133FCA"/>
    <w:rsid w:val="001340AC"/>
    <w:rsid w:val="00134485"/>
    <w:rsid w:val="00134D6F"/>
    <w:rsid w:val="00134D83"/>
    <w:rsid w:val="0013526D"/>
    <w:rsid w:val="001355DA"/>
    <w:rsid w:val="00135639"/>
    <w:rsid w:val="001358A8"/>
    <w:rsid w:val="001359EF"/>
    <w:rsid w:val="00135AD9"/>
    <w:rsid w:val="00135F36"/>
    <w:rsid w:val="00136574"/>
    <w:rsid w:val="0013752F"/>
    <w:rsid w:val="00137704"/>
    <w:rsid w:val="00137840"/>
    <w:rsid w:val="001379C2"/>
    <w:rsid w:val="00137B30"/>
    <w:rsid w:val="0014002D"/>
    <w:rsid w:val="001401FB"/>
    <w:rsid w:val="00140205"/>
    <w:rsid w:val="001402B9"/>
    <w:rsid w:val="001402CC"/>
    <w:rsid w:val="0014084B"/>
    <w:rsid w:val="00140ADC"/>
    <w:rsid w:val="00140B20"/>
    <w:rsid w:val="00140EBD"/>
    <w:rsid w:val="001418BD"/>
    <w:rsid w:val="0014202F"/>
    <w:rsid w:val="001424E4"/>
    <w:rsid w:val="00142634"/>
    <w:rsid w:val="0014279B"/>
    <w:rsid w:val="00142A1A"/>
    <w:rsid w:val="00142B2D"/>
    <w:rsid w:val="00142C7A"/>
    <w:rsid w:val="001432CE"/>
    <w:rsid w:val="00143357"/>
    <w:rsid w:val="0014351C"/>
    <w:rsid w:val="001442E4"/>
    <w:rsid w:val="00144327"/>
    <w:rsid w:val="00144560"/>
    <w:rsid w:val="00144AB9"/>
    <w:rsid w:val="00144C1A"/>
    <w:rsid w:val="00145D66"/>
    <w:rsid w:val="0014631B"/>
    <w:rsid w:val="0014632D"/>
    <w:rsid w:val="001463B8"/>
    <w:rsid w:val="00146E60"/>
    <w:rsid w:val="00147588"/>
    <w:rsid w:val="001476A8"/>
    <w:rsid w:val="00147B31"/>
    <w:rsid w:val="0015019E"/>
    <w:rsid w:val="001506F0"/>
    <w:rsid w:val="00150859"/>
    <w:rsid w:val="001509F0"/>
    <w:rsid w:val="00150C56"/>
    <w:rsid w:val="00150D39"/>
    <w:rsid w:val="0015175F"/>
    <w:rsid w:val="0015195F"/>
    <w:rsid w:val="00151D5F"/>
    <w:rsid w:val="00151EBE"/>
    <w:rsid w:val="001520F2"/>
    <w:rsid w:val="00152A33"/>
    <w:rsid w:val="00152CB3"/>
    <w:rsid w:val="00152E3C"/>
    <w:rsid w:val="001533E9"/>
    <w:rsid w:val="0015350E"/>
    <w:rsid w:val="0015363D"/>
    <w:rsid w:val="00153661"/>
    <w:rsid w:val="00153B71"/>
    <w:rsid w:val="001544B0"/>
    <w:rsid w:val="001547FA"/>
    <w:rsid w:val="00154E58"/>
    <w:rsid w:val="001550BE"/>
    <w:rsid w:val="001559FB"/>
    <w:rsid w:val="00155C28"/>
    <w:rsid w:val="00155E44"/>
    <w:rsid w:val="00155E51"/>
    <w:rsid w:val="00155F71"/>
    <w:rsid w:val="001561D1"/>
    <w:rsid w:val="00156C98"/>
    <w:rsid w:val="001574A3"/>
    <w:rsid w:val="00157741"/>
    <w:rsid w:val="0015774F"/>
    <w:rsid w:val="0015782C"/>
    <w:rsid w:val="0015793D"/>
    <w:rsid w:val="00160174"/>
    <w:rsid w:val="001604AE"/>
    <w:rsid w:val="00160C17"/>
    <w:rsid w:val="00160D92"/>
    <w:rsid w:val="00160F50"/>
    <w:rsid w:val="001613A8"/>
    <w:rsid w:val="001616C4"/>
    <w:rsid w:val="0016175C"/>
    <w:rsid w:val="00161AA1"/>
    <w:rsid w:val="001629D8"/>
    <w:rsid w:val="00162AFB"/>
    <w:rsid w:val="00162B9B"/>
    <w:rsid w:val="00162FC6"/>
    <w:rsid w:val="00162FDB"/>
    <w:rsid w:val="001631CA"/>
    <w:rsid w:val="001631F5"/>
    <w:rsid w:val="00163542"/>
    <w:rsid w:val="00163776"/>
    <w:rsid w:val="00163884"/>
    <w:rsid w:val="00163B9F"/>
    <w:rsid w:val="00163BBE"/>
    <w:rsid w:val="001641BB"/>
    <w:rsid w:val="00164681"/>
    <w:rsid w:val="00164D1C"/>
    <w:rsid w:val="0016527F"/>
    <w:rsid w:val="00165842"/>
    <w:rsid w:val="00165DBB"/>
    <w:rsid w:val="00166076"/>
    <w:rsid w:val="00166206"/>
    <w:rsid w:val="0016664B"/>
    <w:rsid w:val="00166A2D"/>
    <w:rsid w:val="0016728B"/>
    <w:rsid w:val="0016733E"/>
    <w:rsid w:val="0016763F"/>
    <w:rsid w:val="00167B05"/>
    <w:rsid w:val="00167D59"/>
    <w:rsid w:val="001700CD"/>
    <w:rsid w:val="001704F2"/>
    <w:rsid w:val="001705F9"/>
    <w:rsid w:val="001708B2"/>
    <w:rsid w:val="00170FDD"/>
    <w:rsid w:val="00171360"/>
    <w:rsid w:val="00171721"/>
    <w:rsid w:val="00171ED4"/>
    <w:rsid w:val="00172385"/>
    <w:rsid w:val="0017243A"/>
    <w:rsid w:val="001726FA"/>
    <w:rsid w:val="00172EC5"/>
    <w:rsid w:val="0017303A"/>
    <w:rsid w:val="0017303D"/>
    <w:rsid w:val="00173300"/>
    <w:rsid w:val="001739BE"/>
    <w:rsid w:val="00173AD6"/>
    <w:rsid w:val="00173B47"/>
    <w:rsid w:val="00173C1A"/>
    <w:rsid w:val="00173C97"/>
    <w:rsid w:val="00173F11"/>
    <w:rsid w:val="00174149"/>
    <w:rsid w:val="001748C3"/>
    <w:rsid w:val="001749FD"/>
    <w:rsid w:val="00174D41"/>
    <w:rsid w:val="0017541E"/>
    <w:rsid w:val="00175713"/>
    <w:rsid w:val="001759A7"/>
    <w:rsid w:val="00176407"/>
    <w:rsid w:val="001764DC"/>
    <w:rsid w:val="001764E2"/>
    <w:rsid w:val="001765AC"/>
    <w:rsid w:val="001766D6"/>
    <w:rsid w:val="00177109"/>
    <w:rsid w:val="0017715B"/>
    <w:rsid w:val="0017739F"/>
    <w:rsid w:val="001774AF"/>
    <w:rsid w:val="001800F1"/>
    <w:rsid w:val="00180BFA"/>
    <w:rsid w:val="00180E68"/>
    <w:rsid w:val="00180EA0"/>
    <w:rsid w:val="001813CD"/>
    <w:rsid w:val="00182279"/>
    <w:rsid w:val="001823FC"/>
    <w:rsid w:val="00182656"/>
    <w:rsid w:val="00182761"/>
    <w:rsid w:val="00182931"/>
    <w:rsid w:val="00182CD4"/>
    <w:rsid w:val="00182DA4"/>
    <w:rsid w:val="00183116"/>
    <w:rsid w:val="001833AD"/>
    <w:rsid w:val="001833F8"/>
    <w:rsid w:val="0018355B"/>
    <w:rsid w:val="0018385E"/>
    <w:rsid w:val="00183C7E"/>
    <w:rsid w:val="001844D2"/>
    <w:rsid w:val="001847CE"/>
    <w:rsid w:val="00184A35"/>
    <w:rsid w:val="00184C18"/>
    <w:rsid w:val="00184F9E"/>
    <w:rsid w:val="001854E6"/>
    <w:rsid w:val="001855A8"/>
    <w:rsid w:val="00185751"/>
    <w:rsid w:val="00185A8E"/>
    <w:rsid w:val="00185E02"/>
    <w:rsid w:val="00185FDD"/>
    <w:rsid w:val="00186090"/>
    <w:rsid w:val="00186285"/>
    <w:rsid w:val="001867F4"/>
    <w:rsid w:val="00186E04"/>
    <w:rsid w:val="001870DA"/>
    <w:rsid w:val="0018724F"/>
    <w:rsid w:val="00187519"/>
    <w:rsid w:val="00190716"/>
    <w:rsid w:val="001907F2"/>
    <w:rsid w:val="0019098F"/>
    <w:rsid w:val="001913B6"/>
    <w:rsid w:val="00191624"/>
    <w:rsid w:val="00191B92"/>
    <w:rsid w:val="00191E97"/>
    <w:rsid w:val="001922BD"/>
    <w:rsid w:val="00192316"/>
    <w:rsid w:val="001925DA"/>
    <w:rsid w:val="001926B3"/>
    <w:rsid w:val="001928A6"/>
    <w:rsid w:val="00192B1F"/>
    <w:rsid w:val="00192F73"/>
    <w:rsid w:val="0019358D"/>
    <w:rsid w:val="00193ACD"/>
    <w:rsid w:val="00193D3D"/>
    <w:rsid w:val="001940F7"/>
    <w:rsid w:val="00194467"/>
    <w:rsid w:val="00194E08"/>
    <w:rsid w:val="00195070"/>
    <w:rsid w:val="001950FD"/>
    <w:rsid w:val="001953DF"/>
    <w:rsid w:val="001954D9"/>
    <w:rsid w:val="00195CBD"/>
    <w:rsid w:val="0019602F"/>
    <w:rsid w:val="001964D0"/>
    <w:rsid w:val="00196B69"/>
    <w:rsid w:val="00196CFD"/>
    <w:rsid w:val="00196F98"/>
    <w:rsid w:val="0019727B"/>
    <w:rsid w:val="00197681"/>
    <w:rsid w:val="001976D5"/>
    <w:rsid w:val="00197B36"/>
    <w:rsid w:val="00197E5E"/>
    <w:rsid w:val="001A0171"/>
    <w:rsid w:val="001A069C"/>
    <w:rsid w:val="001A0D4C"/>
    <w:rsid w:val="001A114E"/>
    <w:rsid w:val="001A1164"/>
    <w:rsid w:val="001A1B3A"/>
    <w:rsid w:val="001A1C8F"/>
    <w:rsid w:val="001A216D"/>
    <w:rsid w:val="001A25A6"/>
    <w:rsid w:val="001A2943"/>
    <w:rsid w:val="001A2C5E"/>
    <w:rsid w:val="001A2E90"/>
    <w:rsid w:val="001A2E9F"/>
    <w:rsid w:val="001A2FCA"/>
    <w:rsid w:val="001A338E"/>
    <w:rsid w:val="001A36B8"/>
    <w:rsid w:val="001A3719"/>
    <w:rsid w:val="001A3C88"/>
    <w:rsid w:val="001A3CD8"/>
    <w:rsid w:val="001A4938"/>
    <w:rsid w:val="001A4AAC"/>
    <w:rsid w:val="001A4BD0"/>
    <w:rsid w:val="001A4FFB"/>
    <w:rsid w:val="001A52EE"/>
    <w:rsid w:val="001A53A1"/>
    <w:rsid w:val="001A5C29"/>
    <w:rsid w:val="001A5CCE"/>
    <w:rsid w:val="001A5F73"/>
    <w:rsid w:val="001A61AF"/>
    <w:rsid w:val="001A6986"/>
    <w:rsid w:val="001A73B5"/>
    <w:rsid w:val="001A75BB"/>
    <w:rsid w:val="001A7C1B"/>
    <w:rsid w:val="001A7D6A"/>
    <w:rsid w:val="001A7E90"/>
    <w:rsid w:val="001A7FEF"/>
    <w:rsid w:val="001B0320"/>
    <w:rsid w:val="001B0477"/>
    <w:rsid w:val="001B0E6E"/>
    <w:rsid w:val="001B11B6"/>
    <w:rsid w:val="001B203E"/>
    <w:rsid w:val="001B2090"/>
    <w:rsid w:val="001B2103"/>
    <w:rsid w:val="001B2FE9"/>
    <w:rsid w:val="001B3410"/>
    <w:rsid w:val="001B35D3"/>
    <w:rsid w:val="001B3689"/>
    <w:rsid w:val="001B38B3"/>
    <w:rsid w:val="001B3D2C"/>
    <w:rsid w:val="001B45BA"/>
    <w:rsid w:val="001B4925"/>
    <w:rsid w:val="001B4ABC"/>
    <w:rsid w:val="001B4C25"/>
    <w:rsid w:val="001B4C76"/>
    <w:rsid w:val="001B4D5B"/>
    <w:rsid w:val="001B4D88"/>
    <w:rsid w:val="001B5024"/>
    <w:rsid w:val="001B538B"/>
    <w:rsid w:val="001B5A78"/>
    <w:rsid w:val="001B5E86"/>
    <w:rsid w:val="001B5FD9"/>
    <w:rsid w:val="001B615D"/>
    <w:rsid w:val="001B656A"/>
    <w:rsid w:val="001B68E5"/>
    <w:rsid w:val="001B6A7F"/>
    <w:rsid w:val="001B7734"/>
    <w:rsid w:val="001B7C10"/>
    <w:rsid w:val="001B7C32"/>
    <w:rsid w:val="001C044D"/>
    <w:rsid w:val="001C0CFC"/>
    <w:rsid w:val="001C0F17"/>
    <w:rsid w:val="001C0FEE"/>
    <w:rsid w:val="001C19BF"/>
    <w:rsid w:val="001C1AE2"/>
    <w:rsid w:val="001C241F"/>
    <w:rsid w:val="001C2B99"/>
    <w:rsid w:val="001C305A"/>
    <w:rsid w:val="001C3BEB"/>
    <w:rsid w:val="001C3E97"/>
    <w:rsid w:val="001C455B"/>
    <w:rsid w:val="001C47EA"/>
    <w:rsid w:val="001C4D76"/>
    <w:rsid w:val="001C510F"/>
    <w:rsid w:val="001C531E"/>
    <w:rsid w:val="001C619B"/>
    <w:rsid w:val="001C6A83"/>
    <w:rsid w:val="001C701E"/>
    <w:rsid w:val="001C75DE"/>
    <w:rsid w:val="001C7797"/>
    <w:rsid w:val="001C7B17"/>
    <w:rsid w:val="001C7CE4"/>
    <w:rsid w:val="001C7E86"/>
    <w:rsid w:val="001D0248"/>
    <w:rsid w:val="001D057E"/>
    <w:rsid w:val="001D07F2"/>
    <w:rsid w:val="001D0828"/>
    <w:rsid w:val="001D0CF0"/>
    <w:rsid w:val="001D10E0"/>
    <w:rsid w:val="001D1808"/>
    <w:rsid w:val="001D1A2E"/>
    <w:rsid w:val="001D24A2"/>
    <w:rsid w:val="001D2A43"/>
    <w:rsid w:val="001D3724"/>
    <w:rsid w:val="001D3A7E"/>
    <w:rsid w:val="001D4169"/>
    <w:rsid w:val="001D41B5"/>
    <w:rsid w:val="001D4271"/>
    <w:rsid w:val="001D481F"/>
    <w:rsid w:val="001D4B29"/>
    <w:rsid w:val="001D4D66"/>
    <w:rsid w:val="001D5014"/>
    <w:rsid w:val="001D5910"/>
    <w:rsid w:val="001D5F13"/>
    <w:rsid w:val="001D60FD"/>
    <w:rsid w:val="001D69C3"/>
    <w:rsid w:val="001D6B8C"/>
    <w:rsid w:val="001D7EF7"/>
    <w:rsid w:val="001D7F46"/>
    <w:rsid w:val="001D7F7E"/>
    <w:rsid w:val="001E021C"/>
    <w:rsid w:val="001E0229"/>
    <w:rsid w:val="001E04F1"/>
    <w:rsid w:val="001E0EC7"/>
    <w:rsid w:val="001E1581"/>
    <w:rsid w:val="001E15C8"/>
    <w:rsid w:val="001E1681"/>
    <w:rsid w:val="001E1D10"/>
    <w:rsid w:val="001E29DC"/>
    <w:rsid w:val="001E2E64"/>
    <w:rsid w:val="001E30D9"/>
    <w:rsid w:val="001E3138"/>
    <w:rsid w:val="001E34CF"/>
    <w:rsid w:val="001E3C3A"/>
    <w:rsid w:val="001E3D95"/>
    <w:rsid w:val="001E3E2A"/>
    <w:rsid w:val="001E41F4"/>
    <w:rsid w:val="001E4955"/>
    <w:rsid w:val="001E5F2C"/>
    <w:rsid w:val="001E6166"/>
    <w:rsid w:val="001E61A0"/>
    <w:rsid w:val="001E64A2"/>
    <w:rsid w:val="001E696C"/>
    <w:rsid w:val="001E69E7"/>
    <w:rsid w:val="001E6FFD"/>
    <w:rsid w:val="001E7500"/>
    <w:rsid w:val="001E7584"/>
    <w:rsid w:val="001E7826"/>
    <w:rsid w:val="001E7C43"/>
    <w:rsid w:val="001F020C"/>
    <w:rsid w:val="001F0929"/>
    <w:rsid w:val="001F0C27"/>
    <w:rsid w:val="001F0FC0"/>
    <w:rsid w:val="001F1210"/>
    <w:rsid w:val="001F135F"/>
    <w:rsid w:val="001F1435"/>
    <w:rsid w:val="001F17D5"/>
    <w:rsid w:val="001F1A18"/>
    <w:rsid w:val="001F1A9B"/>
    <w:rsid w:val="001F2A37"/>
    <w:rsid w:val="001F2D42"/>
    <w:rsid w:val="001F39CA"/>
    <w:rsid w:val="001F3A5B"/>
    <w:rsid w:val="001F3A97"/>
    <w:rsid w:val="001F3F2E"/>
    <w:rsid w:val="001F4115"/>
    <w:rsid w:val="001F456E"/>
    <w:rsid w:val="001F496E"/>
    <w:rsid w:val="001F4B2D"/>
    <w:rsid w:val="001F5069"/>
    <w:rsid w:val="001F59C0"/>
    <w:rsid w:val="001F5A1F"/>
    <w:rsid w:val="001F5ACA"/>
    <w:rsid w:val="001F5D70"/>
    <w:rsid w:val="001F5E4E"/>
    <w:rsid w:val="001F629A"/>
    <w:rsid w:val="001F65DE"/>
    <w:rsid w:val="001F777E"/>
    <w:rsid w:val="001F7AB8"/>
    <w:rsid w:val="0020040A"/>
    <w:rsid w:val="00200649"/>
    <w:rsid w:val="002009A0"/>
    <w:rsid w:val="00200A1E"/>
    <w:rsid w:val="00200A24"/>
    <w:rsid w:val="00200B67"/>
    <w:rsid w:val="002016EB"/>
    <w:rsid w:val="00201DE7"/>
    <w:rsid w:val="0020243C"/>
    <w:rsid w:val="00203581"/>
    <w:rsid w:val="00203978"/>
    <w:rsid w:val="00203C63"/>
    <w:rsid w:val="00203F88"/>
    <w:rsid w:val="002043BA"/>
    <w:rsid w:val="002045A3"/>
    <w:rsid w:val="00204724"/>
    <w:rsid w:val="0020499E"/>
    <w:rsid w:val="00205088"/>
    <w:rsid w:val="00205293"/>
    <w:rsid w:val="002058E8"/>
    <w:rsid w:val="00205E23"/>
    <w:rsid w:val="00205F9F"/>
    <w:rsid w:val="0020657E"/>
    <w:rsid w:val="00206CA7"/>
    <w:rsid w:val="00206DB6"/>
    <w:rsid w:val="00206E8C"/>
    <w:rsid w:val="0020740F"/>
    <w:rsid w:val="00207448"/>
    <w:rsid w:val="002078E0"/>
    <w:rsid w:val="00207C6C"/>
    <w:rsid w:val="00207E43"/>
    <w:rsid w:val="0021049F"/>
    <w:rsid w:val="002106B7"/>
    <w:rsid w:val="002106F0"/>
    <w:rsid w:val="00210873"/>
    <w:rsid w:val="00210EE8"/>
    <w:rsid w:val="00211229"/>
    <w:rsid w:val="00211BB0"/>
    <w:rsid w:val="00211CD9"/>
    <w:rsid w:val="00211DCF"/>
    <w:rsid w:val="00212035"/>
    <w:rsid w:val="0021239E"/>
    <w:rsid w:val="00212CD4"/>
    <w:rsid w:val="00212F92"/>
    <w:rsid w:val="002131EC"/>
    <w:rsid w:val="0021442B"/>
    <w:rsid w:val="002144D2"/>
    <w:rsid w:val="00214FF6"/>
    <w:rsid w:val="00215326"/>
    <w:rsid w:val="002154FE"/>
    <w:rsid w:val="00215895"/>
    <w:rsid w:val="0021619F"/>
    <w:rsid w:val="0021638E"/>
    <w:rsid w:val="00216523"/>
    <w:rsid w:val="00216651"/>
    <w:rsid w:val="0021670A"/>
    <w:rsid w:val="002167A2"/>
    <w:rsid w:val="002167ED"/>
    <w:rsid w:val="00216CC9"/>
    <w:rsid w:val="00220CB5"/>
    <w:rsid w:val="00220D31"/>
    <w:rsid w:val="00221339"/>
    <w:rsid w:val="002214AD"/>
    <w:rsid w:val="00221B46"/>
    <w:rsid w:val="00222526"/>
    <w:rsid w:val="002226ED"/>
    <w:rsid w:val="00222953"/>
    <w:rsid w:val="00222A45"/>
    <w:rsid w:val="00222AC0"/>
    <w:rsid w:val="00223016"/>
    <w:rsid w:val="002231D0"/>
    <w:rsid w:val="002233E2"/>
    <w:rsid w:val="002240E1"/>
    <w:rsid w:val="00224C92"/>
    <w:rsid w:val="00224E5C"/>
    <w:rsid w:val="00224EFE"/>
    <w:rsid w:val="002250BC"/>
    <w:rsid w:val="0022516B"/>
    <w:rsid w:val="00225696"/>
    <w:rsid w:val="0022605A"/>
    <w:rsid w:val="0022672F"/>
    <w:rsid w:val="00226E13"/>
    <w:rsid w:val="002270B1"/>
    <w:rsid w:val="0023035F"/>
    <w:rsid w:val="0023165A"/>
    <w:rsid w:val="0023177F"/>
    <w:rsid w:val="00231A15"/>
    <w:rsid w:val="00231BAC"/>
    <w:rsid w:val="00231C99"/>
    <w:rsid w:val="00231DA7"/>
    <w:rsid w:val="002321BC"/>
    <w:rsid w:val="00232A9E"/>
    <w:rsid w:val="00232B27"/>
    <w:rsid w:val="00232B88"/>
    <w:rsid w:val="00232EA1"/>
    <w:rsid w:val="002335D2"/>
    <w:rsid w:val="002336C9"/>
    <w:rsid w:val="00233752"/>
    <w:rsid w:val="00233945"/>
    <w:rsid w:val="00233BB9"/>
    <w:rsid w:val="00233FAA"/>
    <w:rsid w:val="00234D81"/>
    <w:rsid w:val="00234EF7"/>
    <w:rsid w:val="002351B2"/>
    <w:rsid w:val="002354EC"/>
    <w:rsid w:val="00235D67"/>
    <w:rsid w:val="002364A5"/>
    <w:rsid w:val="0023650F"/>
    <w:rsid w:val="002367A2"/>
    <w:rsid w:val="00236CB1"/>
    <w:rsid w:val="00236DD6"/>
    <w:rsid w:val="002371EC"/>
    <w:rsid w:val="002374F3"/>
    <w:rsid w:val="002379ED"/>
    <w:rsid w:val="00237AD2"/>
    <w:rsid w:val="00237BF1"/>
    <w:rsid w:val="00237C84"/>
    <w:rsid w:val="00237F7E"/>
    <w:rsid w:val="00240062"/>
    <w:rsid w:val="00240071"/>
    <w:rsid w:val="002400F1"/>
    <w:rsid w:val="00240A5E"/>
    <w:rsid w:val="00240BC8"/>
    <w:rsid w:val="002412EC"/>
    <w:rsid w:val="00241CBA"/>
    <w:rsid w:val="00242105"/>
    <w:rsid w:val="00242998"/>
    <w:rsid w:val="00242AEF"/>
    <w:rsid w:val="00243A87"/>
    <w:rsid w:val="0024447B"/>
    <w:rsid w:val="00244851"/>
    <w:rsid w:val="00245586"/>
    <w:rsid w:val="00245991"/>
    <w:rsid w:val="00245AD9"/>
    <w:rsid w:val="00245DFC"/>
    <w:rsid w:val="002466FB"/>
    <w:rsid w:val="00246778"/>
    <w:rsid w:val="00246BE5"/>
    <w:rsid w:val="00247296"/>
    <w:rsid w:val="0024750E"/>
    <w:rsid w:val="00247A35"/>
    <w:rsid w:val="00247FB4"/>
    <w:rsid w:val="002502A9"/>
    <w:rsid w:val="0025055E"/>
    <w:rsid w:val="00250702"/>
    <w:rsid w:val="00250707"/>
    <w:rsid w:val="00250872"/>
    <w:rsid w:val="00250A4D"/>
    <w:rsid w:val="00250A9E"/>
    <w:rsid w:val="00250E90"/>
    <w:rsid w:val="00251539"/>
    <w:rsid w:val="00251727"/>
    <w:rsid w:val="00252102"/>
    <w:rsid w:val="00252406"/>
    <w:rsid w:val="00252B63"/>
    <w:rsid w:val="00252F18"/>
    <w:rsid w:val="00253482"/>
    <w:rsid w:val="002535E6"/>
    <w:rsid w:val="00253891"/>
    <w:rsid w:val="00253898"/>
    <w:rsid w:val="00253ED8"/>
    <w:rsid w:val="0025448D"/>
    <w:rsid w:val="00254CB7"/>
    <w:rsid w:val="00254F84"/>
    <w:rsid w:val="00255784"/>
    <w:rsid w:val="00255A97"/>
    <w:rsid w:val="00255AD2"/>
    <w:rsid w:val="00255F85"/>
    <w:rsid w:val="00256105"/>
    <w:rsid w:val="00256195"/>
    <w:rsid w:val="00256231"/>
    <w:rsid w:val="002568B2"/>
    <w:rsid w:val="0025691E"/>
    <w:rsid w:val="00257257"/>
    <w:rsid w:val="00257690"/>
    <w:rsid w:val="00257704"/>
    <w:rsid w:val="00257A70"/>
    <w:rsid w:val="00257E60"/>
    <w:rsid w:val="00260EB6"/>
    <w:rsid w:val="00261BBD"/>
    <w:rsid w:val="00261C31"/>
    <w:rsid w:val="00263045"/>
    <w:rsid w:val="00263385"/>
    <w:rsid w:val="00263610"/>
    <w:rsid w:val="002636BC"/>
    <w:rsid w:val="002638FE"/>
    <w:rsid w:val="00263BBF"/>
    <w:rsid w:val="00263D0A"/>
    <w:rsid w:val="00264171"/>
    <w:rsid w:val="00264AE2"/>
    <w:rsid w:val="00265173"/>
    <w:rsid w:val="002652D8"/>
    <w:rsid w:val="0026584E"/>
    <w:rsid w:val="00265E9A"/>
    <w:rsid w:val="0026606B"/>
    <w:rsid w:val="00266290"/>
    <w:rsid w:val="0026654B"/>
    <w:rsid w:val="00266FB6"/>
    <w:rsid w:val="00266FD6"/>
    <w:rsid w:val="002674CB"/>
    <w:rsid w:val="002676D9"/>
    <w:rsid w:val="00267F66"/>
    <w:rsid w:val="0027009B"/>
    <w:rsid w:val="00270582"/>
    <w:rsid w:val="002707E4"/>
    <w:rsid w:val="002707E6"/>
    <w:rsid w:val="00270A27"/>
    <w:rsid w:val="00270C38"/>
    <w:rsid w:val="00271032"/>
    <w:rsid w:val="00271405"/>
    <w:rsid w:val="00271408"/>
    <w:rsid w:val="00271E74"/>
    <w:rsid w:val="0027210E"/>
    <w:rsid w:val="0027240F"/>
    <w:rsid w:val="00272489"/>
    <w:rsid w:val="00272582"/>
    <w:rsid w:val="00272E8C"/>
    <w:rsid w:val="002732A4"/>
    <w:rsid w:val="0027360A"/>
    <w:rsid w:val="00273B8A"/>
    <w:rsid w:val="00273BF8"/>
    <w:rsid w:val="00274508"/>
    <w:rsid w:val="00274747"/>
    <w:rsid w:val="00274B3F"/>
    <w:rsid w:val="00274EB4"/>
    <w:rsid w:val="00275127"/>
    <w:rsid w:val="002762A3"/>
    <w:rsid w:val="002765A7"/>
    <w:rsid w:val="002765D8"/>
    <w:rsid w:val="00276D6A"/>
    <w:rsid w:val="00276E66"/>
    <w:rsid w:val="00277B19"/>
    <w:rsid w:val="00277F6D"/>
    <w:rsid w:val="002800E5"/>
    <w:rsid w:val="0028045E"/>
    <w:rsid w:val="0028106D"/>
    <w:rsid w:val="002818C6"/>
    <w:rsid w:val="002819B4"/>
    <w:rsid w:val="0028232E"/>
    <w:rsid w:val="0028246B"/>
    <w:rsid w:val="00282548"/>
    <w:rsid w:val="002828B0"/>
    <w:rsid w:val="00282CAA"/>
    <w:rsid w:val="00283477"/>
    <w:rsid w:val="002834DA"/>
    <w:rsid w:val="00283516"/>
    <w:rsid w:val="0028379C"/>
    <w:rsid w:val="00283815"/>
    <w:rsid w:val="002844C6"/>
    <w:rsid w:val="002848F0"/>
    <w:rsid w:val="00284B12"/>
    <w:rsid w:val="00284C85"/>
    <w:rsid w:val="00284F38"/>
    <w:rsid w:val="00285112"/>
    <w:rsid w:val="0028518A"/>
    <w:rsid w:val="00285670"/>
    <w:rsid w:val="00285E4D"/>
    <w:rsid w:val="0028628D"/>
    <w:rsid w:val="0028694B"/>
    <w:rsid w:val="002869C2"/>
    <w:rsid w:val="00286DE8"/>
    <w:rsid w:val="002870B6"/>
    <w:rsid w:val="0028772C"/>
    <w:rsid w:val="002878DA"/>
    <w:rsid w:val="002902B0"/>
    <w:rsid w:val="002904EF"/>
    <w:rsid w:val="002906A5"/>
    <w:rsid w:val="00290A43"/>
    <w:rsid w:val="00290C30"/>
    <w:rsid w:val="00290EAF"/>
    <w:rsid w:val="002910C5"/>
    <w:rsid w:val="0029115F"/>
    <w:rsid w:val="002911E7"/>
    <w:rsid w:val="00291355"/>
    <w:rsid w:val="002913E3"/>
    <w:rsid w:val="00291A6B"/>
    <w:rsid w:val="00291CA7"/>
    <w:rsid w:val="00292092"/>
    <w:rsid w:val="0029211B"/>
    <w:rsid w:val="00292529"/>
    <w:rsid w:val="00292A30"/>
    <w:rsid w:val="00292FA7"/>
    <w:rsid w:val="0029315E"/>
    <w:rsid w:val="00293D75"/>
    <w:rsid w:val="00293F76"/>
    <w:rsid w:val="00294B62"/>
    <w:rsid w:val="002950FE"/>
    <w:rsid w:val="0029573C"/>
    <w:rsid w:val="00295D62"/>
    <w:rsid w:val="00295F6B"/>
    <w:rsid w:val="002967EF"/>
    <w:rsid w:val="00296B73"/>
    <w:rsid w:val="00296EAE"/>
    <w:rsid w:val="00297105"/>
    <w:rsid w:val="00297330"/>
    <w:rsid w:val="0029794A"/>
    <w:rsid w:val="00297AF3"/>
    <w:rsid w:val="00297C6B"/>
    <w:rsid w:val="00297DF6"/>
    <w:rsid w:val="002A026F"/>
    <w:rsid w:val="002A05C4"/>
    <w:rsid w:val="002A083A"/>
    <w:rsid w:val="002A0AB6"/>
    <w:rsid w:val="002A0E31"/>
    <w:rsid w:val="002A1231"/>
    <w:rsid w:val="002A1533"/>
    <w:rsid w:val="002A1AD0"/>
    <w:rsid w:val="002A1B01"/>
    <w:rsid w:val="002A1EC3"/>
    <w:rsid w:val="002A26A6"/>
    <w:rsid w:val="002A26B2"/>
    <w:rsid w:val="002A2B70"/>
    <w:rsid w:val="002A2D2B"/>
    <w:rsid w:val="002A2D94"/>
    <w:rsid w:val="002A3A3E"/>
    <w:rsid w:val="002A3F6A"/>
    <w:rsid w:val="002A49E2"/>
    <w:rsid w:val="002A52E5"/>
    <w:rsid w:val="002A58BA"/>
    <w:rsid w:val="002A5A07"/>
    <w:rsid w:val="002A5C36"/>
    <w:rsid w:val="002A63B1"/>
    <w:rsid w:val="002A65F1"/>
    <w:rsid w:val="002A6697"/>
    <w:rsid w:val="002A6986"/>
    <w:rsid w:val="002A6A60"/>
    <w:rsid w:val="002A6B6B"/>
    <w:rsid w:val="002A6BA5"/>
    <w:rsid w:val="002A6C7B"/>
    <w:rsid w:val="002A72CC"/>
    <w:rsid w:val="002B055A"/>
    <w:rsid w:val="002B08FB"/>
    <w:rsid w:val="002B1411"/>
    <w:rsid w:val="002B1936"/>
    <w:rsid w:val="002B1A67"/>
    <w:rsid w:val="002B1D4E"/>
    <w:rsid w:val="002B20B8"/>
    <w:rsid w:val="002B255B"/>
    <w:rsid w:val="002B2574"/>
    <w:rsid w:val="002B30B0"/>
    <w:rsid w:val="002B3912"/>
    <w:rsid w:val="002B3C69"/>
    <w:rsid w:val="002B4269"/>
    <w:rsid w:val="002B4397"/>
    <w:rsid w:val="002B4DBD"/>
    <w:rsid w:val="002B50C2"/>
    <w:rsid w:val="002B5801"/>
    <w:rsid w:val="002B58D9"/>
    <w:rsid w:val="002B5AE3"/>
    <w:rsid w:val="002B5E09"/>
    <w:rsid w:val="002B5E92"/>
    <w:rsid w:val="002B5EC8"/>
    <w:rsid w:val="002B602A"/>
    <w:rsid w:val="002B6811"/>
    <w:rsid w:val="002B7765"/>
    <w:rsid w:val="002B7940"/>
    <w:rsid w:val="002B7E05"/>
    <w:rsid w:val="002C00AA"/>
    <w:rsid w:val="002C0398"/>
    <w:rsid w:val="002C053A"/>
    <w:rsid w:val="002C09BE"/>
    <w:rsid w:val="002C0B76"/>
    <w:rsid w:val="002C13F5"/>
    <w:rsid w:val="002C17CE"/>
    <w:rsid w:val="002C1BC4"/>
    <w:rsid w:val="002C1D36"/>
    <w:rsid w:val="002C1D39"/>
    <w:rsid w:val="002C1D73"/>
    <w:rsid w:val="002C1D78"/>
    <w:rsid w:val="002C2715"/>
    <w:rsid w:val="002C298F"/>
    <w:rsid w:val="002C29C5"/>
    <w:rsid w:val="002C3726"/>
    <w:rsid w:val="002C39F8"/>
    <w:rsid w:val="002C3BA3"/>
    <w:rsid w:val="002C40AB"/>
    <w:rsid w:val="002C41F3"/>
    <w:rsid w:val="002C45A8"/>
    <w:rsid w:val="002C47D4"/>
    <w:rsid w:val="002C49A3"/>
    <w:rsid w:val="002C49DC"/>
    <w:rsid w:val="002C5092"/>
    <w:rsid w:val="002C512B"/>
    <w:rsid w:val="002C52CB"/>
    <w:rsid w:val="002C582B"/>
    <w:rsid w:val="002C5960"/>
    <w:rsid w:val="002C59C6"/>
    <w:rsid w:val="002C5AE4"/>
    <w:rsid w:val="002C5B5A"/>
    <w:rsid w:val="002C5E6A"/>
    <w:rsid w:val="002C5FD8"/>
    <w:rsid w:val="002C6250"/>
    <w:rsid w:val="002C6662"/>
    <w:rsid w:val="002C6780"/>
    <w:rsid w:val="002C679E"/>
    <w:rsid w:val="002C6B3A"/>
    <w:rsid w:val="002C7171"/>
    <w:rsid w:val="002C7425"/>
    <w:rsid w:val="002C7556"/>
    <w:rsid w:val="002C7809"/>
    <w:rsid w:val="002C782C"/>
    <w:rsid w:val="002C79EB"/>
    <w:rsid w:val="002C7B90"/>
    <w:rsid w:val="002C7E53"/>
    <w:rsid w:val="002D04AD"/>
    <w:rsid w:val="002D0664"/>
    <w:rsid w:val="002D0851"/>
    <w:rsid w:val="002D087F"/>
    <w:rsid w:val="002D0903"/>
    <w:rsid w:val="002D0A69"/>
    <w:rsid w:val="002D0BF9"/>
    <w:rsid w:val="002D0FB2"/>
    <w:rsid w:val="002D1752"/>
    <w:rsid w:val="002D1A58"/>
    <w:rsid w:val="002D1E1C"/>
    <w:rsid w:val="002D2141"/>
    <w:rsid w:val="002D2BA3"/>
    <w:rsid w:val="002D2FA7"/>
    <w:rsid w:val="002D32CF"/>
    <w:rsid w:val="002D3A24"/>
    <w:rsid w:val="002D4024"/>
    <w:rsid w:val="002D4094"/>
    <w:rsid w:val="002D478A"/>
    <w:rsid w:val="002D4AB8"/>
    <w:rsid w:val="002D4E33"/>
    <w:rsid w:val="002D500B"/>
    <w:rsid w:val="002D56DC"/>
    <w:rsid w:val="002D5815"/>
    <w:rsid w:val="002D5F58"/>
    <w:rsid w:val="002D6117"/>
    <w:rsid w:val="002D6731"/>
    <w:rsid w:val="002D6B94"/>
    <w:rsid w:val="002D736C"/>
    <w:rsid w:val="002D775C"/>
    <w:rsid w:val="002D7930"/>
    <w:rsid w:val="002D7965"/>
    <w:rsid w:val="002D7BF5"/>
    <w:rsid w:val="002D7E74"/>
    <w:rsid w:val="002E036A"/>
    <w:rsid w:val="002E05A1"/>
    <w:rsid w:val="002E062B"/>
    <w:rsid w:val="002E06C4"/>
    <w:rsid w:val="002E0841"/>
    <w:rsid w:val="002E0ACF"/>
    <w:rsid w:val="002E0BAC"/>
    <w:rsid w:val="002E117A"/>
    <w:rsid w:val="002E1B1B"/>
    <w:rsid w:val="002E2074"/>
    <w:rsid w:val="002E224E"/>
    <w:rsid w:val="002E243B"/>
    <w:rsid w:val="002E26B7"/>
    <w:rsid w:val="002E2749"/>
    <w:rsid w:val="002E2C60"/>
    <w:rsid w:val="002E38D4"/>
    <w:rsid w:val="002E47BA"/>
    <w:rsid w:val="002E570C"/>
    <w:rsid w:val="002E5715"/>
    <w:rsid w:val="002E58B2"/>
    <w:rsid w:val="002E679B"/>
    <w:rsid w:val="002E7488"/>
    <w:rsid w:val="002E7B52"/>
    <w:rsid w:val="002E7FAD"/>
    <w:rsid w:val="002F00B5"/>
    <w:rsid w:val="002F03EC"/>
    <w:rsid w:val="002F0620"/>
    <w:rsid w:val="002F0796"/>
    <w:rsid w:val="002F0962"/>
    <w:rsid w:val="002F0B16"/>
    <w:rsid w:val="002F1138"/>
    <w:rsid w:val="002F1420"/>
    <w:rsid w:val="002F1555"/>
    <w:rsid w:val="002F2277"/>
    <w:rsid w:val="002F2602"/>
    <w:rsid w:val="002F2655"/>
    <w:rsid w:val="002F2D63"/>
    <w:rsid w:val="002F31F7"/>
    <w:rsid w:val="002F419B"/>
    <w:rsid w:val="002F4249"/>
    <w:rsid w:val="002F4260"/>
    <w:rsid w:val="002F4BA7"/>
    <w:rsid w:val="002F4C14"/>
    <w:rsid w:val="002F4C39"/>
    <w:rsid w:val="002F4FDD"/>
    <w:rsid w:val="002F5018"/>
    <w:rsid w:val="002F51D0"/>
    <w:rsid w:val="002F5365"/>
    <w:rsid w:val="002F5389"/>
    <w:rsid w:val="002F5998"/>
    <w:rsid w:val="002F5C80"/>
    <w:rsid w:val="002F5E5A"/>
    <w:rsid w:val="002F6480"/>
    <w:rsid w:val="002F6622"/>
    <w:rsid w:val="002F66CF"/>
    <w:rsid w:val="002F670E"/>
    <w:rsid w:val="002F7000"/>
    <w:rsid w:val="002F7C0A"/>
    <w:rsid w:val="003001D0"/>
    <w:rsid w:val="00300262"/>
    <w:rsid w:val="0030034F"/>
    <w:rsid w:val="003005BE"/>
    <w:rsid w:val="00300666"/>
    <w:rsid w:val="003009BE"/>
    <w:rsid w:val="00300E0E"/>
    <w:rsid w:val="0030120A"/>
    <w:rsid w:val="003015F3"/>
    <w:rsid w:val="00301921"/>
    <w:rsid w:val="00301A65"/>
    <w:rsid w:val="00301B42"/>
    <w:rsid w:val="003020FE"/>
    <w:rsid w:val="003022D0"/>
    <w:rsid w:val="00302C51"/>
    <w:rsid w:val="00303CC1"/>
    <w:rsid w:val="0030426C"/>
    <w:rsid w:val="003043BB"/>
    <w:rsid w:val="00304AA6"/>
    <w:rsid w:val="00304BF3"/>
    <w:rsid w:val="003052BE"/>
    <w:rsid w:val="003053B6"/>
    <w:rsid w:val="003055DB"/>
    <w:rsid w:val="00305884"/>
    <w:rsid w:val="00305C13"/>
    <w:rsid w:val="00306078"/>
    <w:rsid w:val="00306178"/>
    <w:rsid w:val="0030652C"/>
    <w:rsid w:val="003066C0"/>
    <w:rsid w:val="0030699D"/>
    <w:rsid w:val="00306AF5"/>
    <w:rsid w:val="0030790E"/>
    <w:rsid w:val="00307A95"/>
    <w:rsid w:val="00307DE9"/>
    <w:rsid w:val="00310371"/>
    <w:rsid w:val="00310D02"/>
    <w:rsid w:val="00311ACC"/>
    <w:rsid w:val="00311D19"/>
    <w:rsid w:val="00311DB5"/>
    <w:rsid w:val="00311E57"/>
    <w:rsid w:val="00312383"/>
    <w:rsid w:val="00312F6F"/>
    <w:rsid w:val="00313294"/>
    <w:rsid w:val="00313412"/>
    <w:rsid w:val="00313AD4"/>
    <w:rsid w:val="00313C88"/>
    <w:rsid w:val="0031409E"/>
    <w:rsid w:val="00314306"/>
    <w:rsid w:val="00314780"/>
    <w:rsid w:val="00314CBB"/>
    <w:rsid w:val="0031507A"/>
    <w:rsid w:val="0031526B"/>
    <w:rsid w:val="00315607"/>
    <w:rsid w:val="00315706"/>
    <w:rsid w:val="00315D5D"/>
    <w:rsid w:val="003164AC"/>
    <w:rsid w:val="0031675D"/>
    <w:rsid w:val="00316A9C"/>
    <w:rsid w:val="00316B91"/>
    <w:rsid w:val="00316F38"/>
    <w:rsid w:val="00317284"/>
    <w:rsid w:val="00317402"/>
    <w:rsid w:val="00317980"/>
    <w:rsid w:val="00317F08"/>
    <w:rsid w:val="00317F87"/>
    <w:rsid w:val="0032002B"/>
    <w:rsid w:val="00320779"/>
    <w:rsid w:val="00320815"/>
    <w:rsid w:val="00320860"/>
    <w:rsid w:val="00320953"/>
    <w:rsid w:val="00320DD4"/>
    <w:rsid w:val="00321099"/>
    <w:rsid w:val="00321474"/>
    <w:rsid w:val="0032149F"/>
    <w:rsid w:val="003214B2"/>
    <w:rsid w:val="00322704"/>
    <w:rsid w:val="00322A78"/>
    <w:rsid w:val="00322AEC"/>
    <w:rsid w:val="00322E16"/>
    <w:rsid w:val="003233AB"/>
    <w:rsid w:val="0032340D"/>
    <w:rsid w:val="00323C30"/>
    <w:rsid w:val="00323E6F"/>
    <w:rsid w:val="00323F4D"/>
    <w:rsid w:val="00324031"/>
    <w:rsid w:val="00324583"/>
    <w:rsid w:val="00324ECE"/>
    <w:rsid w:val="00324FF4"/>
    <w:rsid w:val="003255CB"/>
    <w:rsid w:val="003260DE"/>
    <w:rsid w:val="00326453"/>
    <w:rsid w:val="00326837"/>
    <w:rsid w:val="00326986"/>
    <w:rsid w:val="00326B8B"/>
    <w:rsid w:val="00326B94"/>
    <w:rsid w:val="00326DB8"/>
    <w:rsid w:val="00327384"/>
    <w:rsid w:val="0032756F"/>
    <w:rsid w:val="003278CB"/>
    <w:rsid w:val="00327BAA"/>
    <w:rsid w:val="00327F7B"/>
    <w:rsid w:val="0033055A"/>
    <w:rsid w:val="00331011"/>
    <w:rsid w:val="003310F2"/>
    <w:rsid w:val="00331120"/>
    <w:rsid w:val="00331A40"/>
    <w:rsid w:val="003325A1"/>
    <w:rsid w:val="00332688"/>
    <w:rsid w:val="00332924"/>
    <w:rsid w:val="00332BF6"/>
    <w:rsid w:val="00332F19"/>
    <w:rsid w:val="00332FA1"/>
    <w:rsid w:val="00333539"/>
    <w:rsid w:val="00333CCE"/>
    <w:rsid w:val="00333CFB"/>
    <w:rsid w:val="00333D5D"/>
    <w:rsid w:val="00333FDE"/>
    <w:rsid w:val="003346C2"/>
    <w:rsid w:val="0033484C"/>
    <w:rsid w:val="00334AF0"/>
    <w:rsid w:val="00334D47"/>
    <w:rsid w:val="00335115"/>
    <w:rsid w:val="003353EA"/>
    <w:rsid w:val="00335A3E"/>
    <w:rsid w:val="00335CD3"/>
    <w:rsid w:val="003361E7"/>
    <w:rsid w:val="0033626F"/>
    <w:rsid w:val="00336880"/>
    <w:rsid w:val="00336CEA"/>
    <w:rsid w:val="00337792"/>
    <w:rsid w:val="003402EE"/>
    <w:rsid w:val="003404B3"/>
    <w:rsid w:val="003414B3"/>
    <w:rsid w:val="00341789"/>
    <w:rsid w:val="00341A05"/>
    <w:rsid w:val="00341A2B"/>
    <w:rsid w:val="00341B60"/>
    <w:rsid w:val="00341C66"/>
    <w:rsid w:val="00341C75"/>
    <w:rsid w:val="0034207A"/>
    <w:rsid w:val="0034233A"/>
    <w:rsid w:val="00342756"/>
    <w:rsid w:val="00342760"/>
    <w:rsid w:val="0034278E"/>
    <w:rsid w:val="0034289E"/>
    <w:rsid w:val="00342FA3"/>
    <w:rsid w:val="00343258"/>
    <w:rsid w:val="00343731"/>
    <w:rsid w:val="00343AC6"/>
    <w:rsid w:val="00344245"/>
    <w:rsid w:val="003445D6"/>
    <w:rsid w:val="00344710"/>
    <w:rsid w:val="00344B1C"/>
    <w:rsid w:val="00344C42"/>
    <w:rsid w:val="00344EB7"/>
    <w:rsid w:val="00344FAF"/>
    <w:rsid w:val="003450B5"/>
    <w:rsid w:val="00345E78"/>
    <w:rsid w:val="00346270"/>
    <w:rsid w:val="00346989"/>
    <w:rsid w:val="00346C67"/>
    <w:rsid w:val="00347A11"/>
    <w:rsid w:val="00347BC9"/>
    <w:rsid w:val="00347C3B"/>
    <w:rsid w:val="0035024E"/>
    <w:rsid w:val="00350A21"/>
    <w:rsid w:val="00350EF7"/>
    <w:rsid w:val="00351226"/>
    <w:rsid w:val="00351511"/>
    <w:rsid w:val="00351842"/>
    <w:rsid w:val="00351A92"/>
    <w:rsid w:val="00351ABC"/>
    <w:rsid w:val="00351C0D"/>
    <w:rsid w:val="00351F8C"/>
    <w:rsid w:val="003522A6"/>
    <w:rsid w:val="00352A11"/>
    <w:rsid w:val="00352A8F"/>
    <w:rsid w:val="00352DBC"/>
    <w:rsid w:val="00353194"/>
    <w:rsid w:val="003531DC"/>
    <w:rsid w:val="003539C8"/>
    <w:rsid w:val="00353D47"/>
    <w:rsid w:val="00353DF0"/>
    <w:rsid w:val="00353F16"/>
    <w:rsid w:val="00353F81"/>
    <w:rsid w:val="00355422"/>
    <w:rsid w:val="0035567E"/>
    <w:rsid w:val="0035576A"/>
    <w:rsid w:val="00355E48"/>
    <w:rsid w:val="0035636C"/>
    <w:rsid w:val="003566A2"/>
    <w:rsid w:val="003570D0"/>
    <w:rsid w:val="0035712C"/>
    <w:rsid w:val="00357937"/>
    <w:rsid w:val="00360866"/>
    <w:rsid w:val="0036150B"/>
    <w:rsid w:val="0036178C"/>
    <w:rsid w:val="00361900"/>
    <w:rsid w:val="00361A8A"/>
    <w:rsid w:val="00361C2C"/>
    <w:rsid w:val="00361C4B"/>
    <w:rsid w:val="00361C59"/>
    <w:rsid w:val="00361CB6"/>
    <w:rsid w:val="00361CCD"/>
    <w:rsid w:val="00361CF6"/>
    <w:rsid w:val="00362061"/>
    <w:rsid w:val="0036208C"/>
    <w:rsid w:val="00362902"/>
    <w:rsid w:val="0036293A"/>
    <w:rsid w:val="00363372"/>
    <w:rsid w:val="003634FB"/>
    <w:rsid w:val="0036357B"/>
    <w:rsid w:val="003636DC"/>
    <w:rsid w:val="00363858"/>
    <w:rsid w:val="00363B5B"/>
    <w:rsid w:val="00363C52"/>
    <w:rsid w:val="003646E5"/>
    <w:rsid w:val="00364703"/>
    <w:rsid w:val="003647CF"/>
    <w:rsid w:val="003647E4"/>
    <w:rsid w:val="003649B7"/>
    <w:rsid w:val="00364CCD"/>
    <w:rsid w:val="003651C8"/>
    <w:rsid w:val="003651F2"/>
    <w:rsid w:val="00365512"/>
    <w:rsid w:val="003655F3"/>
    <w:rsid w:val="00365620"/>
    <w:rsid w:val="00365C95"/>
    <w:rsid w:val="00365DBB"/>
    <w:rsid w:val="003661C6"/>
    <w:rsid w:val="00366298"/>
    <w:rsid w:val="003664E4"/>
    <w:rsid w:val="00366785"/>
    <w:rsid w:val="00366F6B"/>
    <w:rsid w:val="00367205"/>
    <w:rsid w:val="0036763E"/>
    <w:rsid w:val="00367AAA"/>
    <w:rsid w:val="00367B3E"/>
    <w:rsid w:val="00370107"/>
    <w:rsid w:val="0037091A"/>
    <w:rsid w:val="00371044"/>
    <w:rsid w:val="00371957"/>
    <w:rsid w:val="00371B0C"/>
    <w:rsid w:val="00371D36"/>
    <w:rsid w:val="00371D3B"/>
    <w:rsid w:val="0037262F"/>
    <w:rsid w:val="00372D4A"/>
    <w:rsid w:val="00372E67"/>
    <w:rsid w:val="0037393F"/>
    <w:rsid w:val="00373BDF"/>
    <w:rsid w:val="00374B8E"/>
    <w:rsid w:val="00374C2D"/>
    <w:rsid w:val="00374EF9"/>
    <w:rsid w:val="0037575C"/>
    <w:rsid w:val="00375790"/>
    <w:rsid w:val="00375802"/>
    <w:rsid w:val="00375852"/>
    <w:rsid w:val="00375CDB"/>
    <w:rsid w:val="00375D23"/>
    <w:rsid w:val="0037622A"/>
    <w:rsid w:val="0037624B"/>
    <w:rsid w:val="00376413"/>
    <w:rsid w:val="00377034"/>
    <w:rsid w:val="003770C2"/>
    <w:rsid w:val="00377423"/>
    <w:rsid w:val="0037742A"/>
    <w:rsid w:val="0037754F"/>
    <w:rsid w:val="00377623"/>
    <w:rsid w:val="00377867"/>
    <w:rsid w:val="00377912"/>
    <w:rsid w:val="00377AFF"/>
    <w:rsid w:val="00377F39"/>
    <w:rsid w:val="00380124"/>
    <w:rsid w:val="00380C92"/>
    <w:rsid w:val="00380CA6"/>
    <w:rsid w:val="00380D95"/>
    <w:rsid w:val="00381171"/>
    <w:rsid w:val="003817B8"/>
    <w:rsid w:val="0038197F"/>
    <w:rsid w:val="00381A05"/>
    <w:rsid w:val="00381A37"/>
    <w:rsid w:val="00381E59"/>
    <w:rsid w:val="00382054"/>
    <w:rsid w:val="003824D3"/>
    <w:rsid w:val="003825F5"/>
    <w:rsid w:val="003836E9"/>
    <w:rsid w:val="00383889"/>
    <w:rsid w:val="00383ACC"/>
    <w:rsid w:val="00383CA8"/>
    <w:rsid w:val="00383FC9"/>
    <w:rsid w:val="0038483C"/>
    <w:rsid w:val="0038488C"/>
    <w:rsid w:val="0038507E"/>
    <w:rsid w:val="00385085"/>
    <w:rsid w:val="00385254"/>
    <w:rsid w:val="00385821"/>
    <w:rsid w:val="00385862"/>
    <w:rsid w:val="003865DB"/>
    <w:rsid w:val="00386649"/>
    <w:rsid w:val="00386886"/>
    <w:rsid w:val="003877C3"/>
    <w:rsid w:val="00387DAA"/>
    <w:rsid w:val="00387F33"/>
    <w:rsid w:val="00390745"/>
    <w:rsid w:val="00390B97"/>
    <w:rsid w:val="00390C69"/>
    <w:rsid w:val="00390C76"/>
    <w:rsid w:val="0039163E"/>
    <w:rsid w:val="00391AB5"/>
    <w:rsid w:val="00391B96"/>
    <w:rsid w:val="00391C85"/>
    <w:rsid w:val="00392578"/>
    <w:rsid w:val="00392640"/>
    <w:rsid w:val="00392928"/>
    <w:rsid w:val="00392F46"/>
    <w:rsid w:val="003931EC"/>
    <w:rsid w:val="00393233"/>
    <w:rsid w:val="00393663"/>
    <w:rsid w:val="0039366B"/>
    <w:rsid w:val="003936E3"/>
    <w:rsid w:val="0039371F"/>
    <w:rsid w:val="00394092"/>
    <w:rsid w:val="003940A7"/>
    <w:rsid w:val="0039420F"/>
    <w:rsid w:val="0039474E"/>
    <w:rsid w:val="00394B0E"/>
    <w:rsid w:val="00394BC0"/>
    <w:rsid w:val="00394DA5"/>
    <w:rsid w:val="00395293"/>
    <w:rsid w:val="003954BB"/>
    <w:rsid w:val="003958B2"/>
    <w:rsid w:val="003958C6"/>
    <w:rsid w:val="0039624B"/>
    <w:rsid w:val="003966C6"/>
    <w:rsid w:val="0039689C"/>
    <w:rsid w:val="00396AE7"/>
    <w:rsid w:val="00396B8B"/>
    <w:rsid w:val="00396D01"/>
    <w:rsid w:val="0039718B"/>
    <w:rsid w:val="0039724A"/>
    <w:rsid w:val="0039726F"/>
    <w:rsid w:val="00397719"/>
    <w:rsid w:val="00397C52"/>
    <w:rsid w:val="003A0569"/>
    <w:rsid w:val="003A0876"/>
    <w:rsid w:val="003A0E0D"/>
    <w:rsid w:val="003A0E1B"/>
    <w:rsid w:val="003A10A5"/>
    <w:rsid w:val="003A113A"/>
    <w:rsid w:val="003A1408"/>
    <w:rsid w:val="003A197D"/>
    <w:rsid w:val="003A1F45"/>
    <w:rsid w:val="003A20C5"/>
    <w:rsid w:val="003A2591"/>
    <w:rsid w:val="003A2A67"/>
    <w:rsid w:val="003A2E41"/>
    <w:rsid w:val="003A3005"/>
    <w:rsid w:val="003A30AF"/>
    <w:rsid w:val="003A3230"/>
    <w:rsid w:val="003A3645"/>
    <w:rsid w:val="003A365F"/>
    <w:rsid w:val="003A3855"/>
    <w:rsid w:val="003A3F67"/>
    <w:rsid w:val="003A40BE"/>
    <w:rsid w:val="003A48CF"/>
    <w:rsid w:val="003A4D4A"/>
    <w:rsid w:val="003A4D76"/>
    <w:rsid w:val="003A4FE0"/>
    <w:rsid w:val="003A557E"/>
    <w:rsid w:val="003A64F2"/>
    <w:rsid w:val="003A66B7"/>
    <w:rsid w:val="003A68EA"/>
    <w:rsid w:val="003A70BA"/>
    <w:rsid w:val="003A734B"/>
    <w:rsid w:val="003A73C2"/>
    <w:rsid w:val="003A7EAC"/>
    <w:rsid w:val="003A7F8C"/>
    <w:rsid w:val="003B0423"/>
    <w:rsid w:val="003B0761"/>
    <w:rsid w:val="003B07EE"/>
    <w:rsid w:val="003B09F8"/>
    <w:rsid w:val="003B0A97"/>
    <w:rsid w:val="003B10A4"/>
    <w:rsid w:val="003B10C6"/>
    <w:rsid w:val="003B11B7"/>
    <w:rsid w:val="003B1339"/>
    <w:rsid w:val="003B140F"/>
    <w:rsid w:val="003B1600"/>
    <w:rsid w:val="003B18C8"/>
    <w:rsid w:val="003B1CCF"/>
    <w:rsid w:val="003B1DD9"/>
    <w:rsid w:val="003B1EA1"/>
    <w:rsid w:val="003B20BB"/>
    <w:rsid w:val="003B26EC"/>
    <w:rsid w:val="003B2FC8"/>
    <w:rsid w:val="003B3026"/>
    <w:rsid w:val="003B317D"/>
    <w:rsid w:val="003B339F"/>
    <w:rsid w:val="003B3702"/>
    <w:rsid w:val="003B3862"/>
    <w:rsid w:val="003B3947"/>
    <w:rsid w:val="003B3EFD"/>
    <w:rsid w:val="003B4219"/>
    <w:rsid w:val="003B5038"/>
    <w:rsid w:val="003B5530"/>
    <w:rsid w:val="003B5B3E"/>
    <w:rsid w:val="003B5E75"/>
    <w:rsid w:val="003B65BD"/>
    <w:rsid w:val="003B6A53"/>
    <w:rsid w:val="003B6F1A"/>
    <w:rsid w:val="003B6F40"/>
    <w:rsid w:val="003B7299"/>
    <w:rsid w:val="003B788A"/>
    <w:rsid w:val="003B79FA"/>
    <w:rsid w:val="003C00C1"/>
    <w:rsid w:val="003C0313"/>
    <w:rsid w:val="003C0389"/>
    <w:rsid w:val="003C0B61"/>
    <w:rsid w:val="003C0F13"/>
    <w:rsid w:val="003C155E"/>
    <w:rsid w:val="003C159A"/>
    <w:rsid w:val="003C15B9"/>
    <w:rsid w:val="003C1998"/>
    <w:rsid w:val="003C1C1F"/>
    <w:rsid w:val="003C1EB0"/>
    <w:rsid w:val="003C203E"/>
    <w:rsid w:val="003C2661"/>
    <w:rsid w:val="003C26A7"/>
    <w:rsid w:val="003C28E4"/>
    <w:rsid w:val="003C3AA5"/>
    <w:rsid w:val="003C48C4"/>
    <w:rsid w:val="003C4D31"/>
    <w:rsid w:val="003C4E94"/>
    <w:rsid w:val="003C51DD"/>
    <w:rsid w:val="003C53CD"/>
    <w:rsid w:val="003C594F"/>
    <w:rsid w:val="003C5CD6"/>
    <w:rsid w:val="003C5D96"/>
    <w:rsid w:val="003C5FFF"/>
    <w:rsid w:val="003C60D4"/>
    <w:rsid w:val="003C60F8"/>
    <w:rsid w:val="003C6184"/>
    <w:rsid w:val="003C6370"/>
    <w:rsid w:val="003C63A9"/>
    <w:rsid w:val="003C64F3"/>
    <w:rsid w:val="003C6639"/>
    <w:rsid w:val="003C6697"/>
    <w:rsid w:val="003C6D82"/>
    <w:rsid w:val="003C6DB6"/>
    <w:rsid w:val="003C6F5A"/>
    <w:rsid w:val="003C724C"/>
    <w:rsid w:val="003C72AC"/>
    <w:rsid w:val="003C7D0D"/>
    <w:rsid w:val="003C7D13"/>
    <w:rsid w:val="003C7F2F"/>
    <w:rsid w:val="003D010F"/>
    <w:rsid w:val="003D02A9"/>
    <w:rsid w:val="003D02B0"/>
    <w:rsid w:val="003D03C9"/>
    <w:rsid w:val="003D03D8"/>
    <w:rsid w:val="003D06E4"/>
    <w:rsid w:val="003D072E"/>
    <w:rsid w:val="003D1175"/>
    <w:rsid w:val="003D14C1"/>
    <w:rsid w:val="003D1536"/>
    <w:rsid w:val="003D1AB1"/>
    <w:rsid w:val="003D1D33"/>
    <w:rsid w:val="003D1EB9"/>
    <w:rsid w:val="003D20C3"/>
    <w:rsid w:val="003D2785"/>
    <w:rsid w:val="003D32E5"/>
    <w:rsid w:val="003D40E3"/>
    <w:rsid w:val="003D4E87"/>
    <w:rsid w:val="003D53DD"/>
    <w:rsid w:val="003D5E68"/>
    <w:rsid w:val="003D6386"/>
    <w:rsid w:val="003D674F"/>
    <w:rsid w:val="003D6D63"/>
    <w:rsid w:val="003E0480"/>
    <w:rsid w:val="003E04A5"/>
    <w:rsid w:val="003E0559"/>
    <w:rsid w:val="003E095C"/>
    <w:rsid w:val="003E0A9C"/>
    <w:rsid w:val="003E0BE5"/>
    <w:rsid w:val="003E0C17"/>
    <w:rsid w:val="003E10CA"/>
    <w:rsid w:val="003E1591"/>
    <w:rsid w:val="003E1B4B"/>
    <w:rsid w:val="003E2244"/>
    <w:rsid w:val="003E22F8"/>
    <w:rsid w:val="003E2320"/>
    <w:rsid w:val="003E267C"/>
    <w:rsid w:val="003E2AD6"/>
    <w:rsid w:val="003E3125"/>
    <w:rsid w:val="003E3C8D"/>
    <w:rsid w:val="003E45B1"/>
    <w:rsid w:val="003E4763"/>
    <w:rsid w:val="003E4A3B"/>
    <w:rsid w:val="003E54AA"/>
    <w:rsid w:val="003E5D71"/>
    <w:rsid w:val="003E6077"/>
    <w:rsid w:val="003E6126"/>
    <w:rsid w:val="003E65D0"/>
    <w:rsid w:val="003E70B2"/>
    <w:rsid w:val="003E72D7"/>
    <w:rsid w:val="003E73EB"/>
    <w:rsid w:val="003E7554"/>
    <w:rsid w:val="003E7695"/>
    <w:rsid w:val="003E7775"/>
    <w:rsid w:val="003E7A4D"/>
    <w:rsid w:val="003F02D0"/>
    <w:rsid w:val="003F0C6F"/>
    <w:rsid w:val="003F10BB"/>
    <w:rsid w:val="003F14BC"/>
    <w:rsid w:val="003F1F06"/>
    <w:rsid w:val="003F1F8D"/>
    <w:rsid w:val="003F201F"/>
    <w:rsid w:val="003F28F1"/>
    <w:rsid w:val="003F3228"/>
    <w:rsid w:val="003F32AA"/>
    <w:rsid w:val="003F32B2"/>
    <w:rsid w:val="003F39BA"/>
    <w:rsid w:val="003F3E44"/>
    <w:rsid w:val="003F3EC4"/>
    <w:rsid w:val="003F3EE1"/>
    <w:rsid w:val="003F4032"/>
    <w:rsid w:val="003F4214"/>
    <w:rsid w:val="003F4942"/>
    <w:rsid w:val="003F49A4"/>
    <w:rsid w:val="003F4B43"/>
    <w:rsid w:val="003F4BFC"/>
    <w:rsid w:val="003F4DF2"/>
    <w:rsid w:val="003F5412"/>
    <w:rsid w:val="003F5568"/>
    <w:rsid w:val="003F5603"/>
    <w:rsid w:val="003F5674"/>
    <w:rsid w:val="003F5707"/>
    <w:rsid w:val="003F5834"/>
    <w:rsid w:val="003F5B06"/>
    <w:rsid w:val="003F5CE6"/>
    <w:rsid w:val="003F6100"/>
    <w:rsid w:val="003F62B8"/>
    <w:rsid w:val="003F68BD"/>
    <w:rsid w:val="003F6906"/>
    <w:rsid w:val="003F69A2"/>
    <w:rsid w:val="003F6C97"/>
    <w:rsid w:val="003F6F4F"/>
    <w:rsid w:val="003F7182"/>
    <w:rsid w:val="003F76A2"/>
    <w:rsid w:val="003F78E3"/>
    <w:rsid w:val="003F7977"/>
    <w:rsid w:val="003F7A1E"/>
    <w:rsid w:val="003F7A46"/>
    <w:rsid w:val="00400F17"/>
    <w:rsid w:val="004012F8"/>
    <w:rsid w:val="004014CF"/>
    <w:rsid w:val="00401EFC"/>
    <w:rsid w:val="00402163"/>
    <w:rsid w:val="00402171"/>
    <w:rsid w:val="00402B92"/>
    <w:rsid w:val="00402EE6"/>
    <w:rsid w:val="0040312A"/>
    <w:rsid w:val="0040316B"/>
    <w:rsid w:val="00403F91"/>
    <w:rsid w:val="0040422D"/>
    <w:rsid w:val="00404711"/>
    <w:rsid w:val="00404A29"/>
    <w:rsid w:val="00404C0A"/>
    <w:rsid w:val="00405059"/>
    <w:rsid w:val="00405455"/>
    <w:rsid w:val="0040547F"/>
    <w:rsid w:val="004057EB"/>
    <w:rsid w:val="004064AA"/>
    <w:rsid w:val="00406832"/>
    <w:rsid w:val="0040688D"/>
    <w:rsid w:val="00406E9D"/>
    <w:rsid w:val="00406F1C"/>
    <w:rsid w:val="004076CF"/>
    <w:rsid w:val="0040776E"/>
    <w:rsid w:val="00407A9E"/>
    <w:rsid w:val="00407B62"/>
    <w:rsid w:val="00407FF9"/>
    <w:rsid w:val="0041091A"/>
    <w:rsid w:val="00410939"/>
    <w:rsid w:val="00410BD2"/>
    <w:rsid w:val="00410C04"/>
    <w:rsid w:val="00411225"/>
    <w:rsid w:val="004112C0"/>
    <w:rsid w:val="004116D4"/>
    <w:rsid w:val="004119D1"/>
    <w:rsid w:val="00411CED"/>
    <w:rsid w:val="004126BD"/>
    <w:rsid w:val="004126F1"/>
    <w:rsid w:val="004129CA"/>
    <w:rsid w:val="00412BC0"/>
    <w:rsid w:val="00412C9A"/>
    <w:rsid w:val="00412D9D"/>
    <w:rsid w:val="004133E4"/>
    <w:rsid w:val="00413671"/>
    <w:rsid w:val="00413BE4"/>
    <w:rsid w:val="00413F11"/>
    <w:rsid w:val="00413F5E"/>
    <w:rsid w:val="00414156"/>
    <w:rsid w:val="004144E3"/>
    <w:rsid w:val="00414915"/>
    <w:rsid w:val="00414D07"/>
    <w:rsid w:val="004151FA"/>
    <w:rsid w:val="0041592C"/>
    <w:rsid w:val="00415A87"/>
    <w:rsid w:val="00415ED4"/>
    <w:rsid w:val="00415FA5"/>
    <w:rsid w:val="00416193"/>
    <w:rsid w:val="00416202"/>
    <w:rsid w:val="00416FB3"/>
    <w:rsid w:val="00417144"/>
    <w:rsid w:val="004174B0"/>
    <w:rsid w:val="00417945"/>
    <w:rsid w:val="00417BED"/>
    <w:rsid w:val="00420198"/>
    <w:rsid w:val="0042024B"/>
    <w:rsid w:val="004202FA"/>
    <w:rsid w:val="00420676"/>
    <w:rsid w:val="00420806"/>
    <w:rsid w:val="004209ED"/>
    <w:rsid w:val="00420C37"/>
    <w:rsid w:val="00420F74"/>
    <w:rsid w:val="004216DE"/>
    <w:rsid w:val="0042179C"/>
    <w:rsid w:val="00421871"/>
    <w:rsid w:val="004219D1"/>
    <w:rsid w:val="00422590"/>
    <w:rsid w:val="004228CF"/>
    <w:rsid w:val="00422B4D"/>
    <w:rsid w:val="00422D27"/>
    <w:rsid w:val="00422DC6"/>
    <w:rsid w:val="004234EE"/>
    <w:rsid w:val="004237BA"/>
    <w:rsid w:val="00424112"/>
    <w:rsid w:val="00424454"/>
    <w:rsid w:val="004247B2"/>
    <w:rsid w:val="00425762"/>
    <w:rsid w:val="004266C3"/>
    <w:rsid w:val="00426DF2"/>
    <w:rsid w:val="00426DF3"/>
    <w:rsid w:val="00426DFB"/>
    <w:rsid w:val="00426E86"/>
    <w:rsid w:val="0042748F"/>
    <w:rsid w:val="00427C48"/>
    <w:rsid w:val="00430275"/>
    <w:rsid w:val="004307D4"/>
    <w:rsid w:val="00430B52"/>
    <w:rsid w:val="00430BDE"/>
    <w:rsid w:val="00430DF9"/>
    <w:rsid w:val="004312EC"/>
    <w:rsid w:val="00431CCE"/>
    <w:rsid w:val="0043271D"/>
    <w:rsid w:val="004328F2"/>
    <w:rsid w:val="004329F9"/>
    <w:rsid w:val="00432A9A"/>
    <w:rsid w:val="004332AB"/>
    <w:rsid w:val="004336CE"/>
    <w:rsid w:val="004337C3"/>
    <w:rsid w:val="00433978"/>
    <w:rsid w:val="00433A77"/>
    <w:rsid w:val="004340D9"/>
    <w:rsid w:val="0043462F"/>
    <w:rsid w:val="0043486E"/>
    <w:rsid w:val="004349A8"/>
    <w:rsid w:val="00434CE3"/>
    <w:rsid w:val="00434D28"/>
    <w:rsid w:val="004359B4"/>
    <w:rsid w:val="00435C1E"/>
    <w:rsid w:val="00435D29"/>
    <w:rsid w:val="004362BD"/>
    <w:rsid w:val="004364A7"/>
    <w:rsid w:val="00436A9B"/>
    <w:rsid w:val="00436D0B"/>
    <w:rsid w:val="00436D68"/>
    <w:rsid w:val="004371D6"/>
    <w:rsid w:val="004377C4"/>
    <w:rsid w:val="004402B6"/>
    <w:rsid w:val="0044055C"/>
    <w:rsid w:val="00441633"/>
    <w:rsid w:val="004424DB"/>
    <w:rsid w:val="004433E3"/>
    <w:rsid w:val="004438A0"/>
    <w:rsid w:val="00443B80"/>
    <w:rsid w:val="00443E1D"/>
    <w:rsid w:val="004440A6"/>
    <w:rsid w:val="004448B2"/>
    <w:rsid w:val="00444BE0"/>
    <w:rsid w:val="00444DBF"/>
    <w:rsid w:val="00444F4D"/>
    <w:rsid w:val="004453A0"/>
    <w:rsid w:val="0044558B"/>
    <w:rsid w:val="00445772"/>
    <w:rsid w:val="00445880"/>
    <w:rsid w:val="00445DED"/>
    <w:rsid w:val="0044603E"/>
    <w:rsid w:val="00446317"/>
    <w:rsid w:val="00446423"/>
    <w:rsid w:val="00446449"/>
    <w:rsid w:val="00446685"/>
    <w:rsid w:val="00446727"/>
    <w:rsid w:val="00446845"/>
    <w:rsid w:val="00447492"/>
    <w:rsid w:val="004477C6"/>
    <w:rsid w:val="0044785D"/>
    <w:rsid w:val="004478F3"/>
    <w:rsid w:val="00447AB7"/>
    <w:rsid w:val="00447CC8"/>
    <w:rsid w:val="00450313"/>
    <w:rsid w:val="00450628"/>
    <w:rsid w:val="004509BF"/>
    <w:rsid w:val="004515E9"/>
    <w:rsid w:val="0045189C"/>
    <w:rsid w:val="00451E08"/>
    <w:rsid w:val="00452446"/>
    <w:rsid w:val="00452ABF"/>
    <w:rsid w:val="00452D5F"/>
    <w:rsid w:val="00453212"/>
    <w:rsid w:val="004536F2"/>
    <w:rsid w:val="00453905"/>
    <w:rsid w:val="004539AA"/>
    <w:rsid w:val="00453C58"/>
    <w:rsid w:val="00453F0C"/>
    <w:rsid w:val="004543F4"/>
    <w:rsid w:val="00454530"/>
    <w:rsid w:val="00454680"/>
    <w:rsid w:val="00454D9E"/>
    <w:rsid w:val="00454F9A"/>
    <w:rsid w:val="00454FC6"/>
    <w:rsid w:val="00455CD8"/>
    <w:rsid w:val="00455F39"/>
    <w:rsid w:val="00455FC1"/>
    <w:rsid w:val="0045627F"/>
    <w:rsid w:val="00456D84"/>
    <w:rsid w:val="00456F14"/>
    <w:rsid w:val="0045753D"/>
    <w:rsid w:val="004576F1"/>
    <w:rsid w:val="00457AC5"/>
    <w:rsid w:val="00457E6F"/>
    <w:rsid w:val="00457EE6"/>
    <w:rsid w:val="00460172"/>
    <w:rsid w:val="004603AA"/>
    <w:rsid w:val="00460632"/>
    <w:rsid w:val="004608AA"/>
    <w:rsid w:val="00460ABA"/>
    <w:rsid w:val="00461106"/>
    <w:rsid w:val="0046187A"/>
    <w:rsid w:val="004625F3"/>
    <w:rsid w:val="00462701"/>
    <w:rsid w:val="00462BAC"/>
    <w:rsid w:val="00462D15"/>
    <w:rsid w:val="0046398E"/>
    <w:rsid w:val="00463A95"/>
    <w:rsid w:val="00463FF0"/>
    <w:rsid w:val="004640C8"/>
    <w:rsid w:val="00464404"/>
    <w:rsid w:val="004647C7"/>
    <w:rsid w:val="004647E5"/>
    <w:rsid w:val="004648E0"/>
    <w:rsid w:val="00464A6C"/>
    <w:rsid w:val="0046572A"/>
    <w:rsid w:val="00465CD0"/>
    <w:rsid w:val="00465D71"/>
    <w:rsid w:val="004665C6"/>
    <w:rsid w:val="00467785"/>
    <w:rsid w:val="00467954"/>
    <w:rsid w:val="00467A49"/>
    <w:rsid w:val="00467BD1"/>
    <w:rsid w:val="00470968"/>
    <w:rsid w:val="0047117F"/>
    <w:rsid w:val="00471203"/>
    <w:rsid w:val="004712F4"/>
    <w:rsid w:val="0047175B"/>
    <w:rsid w:val="00471EE4"/>
    <w:rsid w:val="00472170"/>
    <w:rsid w:val="0047270C"/>
    <w:rsid w:val="0047270D"/>
    <w:rsid w:val="00472C4A"/>
    <w:rsid w:val="00472F3C"/>
    <w:rsid w:val="00473038"/>
    <w:rsid w:val="00473095"/>
    <w:rsid w:val="00473482"/>
    <w:rsid w:val="00473595"/>
    <w:rsid w:val="0047386D"/>
    <w:rsid w:val="00473933"/>
    <w:rsid w:val="00474A3A"/>
    <w:rsid w:val="00474B52"/>
    <w:rsid w:val="00474F23"/>
    <w:rsid w:val="00475663"/>
    <w:rsid w:val="00475F47"/>
    <w:rsid w:val="00477266"/>
    <w:rsid w:val="00477273"/>
    <w:rsid w:val="0047762E"/>
    <w:rsid w:val="0047783E"/>
    <w:rsid w:val="00477C8B"/>
    <w:rsid w:val="00480259"/>
    <w:rsid w:val="0048080C"/>
    <w:rsid w:val="0048096A"/>
    <w:rsid w:val="00480A36"/>
    <w:rsid w:val="004812B9"/>
    <w:rsid w:val="00481670"/>
    <w:rsid w:val="00481CB4"/>
    <w:rsid w:val="004822FB"/>
    <w:rsid w:val="00482C64"/>
    <w:rsid w:val="00483147"/>
    <w:rsid w:val="00483180"/>
    <w:rsid w:val="00483A62"/>
    <w:rsid w:val="00483D2B"/>
    <w:rsid w:val="0048476F"/>
    <w:rsid w:val="004852C2"/>
    <w:rsid w:val="004853DC"/>
    <w:rsid w:val="004854A9"/>
    <w:rsid w:val="00485553"/>
    <w:rsid w:val="004855D7"/>
    <w:rsid w:val="0048562F"/>
    <w:rsid w:val="00485930"/>
    <w:rsid w:val="0048594F"/>
    <w:rsid w:val="0048598F"/>
    <w:rsid w:val="00485B22"/>
    <w:rsid w:val="00485D62"/>
    <w:rsid w:val="00487482"/>
    <w:rsid w:val="00487501"/>
    <w:rsid w:val="0048783C"/>
    <w:rsid w:val="00487893"/>
    <w:rsid w:val="00487E59"/>
    <w:rsid w:val="0049006F"/>
    <w:rsid w:val="004903D5"/>
    <w:rsid w:val="004904B6"/>
    <w:rsid w:val="00490A29"/>
    <w:rsid w:val="00490C0D"/>
    <w:rsid w:val="00490D89"/>
    <w:rsid w:val="00490DCB"/>
    <w:rsid w:val="00490E8D"/>
    <w:rsid w:val="00490FC4"/>
    <w:rsid w:val="004918DA"/>
    <w:rsid w:val="00491BDC"/>
    <w:rsid w:val="00492172"/>
    <w:rsid w:val="004921C0"/>
    <w:rsid w:val="0049229F"/>
    <w:rsid w:val="0049255C"/>
    <w:rsid w:val="00492D02"/>
    <w:rsid w:val="00493575"/>
    <w:rsid w:val="0049391C"/>
    <w:rsid w:val="00493FB8"/>
    <w:rsid w:val="00494051"/>
    <w:rsid w:val="004940FC"/>
    <w:rsid w:val="004945D9"/>
    <w:rsid w:val="0049492F"/>
    <w:rsid w:val="00495348"/>
    <w:rsid w:val="004958FF"/>
    <w:rsid w:val="00495B4B"/>
    <w:rsid w:val="00496833"/>
    <w:rsid w:val="00496A27"/>
    <w:rsid w:val="00496C33"/>
    <w:rsid w:val="00496F35"/>
    <w:rsid w:val="00497386"/>
    <w:rsid w:val="00497562"/>
    <w:rsid w:val="004978AC"/>
    <w:rsid w:val="00497E37"/>
    <w:rsid w:val="00497E92"/>
    <w:rsid w:val="004A08DC"/>
    <w:rsid w:val="004A0BC0"/>
    <w:rsid w:val="004A0C9E"/>
    <w:rsid w:val="004A0E41"/>
    <w:rsid w:val="004A102B"/>
    <w:rsid w:val="004A10A4"/>
    <w:rsid w:val="004A1182"/>
    <w:rsid w:val="004A164B"/>
    <w:rsid w:val="004A19CC"/>
    <w:rsid w:val="004A23E7"/>
    <w:rsid w:val="004A26B0"/>
    <w:rsid w:val="004A2910"/>
    <w:rsid w:val="004A297C"/>
    <w:rsid w:val="004A2B2A"/>
    <w:rsid w:val="004A2C2B"/>
    <w:rsid w:val="004A2C35"/>
    <w:rsid w:val="004A2FAD"/>
    <w:rsid w:val="004A3176"/>
    <w:rsid w:val="004A384E"/>
    <w:rsid w:val="004A3B17"/>
    <w:rsid w:val="004A3C9F"/>
    <w:rsid w:val="004A3CE2"/>
    <w:rsid w:val="004A410C"/>
    <w:rsid w:val="004A4245"/>
    <w:rsid w:val="004A4A8F"/>
    <w:rsid w:val="004A5F5B"/>
    <w:rsid w:val="004A653A"/>
    <w:rsid w:val="004A6567"/>
    <w:rsid w:val="004A6EFC"/>
    <w:rsid w:val="004A7865"/>
    <w:rsid w:val="004A788D"/>
    <w:rsid w:val="004A7893"/>
    <w:rsid w:val="004A79FB"/>
    <w:rsid w:val="004A7D3A"/>
    <w:rsid w:val="004B00A1"/>
    <w:rsid w:val="004B06B9"/>
    <w:rsid w:val="004B08A9"/>
    <w:rsid w:val="004B0C56"/>
    <w:rsid w:val="004B0C6E"/>
    <w:rsid w:val="004B13B5"/>
    <w:rsid w:val="004B143A"/>
    <w:rsid w:val="004B18E5"/>
    <w:rsid w:val="004B1B93"/>
    <w:rsid w:val="004B2DB9"/>
    <w:rsid w:val="004B2FEB"/>
    <w:rsid w:val="004B3217"/>
    <w:rsid w:val="004B324E"/>
    <w:rsid w:val="004B33ED"/>
    <w:rsid w:val="004B350F"/>
    <w:rsid w:val="004B372D"/>
    <w:rsid w:val="004B3F5B"/>
    <w:rsid w:val="004B443E"/>
    <w:rsid w:val="004B497F"/>
    <w:rsid w:val="004B4C4B"/>
    <w:rsid w:val="004B4CD4"/>
    <w:rsid w:val="004B5058"/>
    <w:rsid w:val="004B5332"/>
    <w:rsid w:val="004B567A"/>
    <w:rsid w:val="004B5E43"/>
    <w:rsid w:val="004B677B"/>
    <w:rsid w:val="004B6E83"/>
    <w:rsid w:val="004B7844"/>
    <w:rsid w:val="004B78F9"/>
    <w:rsid w:val="004B7DF9"/>
    <w:rsid w:val="004C0144"/>
    <w:rsid w:val="004C049A"/>
    <w:rsid w:val="004C054C"/>
    <w:rsid w:val="004C0A66"/>
    <w:rsid w:val="004C0F54"/>
    <w:rsid w:val="004C1327"/>
    <w:rsid w:val="004C145D"/>
    <w:rsid w:val="004C15F9"/>
    <w:rsid w:val="004C17CC"/>
    <w:rsid w:val="004C1E46"/>
    <w:rsid w:val="004C2028"/>
    <w:rsid w:val="004C21A7"/>
    <w:rsid w:val="004C21CA"/>
    <w:rsid w:val="004C2B15"/>
    <w:rsid w:val="004C2B17"/>
    <w:rsid w:val="004C339E"/>
    <w:rsid w:val="004C33CC"/>
    <w:rsid w:val="004C36E7"/>
    <w:rsid w:val="004C4859"/>
    <w:rsid w:val="004C4BD4"/>
    <w:rsid w:val="004C574B"/>
    <w:rsid w:val="004C5B82"/>
    <w:rsid w:val="004C5D0F"/>
    <w:rsid w:val="004C5D86"/>
    <w:rsid w:val="004C6078"/>
    <w:rsid w:val="004C6151"/>
    <w:rsid w:val="004C621D"/>
    <w:rsid w:val="004C6302"/>
    <w:rsid w:val="004C6378"/>
    <w:rsid w:val="004C66B0"/>
    <w:rsid w:val="004C6AC4"/>
    <w:rsid w:val="004C6D34"/>
    <w:rsid w:val="004C701A"/>
    <w:rsid w:val="004C7425"/>
    <w:rsid w:val="004C75D3"/>
    <w:rsid w:val="004C7918"/>
    <w:rsid w:val="004D0019"/>
    <w:rsid w:val="004D0938"/>
    <w:rsid w:val="004D09B1"/>
    <w:rsid w:val="004D12F6"/>
    <w:rsid w:val="004D1B7F"/>
    <w:rsid w:val="004D1C76"/>
    <w:rsid w:val="004D2ED1"/>
    <w:rsid w:val="004D30BE"/>
    <w:rsid w:val="004D3874"/>
    <w:rsid w:val="004D39BA"/>
    <w:rsid w:val="004D40F0"/>
    <w:rsid w:val="004D41FD"/>
    <w:rsid w:val="004D44C7"/>
    <w:rsid w:val="004D4C49"/>
    <w:rsid w:val="004D4FEC"/>
    <w:rsid w:val="004D51FC"/>
    <w:rsid w:val="004D5964"/>
    <w:rsid w:val="004D5B8F"/>
    <w:rsid w:val="004D5E4C"/>
    <w:rsid w:val="004D5E4E"/>
    <w:rsid w:val="004D5EFC"/>
    <w:rsid w:val="004D6038"/>
    <w:rsid w:val="004D603D"/>
    <w:rsid w:val="004D69FB"/>
    <w:rsid w:val="004D7510"/>
    <w:rsid w:val="004D7895"/>
    <w:rsid w:val="004D7E1F"/>
    <w:rsid w:val="004E04A7"/>
    <w:rsid w:val="004E1167"/>
    <w:rsid w:val="004E1184"/>
    <w:rsid w:val="004E11BF"/>
    <w:rsid w:val="004E1401"/>
    <w:rsid w:val="004E19C9"/>
    <w:rsid w:val="004E1BA6"/>
    <w:rsid w:val="004E1BDC"/>
    <w:rsid w:val="004E1D04"/>
    <w:rsid w:val="004E1EBC"/>
    <w:rsid w:val="004E2317"/>
    <w:rsid w:val="004E270C"/>
    <w:rsid w:val="004E2ADD"/>
    <w:rsid w:val="004E3124"/>
    <w:rsid w:val="004E33D8"/>
    <w:rsid w:val="004E34F5"/>
    <w:rsid w:val="004E3B16"/>
    <w:rsid w:val="004E3FA7"/>
    <w:rsid w:val="004E41B9"/>
    <w:rsid w:val="004E42DB"/>
    <w:rsid w:val="004E4470"/>
    <w:rsid w:val="004E4DB2"/>
    <w:rsid w:val="004E4FE7"/>
    <w:rsid w:val="004E5242"/>
    <w:rsid w:val="004E5278"/>
    <w:rsid w:val="004E5761"/>
    <w:rsid w:val="004E5EF2"/>
    <w:rsid w:val="004E682D"/>
    <w:rsid w:val="004E6928"/>
    <w:rsid w:val="004E69EC"/>
    <w:rsid w:val="004E6AB1"/>
    <w:rsid w:val="004E6C11"/>
    <w:rsid w:val="004E6EFB"/>
    <w:rsid w:val="004E6FF7"/>
    <w:rsid w:val="004E79BF"/>
    <w:rsid w:val="004F0014"/>
    <w:rsid w:val="004F00BD"/>
    <w:rsid w:val="004F03D1"/>
    <w:rsid w:val="004F08FE"/>
    <w:rsid w:val="004F1156"/>
    <w:rsid w:val="004F1233"/>
    <w:rsid w:val="004F1A65"/>
    <w:rsid w:val="004F1CC9"/>
    <w:rsid w:val="004F261D"/>
    <w:rsid w:val="004F265F"/>
    <w:rsid w:val="004F2782"/>
    <w:rsid w:val="004F27BE"/>
    <w:rsid w:val="004F29C2"/>
    <w:rsid w:val="004F2BA3"/>
    <w:rsid w:val="004F3819"/>
    <w:rsid w:val="004F3863"/>
    <w:rsid w:val="004F3966"/>
    <w:rsid w:val="004F450A"/>
    <w:rsid w:val="004F4718"/>
    <w:rsid w:val="004F474F"/>
    <w:rsid w:val="004F4A00"/>
    <w:rsid w:val="004F4F1D"/>
    <w:rsid w:val="004F520A"/>
    <w:rsid w:val="004F53FF"/>
    <w:rsid w:val="004F54CC"/>
    <w:rsid w:val="004F5947"/>
    <w:rsid w:val="004F5D84"/>
    <w:rsid w:val="004F643F"/>
    <w:rsid w:val="004F6655"/>
    <w:rsid w:val="004F671B"/>
    <w:rsid w:val="004F671D"/>
    <w:rsid w:val="004F77C7"/>
    <w:rsid w:val="004F7927"/>
    <w:rsid w:val="005004A9"/>
    <w:rsid w:val="005004D8"/>
    <w:rsid w:val="00500E38"/>
    <w:rsid w:val="00500EC9"/>
    <w:rsid w:val="005012CB"/>
    <w:rsid w:val="00501AD1"/>
    <w:rsid w:val="00501D0D"/>
    <w:rsid w:val="00502282"/>
    <w:rsid w:val="00502778"/>
    <w:rsid w:val="00502FEE"/>
    <w:rsid w:val="00503007"/>
    <w:rsid w:val="00503319"/>
    <w:rsid w:val="0050359F"/>
    <w:rsid w:val="00503E92"/>
    <w:rsid w:val="005045A0"/>
    <w:rsid w:val="005055BF"/>
    <w:rsid w:val="00505628"/>
    <w:rsid w:val="00505F6B"/>
    <w:rsid w:val="00506162"/>
    <w:rsid w:val="00506375"/>
    <w:rsid w:val="00506A4C"/>
    <w:rsid w:val="005101C4"/>
    <w:rsid w:val="00510681"/>
    <w:rsid w:val="0051076A"/>
    <w:rsid w:val="005109CF"/>
    <w:rsid w:val="00510D5E"/>
    <w:rsid w:val="00510F23"/>
    <w:rsid w:val="0051103A"/>
    <w:rsid w:val="00511787"/>
    <w:rsid w:val="00511AAE"/>
    <w:rsid w:val="00511B6A"/>
    <w:rsid w:val="00513412"/>
    <w:rsid w:val="00513487"/>
    <w:rsid w:val="0051374B"/>
    <w:rsid w:val="005139A7"/>
    <w:rsid w:val="005141C8"/>
    <w:rsid w:val="005143BF"/>
    <w:rsid w:val="00514488"/>
    <w:rsid w:val="0051468C"/>
    <w:rsid w:val="0051504E"/>
    <w:rsid w:val="0051525B"/>
    <w:rsid w:val="00515408"/>
    <w:rsid w:val="00515D49"/>
    <w:rsid w:val="00516062"/>
    <w:rsid w:val="00516507"/>
    <w:rsid w:val="00517740"/>
    <w:rsid w:val="005177B0"/>
    <w:rsid w:val="00517B44"/>
    <w:rsid w:val="00517BCC"/>
    <w:rsid w:val="00517C79"/>
    <w:rsid w:val="00517EA8"/>
    <w:rsid w:val="0052015F"/>
    <w:rsid w:val="00520166"/>
    <w:rsid w:val="00520619"/>
    <w:rsid w:val="005208C1"/>
    <w:rsid w:val="005208CD"/>
    <w:rsid w:val="005209F0"/>
    <w:rsid w:val="00520A03"/>
    <w:rsid w:val="005214A9"/>
    <w:rsid w:val="005214E7"/>
    <w:rsid w:val="00521AC3"/>
    <w:rsid w:val="00521BDF"/>
    <w:rsid w:val="0052251F"/>
    <w:rsid w:val="00522AA5"/>
    <w:rsid w:val="0052369D"/>
    <w:rsid w:val="00523A56"/>
    <w:rsid w:val="00524041"/>
    <w:rsid w:val="00524112"/>
    <w:rsid w:val="0052454E"/>
    <w:rsid w:val="00524676"/>
    <w:rsid w:val="00524BED"/>
    <w:rsid w:val="00525155"/>
    <w:rsid w:val="00525537"/>
    <w:rsid w:val="005255F7"/>
    <w:rsid w:val="00525D3F"/>
    <w:rsid w:val="0052641B"/>
    <w:rsid w:val="005267CE"/>
    <w:rsid w:val="00526D99"/>
    <w:rsid w:val="00527AB0"/>
    <w:rsid w:val="00527D9F"/>
    <w:rsid w:val="00527DB7"/>
    <w:rsid w:val="00527E33"/>
    <w:rsid w:val="005304C9"/>
    <w:rsid w:val="005306B8"/>
    <w:rsid w:val="0053097E"/>
    <w:rsid w:val="00531110"/>
    <w:rsid w:val="00531686"/>
    <w:rsid w:val="005316F4"/>
    <w:rsid w:val="00531A73"/>
    <w:rsid w:val="00531AAD"/>
    <w:rsid w:val="00531D80"/>
    <w:rsid w:val="00531F64"/>
    <w:rsid w:val="0053243B"/>
    <w:rsid w:val="00532C79"/>
    <w:rsid w:val="00532CE5"/>
    <w:rsid w:val="00532E4C"/>
    <w:rsid w:val="00532ED6"/>
    <w:rsid w:val="0053324C"/>
    <w:rsid w:val="00533505"/>
    <w:rsid w:val="00534366"/>
    <w:rsid w:val="00534660"/>
    <w:rsid w:val="0053484F"/>
    <w:rsid w:val="0053519D"/>
    <w:rsid w:val="00535215"/>
    <w:rsid w:val="00535245"/>
    <w:rsid w:val="00535666"/>
    <w:rsid w:val="005356EC"/>
    <w:rsid w:val="00535A23"/>
    <w:rsid w:val="00535E22"/>
    <w:rsid w:val="0053689F"/>
    <w:rsid w:val="00536C74"/>
    <w:rsid w:val="00536DF1"/>
    <w:rsid w:val="00537354"/>
    <w:rsid w:val="005376E5"/>
    <w:rsid w:val="00537BA3"/>
    <w:rsid w:val="00537BD8"/>
    <w:rsid w:val="00537CEC"/>
    <w:rsid w:val="00540040"/>
    <w:rsid w:val="00540689"/>
    <w:rsid w:val="00540975"/>
    <w:rsid w:val="00542004"/>
    <w:rsid w:val="0054266C"/>
    <w:rsid w:val="005426A1"/>
    <w:rsid w:val="0054319D"/>
    <w:rsid w:val="0054357D"/>
    <w:rsid w:val="0054360D"/>
    <w:rsid w:val="005438A8"/>
    <w:rsid w:val="00543A39"/>
    <w:rsid w:val="00543B62"/>
    <w:rsid w:val="00543BB5"/>
    <w:rsid w:val="005440BD"/>
    <w:rsid w:val="0054448C"/>
    <w:rsid w:val="0054470D"/>
    <w:rsid w:val="0054506F"/>
    <w:rsid w:val="0054532A"/>
    <w:rsid w:val="00545910"/>
    <w:rsid w:val="00545AC9"/>
    <w:rsid w:val="00545AF9"/>
    <w:rsid w:val="00545D94"/>
    <w:rsid w:val="005464AD"/>
    <w:rsid w:val="0054696A"/>
    <w:rsid w:val="00546B3B"/>
    <w:rsid w:val="00546E24"/>
    <w:rsid w:val="00547048"/>
    <w:rsid w:val="00547342"/>
    <w:rsid w:val="00547C9D"/>
    <w:rsid w:val="00547FC2"/>
    <w:rsid w:val="005507FD"/>
    <w:rsid w:val="00550A18"/>
    <w:rsid w:val="00550C88"/>
    <w:rsid w:val="00550D4C"/>
    <w:rsid w:val="00551028"/>
    <w:rsid w:val="0055182C"/>
    <w:rsid w:val="00551AF0"/>
    <w:rsid w:val="00552048"/>
    <w:rsid w:val="00552620"/>
    <w:rsid w:val="00552F00"/>
    <w:rsid w:val="0055383A"/>
    <w:rsid w:val="00553A39"/>
    <w:rsid w:val="00553A86"/>
    <w:rsid w:val="00554018"/>
    <w:rsid w:val="005540FF"/>
    <w:rsid w:val="0055413E"/>
    <w:rsid w:val="00554A98"/>
    <w:rsid w:val="00554FD6"/>
    <w:rsid w:val="00555061"/>
    <w:rsid w:val="005550CF"/>
    <w:rsid w:val="00555211"/>
    <w:rsid w:val="0055539A"/>
    <w:rsid w:val="005558C2"/>
    <w:rsid w:val="00555A8C"/>
    <w:rsid w:val="00555D5F"/>
    <w:rsid w:val="00555DEB"/>
    <w:rsid w:val="00555E89"/>
    <w:rsid w:val="00555F76"/>
    <w:rsid w:val="005563AD"/>
    <w:rsid w:val="005563EA"/>
    <w:rsid w:val="0055646F"/>
    <w:rsid w:val="00556C37"/>
    <w:rsid w:val="00556CA5"/>
    <w:rsid w:val="00556ECA"/>
    <w:rsid w:val="00557256"/>
    <w:rsid w:val="00557A55"/>
    <w:rsid w:val="00560872"/>
    <w:rsid w:val="0056093C"/>
    <w:rsid w:val="005609E3"/>
    <w:rsid w:val="00560AB3"/>
    <w:rsid w:val="005610A7"/>
    <w:rsid w:val="005612B9"/>
    <w:rsid w:val="005618CA"/>
    <w:rsid w:val="00561FFA"/>
    <w:rsid w:val="00562F23"/>
    <w:rsid w:val="00562FA6"/>
    <w:rsid w:val="0056345B"/>
    <w:rsid w:val="0056350D"/>
    <w:rsid w:val="00563548"/>
    <w:rsid w:val="00563629"/>
    <w:rsid w:val="00563A11"/>
    <w:rsid w:val="00563CE7"/>
    <w:rsid w:val="005647ED"/>
    <w:rsid w:val="005650D4"/>
    <w:rsid w:val="0056571F"/>
    <w:rsid w:val="00565B1E"/>
    <w:rsid w:val="00565DCF"/>
    <w:rsid w:val="00565DE6"/>
    <w:rsid w:val="005660EB"/>
    <w:rsid w:val="005661D4"/>
    <w:rsid w:val="0056686A"/>
    <w:rsid w:val="0056688C"/>
    <w:rsid w:val="00566F19"/>
    <w:rsid w:val="0056712C"/>
    <w:rsid w:val="00567191"/>
    <w:rsid w:val="005673C8"/>
    <w:rsid w:val="00567AA9"/>
    <w:rsid w:val="00567CAE"/>
    <w:rsid w:val="00567EE1"/>
    <w:rsid w:val="00570195"/>
    <w:rsid w:val="00570219"/>
    <w:rsid w:val="00570870"/>
    <w:rsid w:val="00570928"/>
    <w:rsid w:val="00570A6D"/>
    <w:rsid w:val="00570B26"/>
    <w:rsid w:val="00570C57"/>
    <w:rsid w:val="0057188F"/>
    <w:rsid w:val="00571E5F"/>
    <w:rsid w:val="00572A1C"/>
    <w:rsid w:val="00572BF3"/>
    <w:rsid w:val="0057301E"/>
    <w:rsid w:val="00573251"/>
    <w:rsid w:val="00573646"/>
    <w:rsid w:val="0057391C"/>
    <w:rsid w:val="00573A33"/>
    <w:rsid w:val="00573C2A"/>
    <w:rsid w:val="00573E0C"/>
    <w:rsid w:val="00573F94"/>
    <w:rsid w:val="0057428B"/>
    <w:rsid w:val="005742B8"/>
    <w:rsid w:val="00574430"/>
    <w:rsid w:val="00574B93"/>
    <w:rsid w:val="00574F15"/>
    <w:rsid w:val="0057546A"/>
    <w:rsid w:val="0057554D"/>
    <w:rsid w:val="0057623D"/>
    <w:rsid w:val="00576709"/>
    <w:rsid w:val="00576FB1"/>
    <w:rsid w:val="00577AC8"/>
    <w:rsid w:val="00577DF8"/>
    <w:rsid w:val="00580019"/>
    <w:rsid w:val="00580419"/>
    <w:rsid w:val="0058051F"/>
    <w:rsid w:val="005808E8"/>
    <w:rsid w:val="00580E06"/>
    <w:rsid w:val="00581005"/>
    <w:rsid w:val="005810F6"/>
    <w:rsid w:val="00581280"/>
    <w:rsid w:val="00581361"/>
    <w:rsid w:val="005818D5"/>
    <w:rsid w:val="00581EB8"/>
    <w:rsid w:val="005822E3"/>
    <w:rsid w:val="005824F0"/>
    <w:rsid w:val="00582835"/>
    <w:rsid w:val="00582A5E"/>
    <w:rsid w:val="00583373"/>
    <w:rsid w:val="005837D0"/>
    <w:rsid w:val="005837DE"/>
    <w:rsid w:val="00583E9C"/>
    <w:rsid w:val="00583EB5"/>
    <w:rsid w:val="00583F5A"/>
    <w:rsid w:val="005846F0"/>
    <w:rsid w:val="0058486F"/>
    <w:rsid w:val="00584A64"/>
    <w:rsid w:val="00584AFE"/>
    <w:rsid w:val="00584CDB"/>
    <w:rsid w:val="00584F8B"/>
    <w:rsid w:val="0058536C"/>
    <w:rsid w:val="00585396"/>
    <w:rsid w:val="00585434"/>
    <w:rsid w:val="00585A45"/>
    <w:rsid w:val="00585A68"/>
    <w:rsid w:val="00585DB7"/>
    <w:rsid w:val="00585F7F"/>
    <w:rsid w:val="005861E3"/>
    <w:rsid w:val="005864DF"/>
    <w:rsid w:val="00586652"/>
    <w:rsid w:val="00586C95"/>
    <w:rsid w:val="00586DFA"/>
    <w:rsid w:val="00586EDD"/>
    <w:rsid w:val="00587085"/>
    <w:rsid w:val="00587291"/>
    <w:rsid w:val="0058732B"/>
    <w:rsid w:val="005875B7"/>
    <w:rsid w:val="0058780A"/>
    <w:rsid w:val="0058786B"/>
    <w:rsid w:val="005878C3"/>
    <w:rsid w:val="00587960"/>
    <w:rsid w:val="00587D4C"/>
    <w:rsid w:val="0059018D"/>
    <w:rsid w:val="005907C7"/>
    <w:rsid w:val="005910E6"/>
    <w:rsid w:val="0059129F"/>
    <w:rsid w:val="005916DC"/>
    <w:rsid w:val="00591733"/>
    <w:rsid w:val="00591863"/>
    <w:rsid w:val="00591C89"/>
    <w:rsid w:val="005923D3"/>
    <w:rsid w:val="00592C6D"/>
    <w:rsid w:val="005931A5"/>
    <w:rsid w:val="0059369B"/>
    <w:rsid w:val="00593BA7"/>
    <w:rsid w:val="00593C43"/>
    <w:rsid w:val="00593C74"/>
    <w:rsid w:val="00593DE5"/>
    <w:rsid w:val="00594045"/>
    <w:rsid w:val="0059426E"/>
    <w:rsid w:val="00594345"/>
    <w:rsid w:val="005945F9"/>
    <w:rsid w:val="00594669"/>
    <w:rsid w:val="00594934"/>
    <w:rsid w:val="00594939"/>
    <w:rsid w:val="00594CBF"/>
    <w:rsid w:val="00595C9C"/>
    <w:rsid w:val="00595DD4"/>
    <w:rsid w:val="0059667E"/>
    <w:rsid w:val="00596954"/>
    <w:rsid w:val="00596A03"/>
    <w:rsid w:val="00596C18"/>
    <w:rsid w:val="005973FF"/>
    <w:rsid w:val="005976C2"/>
    <w:rsid w:val="00597774"/>
    <w:rsid w:val="00597AE9"/>
    <w:rsid w:val="00597CE8"/>
    <w:rsid w:val="00597E28"/>
    <w:rsid w:val="005A05F5"/>
    <w:rsid w:val="005A06BF"/>
    <w:rsid w:val="005A078A"/>
    <w:rsid w:val="005A0F0A"/>
    <w:rsid w:val="005A0F64"/>
    <w:rsid w:val="005A1153"/>
    <w:rsid w:val="005A115E"/>
    <w:rsid w:val="005A11F1"/>
    <w:rsid w:val="005A11FB"/>
    <w:rsid w:val="005A1273"/>
    <w:rsid w:val="005A12A2"/>
    <w:rsid w:val="005A1468"/>
    <w:rsid w:val="005A157C"/>
    <w:rsid w:val="005A1ACD"/>
    <w:rsid w:val="005A2003"/>
    <w:rsid w:val="005A2216"/>
    <w:rsid w:val="005A25A8"/>
    <w:rsid w:val="005A2716"/>
    <w:rsid w:val="005A2AB7"/>
    <w:rsid w:val="005A363A"/>
    <w:rsid w:val="005A38FD"/>
    <w:rsid w:val="005A3BE2"/>
    <w:rsid w:val="005A3D48"/>
    <w:rsid w:val="005A3DA4"/>
    <w:rsid w:val="005A437C"/>
    <w:rsid w:val="005A4711"/>
    <w:rsid w:val="005A4998"/>
    <w:rsid w:val="005A4BA0"/>
    <w:rsid w:val="005A4E10"/>
    <w:rsid w:val="005A53A8"/>
    <w:rsid w:val="005A5757"/>
    <w:rsid w:val="005A5B4E"/>
    <w:rsid w:val="005A5D1E"/>
    <w:rsid w:val="005A63E3"/>
    <w:rsid w:val="005A692D"/>
    <w:rsid w:val="005A69D7"/>
    <w:rsid w:val="005A6D6E"/>
    <w:rsid w:val="005A6D81"/>
    <w:rsid w:val="005A7043"/>
    <w:rsid w:val="005A76E1"/>
    <w:rsid w:val="005A77D8"/>
    <w:rsid w:val="005A7D65"/>
    <w:rsid w:val="005B0143"/>
    <w:rsid w:val="005B01D7"/>
    <w:rsid w:val="005B023D"/>
    <w:rsid w:val="005B0826"/>
    <w:rsid w:val="005B0AA2"/>
    <w:rsid w:val="005B0D86"/>
    <w:rsid w:val="005B0E9B"/>
    <w:rsid w:val="005B137D"/>
    <w:rsid w:val="005B1A24"/>
    <w:rsid w:val="005B1D09"/>
    <w:rsid w:val="005B1D62"/>
    <w:rsid w:val="005B1D6E"/>
    <w:rsid w:val="005B1FEA"/>
    <w:rsid w:val="005B2458"/>
    <w:rsid w:val="005B25FD"/>
    <w:rsid w:val="005B274F"/>
    <w:rsid w:val="005B30D2"/>
    <w:rsid w:val="005B31E2"/>
    <w:rsid w:val="005B377B"/>
    <w:rsid w:val="005B384D"/>
    <w:rsid w:val="005B3961"/>
    <w:rsid w:val="005B41B7"/>
    <w:rsid w:val="005B438F"/>
    <w:rsid w:val="005B4393"/>
    <w:rsid w:val="005B4679"/>
    <w:rsid w:val="005B484A"/>
    <w:rsid w:val="005B4860"/>
    <w:rsid w:val="005B4C7C"/>
    <w:rsid w:val="005B4C81"/>
    <w:rsid w:val="005B5459"/>
    <w:rsid w:val="005B548A"/>
    <w:rsid w:val="005B5622"/>
    <w:rsid w:val="005B5829"/>
    <w:rsid w:val="005B5A61"/>
    <w:rsid w:val="005B6062"/>
    <w:rsid w:val="005B661F"/>
    <w:rsid w:val="005B6A18"/>
    <w:rsid w:val="005B735F"/>
    <w:rsid w:val="005B73C0"/>
    <w:rsid w:val="005B73F1"/>
    <w:rsid w:val="005B76E2"/>
    <w:rsid w:val="005C007F"/>
    <w:rsid w:val="005C17DA"/>
    <w:rsid w:val="005C19D3"/>
    <w:rsid w:val="005C1D5C"/>
    <w:rsid w:val="005C27DB"/>
    <w:rsid w:val="005C2BCC"/>
    <w:rsid w:val="005C2CD1"/>
    <w:rsid w:val="005C3320"/>
    <w:rsid w:val="005C34E8"/>
    <w:rsid w:val="005C38AE"/>
    <w:rsid w:val="005C427C"/>
    <w:rsid w:val="005C48C8"/>
    <w:rsid w:val="005C4981"/>
    <w:rsid w:val="005C4B2D"/>
    <w:rsid w:val="005C50A7"/>
    <w:rsid w:val="005C50FA"/>
    <w:rsid w:val="005C523E"/>
    <w:rsid w:val="005C5289"/>
    <w:rsid w:val="005C5ABF"/>
    <w:rsid w:val="005C5AF3"/>
    <w:rsid w:val="005C5EB1"/>
    <w:rsid w:val="005C60B2"/>
    <w:rsid w:val="005C655F"/>
    <w:rsid w:val="005C6751"/>
    <w:rsid w:val="005C67F1"/>
    <w:rsid w:val="005C6811"/>
    <w:rsid w:val="005C7256"/>
    <w:rsid w:val="005C7521"/>
    <w:rsid w:val="005C75B3"/>
    <w:rsid w:val="005C7677"/>
    <w:rsid w:val="005C79A9"/>
    <w:rsid w:val="005C7E84"/>
    <w:rsid w:val="005C7FD0"/>
    <w:rsid w:val="005D040B"/>
    <w:rsid w:val="005D06EB"/>
    <w:rsid w:val="005D0D58"/>
    <w:rsid w:val="005D12AB"/>
    <w:rsid w:val="005D1589"/>
    <w:rsid w:val="005D16AC"/>
    <w:rsid w:val="005D187E"/>
    <w:rsid w:val="005D1A00"/>
    <w:rsid w:val="005D1E72"/>
    <w:rsid w:val="005D1F7E"/>
    <w:rsid w:val="005D2767"/>
    <w:rsid w:val="005D28BC"/>
    <w:rsid w:val="005D28E0"/>
    <w:rsid w:val="005D44EF"/>
    <w:rsid w:val="005D4A83"/>
    <w:rsid w:val="005D53E3"/>
    <w:rsid w:val="005D5BAE"/>
    <w:rsid w:val="005D5EB1"/>
    <w:rsid w:val="005D6004"/>
    <w:rsid w:val="005D6429"/>
    <w:rsid w:val="005D6849"/>
    <w:rsid w:val="005D6CCD"/>
    <w:rsid w:val="005D6F9E"/>
    <w:rsid w:val="005D711B"/>
    <w:rsid w:val="005D74F6"/>
    <w:rsid w:val="005D796F"/>
    <w:rsid w:val="005D7A10"/>
    <w:rsid w:val="005E0168"/>
    <w:rsid w:val="005E067B"/>
    <w:rsid w:val="005E072A"/>
    <w:rsid w:val="005E084C"/>
    <w:rsid w:val="005E08B8"/>
    <w:rsid w:val="005E0913"/>
    <w:rsid w:val="005E0E08"/>
    <w:rsid w:val="005E1158"/>
    <w:rsid w:val="005E1262"/>
    <w:rsid w:val="005E12A8"/>
    <w:rsid w:val="005E13B3"/>
    <w:rsid w:val="005E1628"/>
    <w:rsid w:val="005E1679"/>
    <w:rsid w:val="005E1FB1"/>
    <w:rsid w:val="005E27C5"/>
    <w:rsid w:val="005E2886"/>
    <w:rsid w:val="005E2994"/>
    <w:rsid w:val="005E3030"/>
    <w:rsid w:val="005E381A"/>
    <w:rsid w:val="005E3858"/>
    <w:rsid w:val="005E39F8"/>
    <w:rsid w:val="005E4075"/>
    <w:rsid w:val="005E4EFA"/>
    <w:rsid w:val="005E4F75"/>
    <w:rsid w:val="005E5DFD"/>
    <w:rsid w:val="005E5F49"/>
    <w:rsid w:val="005E64A9"/>
    <w:rsid w:val="005E6833"/>
    <w:rsid w:val="005E687C"/>
    <w:rsid w:val="005E69A0"/>
    <w:rsid w:val="005E6A68"/>
    <w:rsid w:val="005E6DCA"/>
    <w:rsid w:val="005E718B"/>
    <w:rsid w:val="005E721D"/>
    <w:rsid w:val="005E7235"/>
    <w:rsid w:val="005E791E"/>
    <w:rsid w:val="005F0DD5"/>
    <w:rsid w:val="005F0E3C"/>
    <w:rsid w:val="005F13BB"/>
    <w:rsid w:val="005F1C21"/>
    <w:rsid w:val="005F2170"/>
    <w:rsid w:val="005F2404"/>
    <w:rsid w:val="005F256C"/>
    <w:rsid w:val="005F25E5"/>
    <w:rsid w:val="005F26F8"/>
    <w:rsid w:val="005F27D2"/>
    <w:rsid w:val="005F2930"/>
    <w:rsid w:val="005F300C"/>
    <w:rsid w:val="005F3AB8"/>
    <w:rsid w:val="005F45F3"/>
    <w:rsid w:val="005F48F1"/>
    <w:rsid w:val="005F4950"/>
    <w:rsid w:val="005F4979"/>
    <w:rsid w:val="005F4A6B"/>
    <w:rsid w:val="005F4CEE"/>
    <w:rsid w:val="005F51E3"/>
    <w:rsid w:val="005F5A25"/>
    <w:rsid w:val="005F5A88"/>
    <w:rsid w:val="005F5CDA"/>
    <w:rsid w:val="005F5E06"/>
    <w:rsid w:val="005F5E0F"/>
    <w:rsid w:val="005F5F20"/>
    <w:rsid w:val="005F61BF"/>
    <w:rsid w:val="005F63EF"/>
    <w:rsid w:val="005F67B2"/>
    <w:rsid w:val="005F67E8"/>
    <w:rsid w:val="005F681F"/>
    <w:rsid w:val="005F6821"/>
    <w:rsid w:val="005F793B"/>
    <w:rsid w:val="005F7AC5"/>
    <w:rsid w:val="005F7BAA"/>
    <w:rsid w:val="005F7CA6"/>
    <w:rsid w:val="005F7F7B"/>
    <w:rsid w:val="006007A7"/>
    <w:rsid w:val="0060118F"/>
    <w:rsid w:val="00601441"/>
    <w:rsid w:val="00601EE6"/>
    <w:rsid w:val="006027EF"/>
    <w:rsid w:val="00602BE5"/>
    <w:rsid w:val="006036D1"/>
    <w:rsid w:val="00604575"/>
    <w:rsid w:val="0060461D"/>
    <w:rsid w:val="00604A06"/>
    <w:rsid w:val="00604CF0"/>
    <w:rsid w:val="00604DAC"/>
    <w:rsid w:val="0060500A"/>
    <w:rsid w:val="006050FF"/>
    <w:rsid w:val="006053AD"/>
    <w:rsid w:val="00605B9F"/>
    <w:rsid w:val="006066D2"/>
    <w:rsid w:val="00606815"/>
    <w:rsid w:val="006068A0"/>
    <w:rsid w:val="00606B97"/>
    <w:rsid w:val="00606E29"/>
    <w:rsid w:val="00606EA6"/>
    <w:rsid w:val="00606EC6"/>
    <w:rsid w:val="00610260"/>
    <w:rsid w:val="006105F7"/>
    <w:rsid w:val="00610A65"/>
    <w:rsid w:val="006117FF"/>
    <w:rsid w:val="006118A6"/>
    <w:rsid w:val="00611965"/>
    <w:rsid w:val="006127A4"/>
    <w:rsid w:val="006129AF"/>
    <w:rsid w:val="00612C76"/>
    <w:rsid w:val="00612F0A"/>
    <w:rsid w:val="00613179"/>
    <w:rsid w:val="00613282"/>
    <w:rsid w:val="00613747"/>
    <w:rsid w:val="006139E6"/>
    <w:rsid w:val="00613A99"/>
    <w:rsid w:val="00613BCA"/>
    <w:rsid w:val="00613F05"/>
    <w:rsid w:val="00614101"/>
    <w:rsid w:val="006142B4"/>
    <w:rsid w:val="006143C4"/>
    <w:rsid w:val="006144A4"/>
    <w:rsid w:val="00614F49"/>
    <w:rsid w:val="0061535F"/>
    <w:rsid w:val="006160BF"/>
    <w:rsid w:val="006160C5"/>
    <w:rsid w:val="0061642A"/>
    <w:rsid w:val="00616D41"/>
    <w:rsid w:val="006178D9"/>
    <w:rsid w:val="006179A0"/>
    <w:rsid w:val="00617B90"/>
    <w:rsid w:val="00617CE8"/>
    <w:rsid w:val="00617E9E"/>
    <w:rsid w:val="006204D2"/>
    <w:rsid w:val="0062069A"/>
    <w:rsid w:val="00621065"/>
    <w:rsid w:val="00621C5C"/>
    <w:rsid w:val="006229BD"/>
    <w:rsid w:val="00622B64"/>
    <w:rsid w:val="0062339B"/>
    <w:rsid w:val="00623B70"/>
    <w:rsid w:val="006240DC"/>
    <w:rsid w:val="006244EF"/>
    <w:rsid w:val="0062492C"/>
    <w:rsid w:val="00624A07"/>
    <w:rsid w:val="00624AB1"/>
    <w:rsid w:val="00624AD2"/>
    <w:rsid w:val="006250D5"/>
    <w:rsid w:val="00625248"/>
    <w:rsid w:val="00625268"/>
    <w:rsid w:val="00625535"/>
    <w:rsid w:val="0062556E"/>
    <w:rsid w:val="00625708"/>
    <w:rsid w:val="00625B24"/>
    <w:rsid w:val="00625E0A"/>
    <w:rsid w:val="00625ECB"/>
    <w:rsid w:val="0062614A"/>
    <w:rsid w:val="00626781"/>
    <w:rsid w:val="00626CC5"/>
    <w:rsid w:val="00627016"/>
    <w:rsid w:val="0062772E"/>
    <w:rsid w:val="00627BB5"/>
    <w:rsid w:val="00627D04"/>
    <w:rsid w:val="00627E9A"/>
    <w:rsid w:val="00627F5F"/>
    <w:rsid w:val="00630577"/>
    <w:rsid w:val="00630F5D"/>
    <w:rsid w:val="0063141C"/>
    <w:rsid w:val="0063170B"/>
    <w:rsid w:val="00632219"/>
    <w:rsid w:val="006323D2"/>
    <w:rsid w:val="0063274F"/>
    <w:rsid w:val="00632A80"/>
    <w:rsid w:val="00632AA2"/>
    <w:rsid w:val="00632B01"/>
    <w:rsid w:val="006332FF"/>
    <w:rsid w:val="00633832"/>
    <w:rsid w:val="00633C84"/>
    <w:rsid w:val="0063403A"/>
    <w:rsid w:val="00634631"/>
    <w:rsid w:val="00634984"/>
    <w:rsid w:val="00634C6C"/>
    <w:rsid w:val="0063515A"/>
    <w:rsid w:val="006352B2"/>
    <w:rsid w:val="00635657"/>
    <w:rsid w:val="00635BBE"/>
    <w:rsid w:val="00636184"/>
    <w:rsid w:val="0063631B"/>
    <w:rsid w:val="00636731"/>
    <w:rsid w:val="00636A68"/>
    <w:rsid w:val="006374E6"/>
    <w:rsid w:val="006375FF"/>
    <w:rsid w:val="006378DB"/>
    <w:rsid w:val="00637A9C"/>
    <w:rsid w:val="006400C5"/>
    <w:rsid w:val="00640396"/>
    <w:rsid w:val="0064064B"/>
    <w:rsid w:val="006411B4"/>
    <w:rsid w:val="00641258"/>
    <w:rsid w:val="006412BE"/>
    <w:rsid w:val="00641370"/>
    <w:rsid w:val="00641784"/>
    <w:rsid w:val="006418DA"/>
    <w:rsid w:val="00641A73"/>
    <w:rsid w:val="00641E9A"/>
    <w:rsid w:val="00642159"/>
    <w:rsid w:val="00642170"/>
    <w:rsid w:val="00642469"/>
    <w:rsid w:val="006426F3"/>
    <w:rsid w:val="00643010"/>
    <w:rsid w:val="00643052"/>
    <w:rsid w:val="006435D9"/>
    <w:rsid w:val="00643754"/>
    <w:rsid w:val="00643889"/>
    <w:rsid w:val="00643B03"/>
    <w:rsid w:val="00643B20"/>
    <w:rsid w:val="00643F0C"/>
    <w:rsid w:val="00644AE9"/>
    <w:rsid w:val="00645486"/>
    <w:rsid w:val="00645854"/>
    <w:rsid w:val="00645C0B"/>
    <w:rsid w:val="00645D7F"/>
    <w:rsid w:val="00645EB3"/>
    <w:rsid w:val="00646115"/>
    <w:rsid w:val="00646602"/>
    <w:rsid w:val="00646618"/>
    <w:rsid w:val="0064665F"/>
    <w:rsid w:val="006468BA"/>
    <w:rsid w:val="006468C7"/>
    <w:rsid w:val="00646906"/>
    <w:rsid w:val="00646935"/>
    <w:rsid w:val="00646AA1"/>
    <w:rsid w:val="00647732"/>
    <w:rsid w:val="00647A30"/>
    <w:rsid w:val="00647B63"/>
    <w:rsid w:val="00647F13"/>
    <w:rsid w:val="00650272"/>
    <w:rsid w:val="006503C8"/>
    <w:rsid w:val="00650494"/>
    <w:rsid w:val="00650524"/>
    <w:rsid w:val="00650D1B"/>
    <w:rsid w:val="00651CA5"/>
    <w:rsid w:val="00651D02"/>
    <w:rsid w:val="0065226A"/>
    <w:rsid w:val="006525B5"/>
    <w:rsid w:val="00652631"/>
    <w:rsid w:val="00652923"/>
    <w:rsid w:val="00652DC5"/>
    <w:rsid w:val="00652EBA"/>
    <w:rsid w:val="0065359C"/>
    <w:rsid w:val="006535B6"/>
    <w:rsid w:val="006539EC"/>
    <w:rsid w:val="00653EF9"/>
    <w:rsid w:val="00654AEF"/>
    <w:rsid w:val="00655160"/>
    <w:rsid w:val="00655694"/>
    <w:rsid w:val="006556AE"/>
    <w:rsid w:val="00655AA8"/>
    <w:rsid w:val="00655BCD"/>
    <w:rsid w:val="006563A3"/>
    <w:rsid w:val="00656469"/>
    <w:rsid w:val="006568D7"/>
    <w:rsid w:val="00656EE3"/>
    <w:rsid w:val="0065770E"/>
    <w:rsid w:val="0066012F"/>
    <w:rsid w:val="00660435"/>
    <w:rsid w:val="00660720"/>
    <w:rsid w:val="00660F87"/>
    <w:rsid w:val="00660FFF"/>
    <w:rsid w:val="00661C75"/>
    <w:rsid w:val="006621EC"/>
    <w:rsid w:val="00662781"/>
    <w:rsid w:val="00662D4C"/>
    <w:rsid w:val="006630F5"/>
    <w:rsid w:val="0066345A"/>
    <w:rsid w:val="0066380F"/>
    <w:rsid w:val="00663A49"/>
    <w:rsid w:val="00663F55"/>
    <w:rsid w:val="0066440E"/>
    <w:rsid w:val="00665266"/>
    <w:rsid w:val="006655F2"/>
    <w:rsid w:val="0066565C"/>
    <w:rsid w:val="00665825"/>
    <w:rsid w:val="00665CD6"/>
    <w:rsid w:val="006660C3"/>
    <w:rsid w:val="0066651E"/>
    <w:rsid w:val="0066654B"/>
    <w:rsid w:val="006672EA"/>
    <w:rsid w:val="006675D7"/>
    <w:rsid w:val="006678EA"/>
    <w:rsid w:val="00667BA4"/>
    <w:rsid w:val="00670272"/>
    <w:rsid w:val="00670442"/>
    <w:rsid w:val="00670444"/>
    <w:rsid w:val="006706FD"/>
    <w:rsid w:val="006707A2"/>
    <w:rsid w:val="006707AC"/>
    <w:rsid w:val="0067089E"/>
    <w:rsid w:val="00671413"/>
    <w:rsid w:val="00671531"/>
    <w:rsid w:val="00671F9F"/>
    <w:rsid w:val="006720E5"/>
    <w:rsid w:val="00672491"/>
    <w:rsid w:val="00672568"/>
    <w:rsid w:val="00672686"/>
    <w:rsid w:val="00672B08"/>
    <w:rsid w:val="00672F39"/>
    <w:rsid w:val="00673078"/>
    <w:rsid w:val="00673571"/>
    <w:rsid w:val="0067384F"/>
    <w:rsid w:val="006738E2"/>
    <w:rsid w:val="00673DE9"/>
    <w:rsid w:val="00673F47"/>
    <w:rsid w:val="0067415F"/>
    <w:rsid w:val="00674539"/>
    <w:rsid w:val="00674824"/>
    <w:rsid w:val="00674D29"/>
    <w:rsid w:val="0067500D"/>
    <w:rsid w:val="0067526C"/>
    <w:rsid w:val="0067542D"/>
    <w:rsid w:val="006759AB"/>
    <w:rsid w:val="00675B3F"/>
    <w:rsid w:val="00675E62"/>
    <w:rsid w:val="0067627A"/>
    <w:rsid w:val="00676358"/>
    <w:rsid w:val="006766CF"/>
    <w:rsid w:val="006766E7"/>
    <w:rsid w:val="00676742"/>
    <w:rsid w:val="00676E61"/>
    <w:rsid w:val="0067733D"/>
    <w:rsid w:val="00677A41"/>
    <w:rsid w:val="00677F15"/>
    <w:rsid w:val="00677F64"/>
    <w:rsid w:val="00680086"/>
    <w:rsid w:val="00680578"/>
    <w:rsid w:val="0068068C"/>
    <w:rsid w:val="00680CF8"/>
    <w:rsid w:val="006817A7"/>
    <w:rsid w:val="00681816"/>
    <w:rsid w:val="00681B01"/>
    <w:rsid w:val="00681C1C"/>
    <w:rsid w:val="0068292C"/>
    <w:rsid w:val="006829EF"/>
    <w:rsid w:val="00682D70"/>
    <w:rsid w:val="00682E9C"/>
    <w:rsid w:val="00682F0E"/>
    <w:rsid w:val="00683712"/>
    <w:rsid w:val="00683979"/>
    <w:rsid w:val="00684083"/>
    <w:rsid w:val="00684452"/>
    <w:rsid w:val="006848F0"/>
    <w:rsid w:val="00684BB5"/>
    <w:rsid w:val="00684D9E"/>
    <w:rsid w:val="00685141"/>
    <w:rsid w:val="00685225"/>
    <w:rsid w:val="006856E1"/>
    <w:rsid w:val="00685F90"/>
    <w:rsid w:val="00686220"/>
    <w:rsid w:val="0068656A"/>
    <w:rsid w:val="006866E5"/>
    <w:rsid w:val="00686A53"/>
    <w:rsid w:val="00686B55"/>
    <w:rsid w:val="00686B79"/>
    <w:rsid w:val="00686C22"/>
    <w:rsid w:val="00686E8F"/>
    <w:rsid w:val="006870D4"/>
    <w:rsid w:val="00687177"/>
    <w:rsid w:val="00687476"/>
    <w:rsid w:val="00687628"/>
    <w:rsid w:val="00687D85"/>
    <w:rsid w:val="00687ED4"/>
    <w:rsid w:val="00690282"/>
    <w:rsid w:val="006905EB"/>
    <w:rsid w:val="00690712"/>
    <w:rsid w:val="00690BBB"/>
    <w:rsid w:val="00690F5D"/>
    <w:rsid w:val="006914EC"/>
    <w:rsid w:val="00691FF0"/>
    <w:rsid w:val="00692143"/>
    <w:rsid w:val="006925DC"/>
    <w:rsid w:val="00692E65"/>
    <w:rsid w:val="00692FE0"/>
    <w:rsid w:val="00693818"/>
    <w:rsid w:val="00693883"/>
    <w:rsid w:val="0069432B"/>
    <w:rsid w:val="00694512"/>
    <w:rsid w:val="006949FF"/>
    <w:rsid w:val="00694ACE"/>
    <w:rsid w:val="00694CE6"/>
    <w:rsid w:val="00694DE8"/>
    <w:rsid w:val="00694EDD"/>
    <w:rsid w:val="006954C1"/>
    <w:rsid w:val="00695563"/>
    <w:rsid w:val="00695905"/>
    <w:rsid w:val="006959E2"/>
    <w:rsid w:val="00695EAB"/>
    <w:rsid w:val="0069633A"/>
    <w:rsid w:val="0069746D"/>
    <w:rsid w:val="0069775F"/>
    <w:rsid w:val="00697E75"/>
    <w:rsid w:val="006A012C"/>
    <w:rsid w:val="006A06DF"/>
    <w:rsid w:val="006A0C15"/>
    <w:rsid w:val="006A0EBE"/>
    <w:rsid w:val="006A0FAA"/>
    <w:rsid w:val="006A1201"/>
    <w:rsid w:val="006A1261"/>
    <w:rsid w:val="006A1451"/>
    <w:rsid w:val="006A19D2"/>
    <w:rsid w:val="006A1FE0"/>
    <w:rsid w:val="006A23A8"/>
    <w:rsid w:val="006A28F2"/>
    <w:rsid w:val="006A2ED0"/>
    <w:rsid w:val="006A3063"/>
    <w:rsid w:val="006A3D5A"/>
    <w:rsid w:val="006A3DDD"/>
    <w:rsid w:val="006A45D8"/>
    <w:rsid w:val="006A48D8"/>
    <w:rsid w:val="006A4D93"/>
    <w:rsid w:val="006A4F76"/>
    <w:rsid w:val="006A5399"/>
    <w:rsid w:val="006A58EA"/>
    <w:rsid w:val="006A6923"/>
    <w:rsid w:val="006A7115"/>
    <w:rsid w:val="006A766C"/>
    <w:rsid w:val="006A7BA8"/>
    <w:rsid w:val="006A7F71"/>
    <w:rsid w:val="006B092E"/>
    <w:rsid w:val="006B0DEE"/>
    <w:rsid w:val="006B12A7"/>
    <w:rsid w:val="006B172C"/>
    <w:rsid w:val="006B1742"/>
    <w:rsid w:val="006B182E"/>
    <w:rsid w:val="006B18F7"/>
    <w:rsid w:val="006B2310"/>
    <w:rsid w:val="006B2973"/>
    <w:rsid w:val="006B2AC5"/>
    <w:rsid w:val="006B2CA0"/>
    <w:rsid w:val="006B2D82"/>
    <w:rsid w:val="006B2D88"/>
    <w:rsid w:val="006B2FD4"/>
    <w:rsid w:val="006B3243"/>
    <w:rsid w:val="006B32A9"/>
    <w:rsid w:val="006B341F"/>
    <w:rsid w:val="006B366D"/>
    <w:rsid w:val="006B37EF"/>
    <w:rsid w:val="006B3A0D"/>
    <w:rsid w:val="006B3C65"/>
    <w:rsid w:val="006B417E"/>
    <w:rsid w:val="006B41BF"/>
    <w:rsid w:val="006B4293"/>
    <w:rsid w:val="006B42E8"/>
    <w:rsid w:val="006B446A"/>
    <w:rsid w:val="006B4847"/>
    <w:rsid w:val="006B4AB0"/>
    <w:rsid w:val="006B4B0B"/>
    <w:rsid w:val="006B52E6"/>
    <w:rsid w:val="006B53FA"/>
    <w:rsid w:val="006B5401"/>
    <w:rsid w:val="006B5451"/>
    <w:rsid w:val="006B55D1"/>
    <w:rsid w:val="006B56CB"/>
    <w:rsid w:val="006B5F7D"/>
    <w:rsid w:val="006B6026"/>
    <w:rsid w:val="006B62AC"/>
    <w:rsid w:val="006B6A43"/>
    <w:rsid w:val="006B6A8D"/>
    <w:rsid w:val="006B6D12"/>
    <w:rsid w:val="006B751B"/>
    <w:rsid w:val="006B75B7"/>
    <w:rsid w:val="006B77C6"/>
    <w:rsid w:val="006B78C8"/>
    <w:rsid w:val="006B7D08"/>
    <w:rsid w:val="006B7DD9"/>
    <w:rsid w:val="006C0076"/>
    <w:rsid w:val="006C008D"/>
    <w:rsid w:val="006C0B41"/>
    <w:rsid w:val="006C0C26"/>
    <w:rsid w:val="006C16BE"/>
    <w:rsid w:val="006C1771"/>
    <w:rsid w:val="006C1812"/>
    <w:rsid w:val="006C1CD5"/>
    <w:rsid w:val="006C1DFE"/>
    <w:rsid w:val="006C2144"/>
    <w:rsid w:val="006C2FE3"/>
    <w:rsid w:val="006C3038"/>
    <w:rsid w:val="006C31BC"/>
    <w:rsid w:val="006C3561"/>
    <w:rsid w:val="006C39F0"/>
    <w:rsid w:val="006C3A34"/>
    <w:rsid w:val="006C4002"/>
    <w:rsid w:val="006C403D"/>
    <w:rsid w:val="006C429D"/>
    <w:rsid w:val="006C4A58"/>
    <w:rsid w:val="006C50D0"/>
    <w:rsid w:val="006C59B9"/>
    <w:rsid w:val="006C5E05"/>
    <w:rsid w:val="006C5E90"/>
    <w:rsid w:val="006C6127"/>
    <w:rsid w:val="006C6AD5"/>
    <w:rsid w:val="006C6D6D"/>
    <w:rsid w:val="006C7840"/>
    <w:rsid w:val="006C796F"/>
    <w:rsid w:val="006C7CBE"/>
    <w:rsid w:val="006C7D95"/>
    <w:rsid w:val="006C7D99"/>
    <w:rsid w:val="006D0198"/>
    <w:rsid w:val="006D02D6"/>
    <w:rsid w:val="006D044C"/>
    <w:rsid w:val="006D092E"/>
    <w:rsid w:val="006D0A69"/>
    <w:rsid w:val="006D0AB8"/>
    <w:rsid w:val="006D0D5F"/>
    <w:rsid w:val="006D0F32"/>
    <w:rsid w:val="006D18C8"/>
    <w:rsid w:val="006D1923"/>
    <w:rsid w:val="006D1C38"/>
    <w:rsid w:val="006D1CA0"/>
    <w:rsid w:val="006D21E6"/>
    <w:rsid w:val="006D2667"/>
    <w:rsid w:val="006D2E2F"/>
    <w:rsid w:val="006D347D"/>
    <w:rsid w:val="006D358B"/>
    <w:rsid w:val="006D39E0"/>
    <w:rsid w:val="006D39F9"/>
    <w:rsid w:val="006D498A"/>
    <w:rsid w:val="006D4C8A"/>
    <w:rsid w:val="006D5367"/>
    <w:rsid w:val="006D5380"/>
    <w:rsid w:val="006D54B2"/>
    <w:rsid w:val="006D55D5"/>
    <w:rsid w:val="006D5843"/>
    <w:rsid w:val="006D5A8B"/>
    <w:rsid w:val="006D60F2"/>
    <w:rsid w:val="006D62DA"/>
    <w:rsid w:val="006D64B1"/>
    <w:rsid w:val="006D6BBE"/>
    <w:rsid w:val="006D7212"/>
    <w:rsid w:val="006D7C1E"/>
    <w:rsid w:val="006E02A6"/>
    <w:rsid w:val="006E0301"/>
    <w:rsid w:val="006E049E"/>
    <w:rsid w:val="006E06E3"/>
    <w:rsid w:val="006E0C0C"/>
    <w:rsid w:val="006E0DB3"/>
    <w:rsid w:val="006E10E1"/>
    <w:rsid w:val="006E14C6"/>
    <w:rsid w:val="006E16C0"/>
    <w:rsid w:val="006E187D"/>
    <w:rsid w:val="006E196C"/>
    <w:rsid w:val="006E19C1"/>
    <w:rsid w:val="006E1B32"/>
    <w:rsid w:val="006E1C6A"/>
    <w:rsid w:val="006E1D1C"/>
    <w:rsid w:val="006E2633"/>
    <w:rsid w:val="006E2703"/>
    <w:rsid w:val="006E2E8C"/>
    <w:rsid w:val="006E370C"/>
    <w:rsid w:val="006E3843"/>
    <w:rsid w:val="006E385D"/>
    <w:rsid w:val="006E3EDF"/>
    <w:rsid w:val="006E4018"/>
    <w:rsid w:val="006E4088"/>
    <w:rsid w:val="006E42D2"/>
    <w:rsid w:val="006E46DD"/>
    <w:rsid w:val="006E4A8D"/>
    <w:rsid w:val="006E4E79"/>
    <w:rsid w:val="006E5127"/>
    <w:rsid w:val="006E5805"/>
    <w:rsid w:val="006E5B4C"/>
    <w:rsid w:val="006E5B94"/>
    <w:rsid w:val="006E5C85"/>
    <w:rsid w:val="006E5CFA"/>
    <w:rsid w:val="006E6030"/>
    <w:rsid w:val="006E6FC1"/>
    <w:rsid w:val="006E717A"/>
    <w:rsid w:val="006E7267"/>
    <w:rsid w:val="006E7892"/>
    <w:rsid w:val="006E79CC"/>
    <w:rsid w:val="006E7A61"/>
    <w:rsid w:val="006E7BB1"/>
    <w:rsid w:val="006E7FBF"/>
    <w:rsid w:val="006F00D8"/>
    <w:rsid w:val="006F0434"/>
    <w:rsid w:val="006F0AC7"/>
    <w:rsid w:val="006F0B4F"/>
    <w:rsid w:val="006F0F23"/>
    <w:rsid w:val="006F136F"/>
    <w:rsid w:val="006F13DE"/>
    <w:rsid w:val="006F17DE"/>
    <w:rsid w:val="006F1831"/>
    <w:rsid w:val="006F1999"/>
    <w:rsid w:val="006F1AE8"/>
    <w:rsid w:val="006F2404"/>
    <w:rsid w:val="006F290B"/>
    <w:rsid w:val="006F31F3"/>
    <w:rsid w:val="006F33F9"/>
    <w:rsid w:val="006F3555"/>
    <w:rsid w:val="006F38D5"/>
    <w:rsid w:val="006F3ABC"/>
    <w:rsid w:val="006F3C5B"/>
    <w:rsid w:val="006F3D5F"/>
    <w:rsid w:val="006F3E47"/>
    <w:rsid w:val="006F3F7E"/>
    <w:rsid w:val="006F4332"/>
    <w:rsid w:val="006F436D"/>
    <w:rsid w:val="006F4C12"/>
    <w:rsid w:val="006F4E7B"/>
    <w:rsid w:val="006F53F9"/>
    <w:rsid w:val="006F588C"/>
    <w:rsid w:val="006F5DEE"/>
    <w:rsid w:val="006F5E1B"/>
    <w:rsid w:val="006F5E9F"/>
    <w:rsid w:val="006F5FC3"/>
    <w:rsid w:val="006F6787"/>
    <w:rsid w:val="006F6953"/>
    <w:rsid w:val="006F6CCB"/>
    <w:rsid w:val="006F6ED7"/>
    <w:rsid w:val="006F7D2F"/>
    <w:rsid w:val="006F7FFA"/>
    <w:rsid w:val="00700E05"/>
    <w:rsid w:val="007012A6"/>
    <w:rsid w:val="00701535"/>
    <w:rsid w:val="00701739"/>
    <w:rsid w:val="00701C1B"/>
    <w:rsid w:val="00701ED3"/>
    <w:rsid w:val="007021EE"/>
    <w:rsid w:val="007023A4"/>
    <w:rsid w:val="00702509"/>
    <w:rsid w:val="00702667"/>
    <w:rsid w:val="0070292A"/>
    <w:rsid w:val="00703C13"/>
    <w:rsid w:val="00703C9E"/>
    <w:rsid w:val="00703D69"/>
    <w:rsid w:val="00704548"/>
    <w:rsid w:val="0070490F"/>
    <w:rsid w:val="00704C4F"/>
    <w:rsid w:val="007056CD"/>
    <w:rsid w:val="00705890"/>
    <w:rsid w:val="00705B2E"/>
    <w:rsid w:val="00705BD2"/>
    <w:rsid w:val="00705C57"/>
    <w:rsid w:val="00705D7C"/>
    <w:rsid w:val="00706465"/>
    <w:rsid w:val="00706815"/>
    <w:rsid w:val="00706B66"/>
    <w:rsid w:val="007072B6"/>
    <w:rsid w:val="007079D0"/>
    <w:rsid w:val="00707BAC"/>
    <w:rsid w:val="00710503"/>
    <w:rsid w:val="00710653"/>
    <w:rsid w:val="00710F5E"/>
    <w:rsid w:val="00711102"/>
    <w:rsid w:val="00711AD5"/>
    <w:rsid w:val="00711AE3"/>
    <w:rsid w:val="00711AED"/>
    <w:rsid w:val="00711C04"/>
    <w:rsid w:val="007124CC"/>
    <w:rsid w:val="007125E9"/>
    <w:rsid w:val="007129D1"/>
    <w:rsid w:val="00712A36"/>
    <w:rsid w:val="00712B74"/>
    <w:rsid w:val="00712B84"/>
    <w:rsid w:val="00712D44"/>
    <w:rsid w:val="00713914"/>
    <w:rsid w:val="00713B2D"/>
    <w:rsid w:val="00713D7A"/>
    <w:rsid w:val="00713EE3"/>
    <w:rsid w:val="00714569"/>
    <w:rsid w:val="007146FD"/>
    <w:rsid w:val="0071484C"/>
    <w:rsid w:val="00714A0D"/>
    <w:rsid w:val="00715B1C"/>
    <w:rsid w:val="00715ED9"/>
    <w:rsid w:val="0071697E"/>
    <w:rsid w:val="0071699E"/>
    <w:rsid w:val="00716B3F"/>
    <w:rsid w:val="00716E80"/>
    <w:rsid w:val="0071794C"/>
    <w:rsid w:val="00717A40"/>
    <w:rsid w:val="007201B0"/>
    <w:rsid w:val="00720322"/>
    <w:rsid w:val="00720476"/>
    <w:rsid w:val="00720742"/>
    <w:rsid w:val="007208BF"/>
    <w:rsid w:val="00720B7F"/>
    <w:rsid w:val="00720D6D"/>
    <w:rsid w:val="00721079"/>
    <w:rsid w:val="00721B3D"/>
    <w:rsid w:val="00721D18"/>
    <w:rsid w:val="007226F7"/>
    <w:rsid w:val="00722C24"/>
    <w:rsid w:val="00722D94"/>
    <w:rsid w:val="007232A1"/>
    <w:rsid w:val="0072364B"/>
    <w:rsid w:val="00723BE8"/>
    <w:rsid w:val="00723CE9"/>
    <w:rsid w:val="00723D26"/>
    <w:rsid w:val="0072418A"/>
    <w:rsid w:val="00724269"/>
    <w:rsid w:val="007244CB"/>
    <w:rsid w:val="00724803"/>
    <w:rsid w:val="00724AF0"/>
    <w:rsid w:val="00724DAD"/>
    <w:rsid w:val="007250E1"/>
    <w:rsid w:val="00725315"/>
    <w:rsid w:val="00725330"/>
    <w:rsid w:val="007255AC"/>
    <w:rsid w:val="00725AB4"/>
    <w:rsid w:val="00725BAD"/>
    <w:rsid w:val="00726078"/>
    <w:rsid w:val="00726382"/>
    <w:rsid w:val="007263D1"/>
    <w:rsid w:val="00726617"/>
    <w:rsid w:val="007267BC"/>
    <w:rsid w:val="00726DD4"/>
    <w:rsid w:val="00726FE4"/>
    <w:rsid w:val="0072711B"/>
    <w:rsid w:val="00727790"/>
    <w:rsid w:val="00727850"/>
    <w:rsid w:val="00727878"/>
    <w:rsid w:val="0072795B"/>
    <w:rsid w:val="007309B1"/>
    <w:rsid w:val="00730A37"/>
    <w:rsid w:val="00731055"/>
    <w:rsid w:val="0073120B"/>
    <w:rsid w:val="00731FA8"/>
    <w:rsid w:val="00732737"/>
    <w:rsid w:val="00732924"/>
    <w:rsid w:val="007329D9"/>
    <w:rsid w:val="00732D40"/>
    <w:rsid w:val="007330C2"/>
    <w:rsid w:val="007336C3"/>
    <w:rsid w:val="007337B7"/>
    <w:rsid w:val="007338B4"/>
    <w:rsid w:val="00733DD7"/>
    <w:rsid w:val="0073415B"/>
    <w:rsid w:val="00734250"/>
    <w:rsid w:val="00734CFC"/>
    <w:rsid w:val="00734FEB"/>
    <w:rsid w:val="00735A11"/>
    <w:rsid w:val="00735C51"/>
    <w:rsid w:val="0073616A"/>
    <w:rsid w:val="0073619E"/>
    <w:rsid w:val="007361BD"/>
    <w:rsid w:val="007361FD"/>
    <w:rsid w:val="00736F10"/>
    <w:rsid w:val="007370A2"/>
    <w:rsid w:val="007377D2"/>
    <w:rsid w:val="0074102B"/>
    <w:rsid w:val="0074198A"/>
    <w:rsid w:val="00741A87"/>
    <w:rsid w:val="00741B28"/>
    <w:rsid w:val="00742441"/>
    <w:rsid w:val="00742C70"/>
    <w:rsid w:val="00743920"/>
    <w:rsid w:val="00743AC4"/>
    <w:rsid w:val="00744651"/>
    <w:rsid w:val="0074482B"/>
    <w:rsid w:val="00744A8D"/>
    <w:rsid w:val="00744E9A"/>
    <w:rsid w:val="00744FDC"/>
    <w:rsid w:val="007453E7"/>
    <w:rsid w:val="007457CE"/>
    <w:rsid w:val="0074613C"/>
    <w:rsid w:val="00746156"/>
    <w:rsid w:val="007461B8"/>
    <w:rsid w:val="00746357"/>
    <w:rsid w:val="007466E9"/>
    <w:rsid w:val="00746973"/>
    <w:rsid w:val="00746E1F"/>
    <w:rsid w:val="00746FC1"/>
    <w:rsid w:val="00746FF0"/>
    <w:rsid w:val="0074725A"/>
    <w:rsid w:val="00747401"/>
    <w:rsid w:val="00747492"/>
    <w:rsid w:val="007474FC"/>
    <w:rsid w:val="007477BD"/>
    <w:rsid w:val="00747B1C"/>
    <w:rsid w:val="0075031A"/>
    <w:rsid w:val="0075053E"/>
    <w:rsid w:val="007509D3"/>
    <w:rsid w:val="00750DA9"/>
    <w:rsid w:val="00751446"/>
    <w:rsid w:val="007514A7"/>
    <w:rsid w:val="007518CF"/>
    <w:rsid w:val="00751EE8"/>
    <w:rsid w:val="007522A9"/>
    <w:rsid w:val="007524CD"/>
    <w:rsid w:val="00752795"/>
    <w:rsid w:val="00752885"/>
    <w:rsid w:val="007529A2"/>
    <w:rsid w:val="00752AD5"/>
    <w:rsid w:val="00752D8F"/>
    <w:rsid w:val="0075342C"/>
    <w:rsid w:val="007535E3"/>
    <w:rsid w:val="00753771"/>
    <w:rsid w:val="00753A06"/>
    <w:rsid w:val="00754017"/>
    <w:rsid w:val="007542D0"/>
    <w:rsid w:val="0075489B"/>
    <w:rsid w:val="0075498A"/>
    <w:rsid w:val="00754D79"/>
    <w:rsid w:val="0075540D"/>
    <w:rsid w:val="00755C09"/>
    <w:rsid w:val="00756253"/>
    <w:rsid w:val="0075628A"/>
    <w:rsid w:val="00756502"/>
    <w:rsid w:val="007568E3"/>
    <w:rsid w:val="007573EC"/>
    <w:rsid w:val="0075763A"/>
    <w:rsid w:val="00757AF3"/>
    <w:rsid w:val="00757DCB"/>
    <w:rsid w:val="007600F9"/>
    <w:rsid w:val="00760AE7"/>
    <w:rsid w:val="007616A1"/>
    <w:rsid w:val="00761E3D"/>
    <w:rsid w:val="00762393"/>
    <w:rsid w:val="00762517"/>
    <w:rsid w:val="00762519"/>
    <w:rsid w:val="007625F3"/>
    <w:rsid w:val="007626D6"/>
    <w:rsid w:val="0076276E"/>
    <w:rsid w:val="0076281E"/>
    <w:rsid w:val="0076304A"/>
    <w:rsid w:val="00763524"/>
    <w:rsid w:val="00763697"/>
    <w:rsid w:val="00763F07"/>
    <w:rsid w:val="0076476A"/>
    <w:rsid w:val="00764A3B"/>
    <w:rsid w:val="00765EF8"/>
    <w:rsid w:val="00765F4D"/>
    <w:rsid w:val="007660CD"/>
    <w:rsid w:val="0076613D"/>
    <w:rsid w:val="0076665A"/>
    <w:rsid w:val="00766EFC"/>
    <w:rsid w:val="0076721B"/>
    <w:rsid w:val="0076734C"/>
    <w:rsid w:val="00767664"/>
    <w:rsid w:val="00767848"/>
    <w:rsid w:val="00767BAF"/>
    <w:rsid w:val="00767EDB"/>
    <w:rsid w:val="00770781"/>
    <w:rsid w:val="00770F20"/>
    <w:rsid w:val="007710E9"/>
    <w:rsid w:val="00771977"/>
    <w:rsid w:val="00771AA7"/>
    <w:rsid w:val="00771AE8"/>
    <w:rsid w:val="007724AE"/>
    <w:rsid w:val="00772F35"/>
    <w:rsid w:val="00772F84"/>
    <w:rsid w:val="00772F8B"/>
    <w:rsid w:val="00773589"/>
    <w:rsid w:val="007738A0"/>
    <w:rsid w:val="00773C7D"/>
    <w:rsid w:val="00774F7D"/>
    <w:rsid w:val="007753BF"/>
    <w:rsid w:val="007758A7"/>
    <w:rsid w:val="0077598A"/>
    <w:rsid w:val="00775C1E"/>
    <w:rsid w:val="00775F04"/>
    <w:rsid w:val="00776CA7"/>
    <w:rsid w:val="007775C9"/>
    <w:rsid w:val="00777C0D"/>
    <w:rsid w:val="00777E7E"/>
    <w:rsid w:val="00780402"/>
    <w:rsid w:val="007804B7"/>
    <w:rsid w:val="007808B4"/>
    <w:rsid w:val="00781442"/>
    <w:rsid w:val="007814B2"/>
    <w:rsid w:val="0078156F"/>
    <w:rsid w:val="00781865"/>
    <w:rsid w:val="0078199B"/>
    <w:rsid w:val="00781A08"/>
    <w:rsid w:val="00781C3D"/>
    <w:rsid w:val="00781DFD"/>
    <w:rsid w:val="00782120"/>
    <w:rsid w:val="007823A7"/>
    <w:rsid w:val="00782485"/>
    <w:rsid w:val="0078272A"/>
    <w:rsid w:val="00782850"/>
    <w:rsid w:val="0078289A"/>
    <w:rsid w:val="00782903"/>
    <w:rsid w:val="00782A62"/>
    <w:rsid w:val="00782B14"/>
    <w:rsid w:val="00783129"/>
    <w:rsid w:val="007832B9"/>
    <w:rsid w:val="00783668"/>
    <w:rsid w:val="0078372E"/>
    <w:rsid w:val="00783788"/>
    <w:rsid w:val="0078396A"/>
    <w:rsid w:val="00783B30"/>
    <w:rsid w:val="00784359"/>
    <w:rsid w:val="007847C1"/>
    <w:rsid w:val="0078494A"/>
    <w:rsid w:val="0078502E"/>
    <w:rsid w:val="00785251"/>
    <w:rsid w:val="007852F3"/>
    <w:rsid w:val="00785AA0"/>
    <w:rsid w:val="0078610D"/>
    <w:rsid w:val="00786DA5"/>
    <w:rsid w:val="00786FDC"/>
    <w:rsid w:val="00787134"/>
    <w:rsid w:val="007872DF"/>
    <w:rsid w:val="007878CB"/>
    <w:rsid w:val="00787F6A"/>
    <w:rsid w:val="0079000E"/>
    <w:rsid w:val="00790056"/>
    <w:rsid w:val="00790304"/>
    <w:rsid w:val="0079043D"/>
    <w:rsid w:val="0079067D"/>
    <w:rsid w:val="007908C9"/>
    <w:rsid w:val="00790DD2"/>
    <w:rsid w:val="007913E7"/>
    <w:rsid w:val="00791738"/>
    <w:rsid w:val="0079191F"/>
    <w:rsid w:val="00791A9A"/>
    <w:rsid w:val="00791EC3"/>
    <w:rsid w:val="00792170"/>
    <w:rsid w:val="00793165"/>
    <w:rsid w:val="0079330C"/>
    <w:rsid w:val="0079382F"/>
    <w:rsid w:val="007939C7"/>
    <w:rsid w:val="00793C6D"/>
    <w:rsid w:val="00793D81"/>
    <w:rsid w:val="00794259"/>
    <w:rsid w:val="00794328"/>
    <w:rsid w:val="00794864"/>
    <w:rsid w:val="00794E51"/>
    <w:rsid w:val="007954FC"/>
    <w:rsid w:val="007957D2"/>
    <w:rsid w:val="00795CBB"/>
    <w:rsid w:val="007960EA"/>
    <w:rsid w:val="0079642F"/>
    <w:rsid w:val="00796BE4"/>
    <w:rsid w:val="00796C3D"/>
    <w:rsid w:val="00796D3B"/>
    <w:rsid w:val="0079727E"/>
    <w:rsid w:val="00797327"/>
    <w:rsid w:val="0079750D"/>
    <w:rsid w:val="007979D0"/>
    <w:rsid w:val="007979F1"/>
    <w:rsid w:val="00797FC2"/>
    <w:rsid w:val="007A0072"/>
    <w:rsid w:val="007A049D"/>
    <w:rsid w:val="007A04AA"/>
    <w:rsid w:val="007A0924"/>
    <w:rsid w:val="007A0964"/>
    <w:rsid w:val="007A0FD0"/>
    <w:rsid w:val="007A18A2"/>
    <w:rsid w:val="007A27C4"/>
    <w:rsid w:val="007A2995"/>
    <w:rsid w:val="007A2A93"/>
    <w:rsid w:val="007A2DA3"/>
    <w:rsid w:val="007A2F5A"/>
    <w:rsid w:val="007A3018"/>
    <w:rsid w:val="007A327F"/>
    <w:rsid w:val="007A3B58"/>
    <w:rsid w:val="007A3EE1"/>
    <w:rsid w:val="007A4391"/>
    <w:rsid w:val="007A48D8"/>
    <w:rsid w:val="007A49E5"/>
    <w:rsid w:val="007A4C55"/>
    <w:rsid w:val="007A4F70"/>
    <w:rsid w:val="007A5365"/>
    <w:rsid w:val="007A54AE"/>
    <w:rsid w:val="007A59A6"/>
    <w:rsid w:val="007A5D58"/>
    <w:rsid w:val="007A6192"/>
    <w:rsid w:val="007A61FD"/>
    <w:rsid w:val="007A645C"/>
    <w:rsid w:val="007A6A8B"/>
    <w:rsid w:val="007A7298"/>
    <w:rsid w:val="007A7425"/>
    <w:rsid w:val="007A74A9"/>
    <w:rsid w:val="007A7597"/>
    <w:rsid w:val="007A7716"/>
    <w:rsid w:val="007A7761"/>
    <w:rsid w:val="007A7AF2"/>
    <w:rsid w:val="007B0416"/>
    <w:rsid w:val="007B0ABE"/>
    <w:rsid w:val="007B0F78"/>
    <w:rsid w:val="007B0FCB"/>
    <w:rsid w:val="007B107F"/>
    <w:rsid w:val="007B1589"/>
    <w:rsid w:val="007B18C3"/>
    <w:rsid w:val="007B1C2A"/>
    <w:rsid w:val="007B1E1E"/>
    <w:rsid w:val="007B2310"/>
    <w:rsid w:val="007B234E"/>
    <w:rsid w:val="007B29A5"/>
    <w:rsid w:val="007B2AC1"/>
    <w:rsid w:val="007B392F"/>
    <w:rsid w:val="007B3C4B"/>
    <w:rsid w:val="007B3C76"/>
    <w:rsid w:val="007B42B1"/>
    <w:rsid w:val="007B445D"/>
    <w:rsid w:val="007B45F1"/>
    <w:rsid w:val="007B4917"/>
    <w:rsid w:val="007B4C0A"/>
    <w:rsid w:val="007B4EF3"/>
    <w:rsid w:val="007B5032"/>
    <w:rsid w:val="007B5535"/>
    <w:rsid w:val="007B5688"/>
    <w:rsid w:val="007B5777"/>
    <w:rsid w:val="007B5B5C"/>
    <w:rsid w:val="007B5D94"/>
    <w:rsid w:val="007B5EF7"/>
    <w:rsid w:val="007B603C"/>
    <w:rsid w:val="007B71B1"/>
    <w:rsid w:val="007B79DF"/>
    <w:rsid w:val="007B7E92"/>
    <w:rsid w:val="007C02A3"/>
    <w:rsid w:val="007C0721"/>
    <w:rsid w:val="007C07D9"/>
    <w:rsid w:val="007C0844"/>
    <w:rsid w:val="007C0BE3"/>
    <w:rsid w:val="007C100B"/>
    <w:rsid w:val="007C14AE"/>
    <w:rsid w:val="007C1616"/>
    <w:rsid w:val="007C243C"/>
    <w:rsid w:val="007C26D7"/>
    <w:rsid w:val="007C28B7"/>
    <w:rsid w:val="007C2ACB"/>
    <w:rsid w:val="007C2E5B"/>
    <w:rsid w:val="007C30B3"/>
    <w:rsid w:val="007C328D"/>
    <w:rsid w:val="007C366E"/>
    <w:rsid w:val="007C389E"/>
    <w:rsid w:val="007C3C0F"/>
    <w:rsid w:val="007C3F84"/>
    <w:rsid w:val="007C46F6"/>
    <w:rsid w:val="007C4D4B"/>
    <w:rsid w:val="007C50EB"/>
    <w:rsid w:val="007C543E"/>
    <w:rsid w:val="007C5BBD"/>
    <w:rsid w:val="007C5FC3"/>
    <w:rsid w:val="007C6477"/>
    <w:rsid w:val="007C6D70"/>
    <w:rsid w:val="007C6D8E"/>
    <w:rsid w:val="007C6E49"/>
    <w:rsid w:val="007C6EBB"/>
    <w:rsid w:val="007C7A49"/>
    <w:rsid w:val="007C7C05"/>
    <w:rsid w:val="007C7D70"/>
    <w:rsid w:val="007D00AD"/>
    <w:rsid w:val="007D012D"/>
    <w:rsid w:val="007D0579"/>
    <w:rsid w:val="007D0799"/>
    <w:rsid w:val="007D08F5"/>
    <w:rsid w:val="007D0AF2"/>
    <w:rsid w:val="007D126E"/>
    <w:rsid w:val="007D1CDC"/>
    <w:rsid w:val="007D2095"/>
    <w:rsid w:val="007D21A9"/>
    <w:rsid w:val="007D22E5"/>
    <w:rsid w:val="007D2322"/>
    <w:rsid w:val="007D249F"/>
    <w:rsid w:val="007D284E"/>
    <w:rsid w:val="007D2AE8"/>
    <w:rsid w:val="007D3013"/>
    <w:rsid w:val="007D310C"/>
    <w:rsid w:val="007D3A3D"/>
    <w:rsid w:val="007D3B22"/>
    <w:rsid w:val="007D3C08"/>
    <w:rsid w:val="007D3EF6"/>
    <w:rsid w:val="007D4396"/>
    <w:rsid w:val="007D4487"/>
    <w:rsid w:val="007D45A1"/>
    <w:rsid w:val="007D4C8F"/>
    <w:rsid w:val="007D4E06"/>
    <w:rsid w:val="007D4FCE"/>
    <w:rsid w:val="007D6334"/>
    <w:rsid w:val="007D6957"/>
    <w:rsid w:val="007D6AEC"/>
    <w:rsid w:val="007D6F27"/>
    <w:rsid w:val="007D71E6"/>
    <w:rsid w:val="007D7422"/>
    <w:rsid w:val="007D76E2"/>
    <w:rsid w:val="007D7B91"/>
    <w:rsid w:val="007E06EA"/>
    <w:rsid w:val="007E0C71"/>
    <w:rsid w:val="007E0C87"/>
    <w:rsid w:val="007E0D44"/>
    <w:rsid w:val="007E1186"/>
    <w:rsid w:val="007E1311"/>
    <w:rsid w:val="007E1AE5"/>
    <w:rsid w:val="007E1B1F"/>
    <w:rsid w:val="007E1C6F"/>
    <w:rsid w:val="007E1FEF"/>
    <w:rsid w:val="007E20EA"/>
    <w:rsid w:val="007E2107"/>
    <w:rsid w:val="007E2B42"/>
    <w:rsid w:val="007E2D96"/>
    <w:rsid w:val="007E3227"/>
    <w:rsid w:val="007E3889"/>
    <w:rsid w:val="007E38D2"/>
    <w:rsid w:val="007E412D"/>
    <w:rsid w:val="007E4357"/>
    <w:rsid w:val="007E4425"/>
    <w:rsid w:val="007E527E"/>
    <w:rsid w:val="007E54E1"/>
    <w:rsid w:val="007E5688"/>
    <w:rsid w:val="007E57C6"/>
    <w:rsid w:val="007E5B38"/>
    <w:rsid w:val="007E5B58"/>
    <w:rsid w:val="007E5BB8"/>
    <w:rsid w:val="007E5C3F"/>
    <w:rsid w:val="007E5EC8"/>
    <w:rsid w:val="007E662E"/>
    <w:rsid w:val="007E66C6"/>
    <w:rsid w:val="007E6D22"/>
    <w:rsid w:val="007E6D5E"/>
    <w:rsid w:val="007E6FF2"/>
    <w:rsid w:val="007E7087"/>
    <w:rsid w:val="007E71A4"/>
    <w:rsid w:val="007E73C1"/>
    <w:rsid w:val="007E74FE"/>
    <w:rsid w:val="007E7AB5"/>
    <w:rsid w:val="007E7C30"/>
    <w:rsid w:val="007F0493"/>
    <w:rsid w:val="007F05F5"/>
    <w:rsid w:val="007F0971"/>
    <w:rsid w:val="007F0AD5"/>
    <w:rsid w:val="007F10FB"/>
    <w:rsid w:val="007F1300"/>
    <w:rsid w:val="007F1759"/>
    <w:rsid w:val="007F19EB"/>
    <w:rsid w:val="007F1E0B"/>
    <w:rsid w:val="007F1F5C"/>
    <w:rsid w:val="007F2438"/>
    <w:rsid w:val="007F2DED"/>
    <w:rsid w:val="007F2EFC"/>
    <w:rsid w:val="007F335C"/>
    <w:rsid w:val="007F36A3"/>
    <w:rsid w:val="007F372A"/>
    <w:rsid w:val="007F38AA"/>
    <w:rsid w:val="007F3A7C"/>
    <w:rsid w:val="007F3ABD"/>
    <w:rsid w:val="007F3D60"/>
    <w:rsid w:val="007F3F33"/>
    <w:rsid w:val="007F40E3"/>
    <w:rsid w:val="007F5166"/>
    <w:rsid w:val="007F51A6"/>
    <w:rsid w:val="007F5C86"/>
    <w:rsid w:val="007F63CB"/>
    <w:rsid w:val="007F6AE6"/>
    <w:rsid w:val="007F6FCB"/>
    <w:rsid w:val="007F761F"/>
    <w:rsid w:val="007F79BD"/>
    <w:rsid w:val="0080008C"/>
    <w:rsid w:val="00800845"/>
    <w:rsid w:val="008011A1"/>
    <w:rsid w:val="008012FB"/>
    <w:rsid w:val="0080177F"/>
    <w:rsid w:val="00801A4B"/>
    <w:rsid w:val="00801D62"/>
    <w:rsid w:val="008021AD"/>
    <w:rsid w:val="00802A83"/>
    <w:rsid w:val="00802E50"/>
    <w:rsid w:val="00803587"/>
    <w:rsid w:val="00803988"/>
    <w:rsid w:val="00803B05"/>
    <w:rsid w:val="00803CD4"/>
    <w:rsid w:val="00803D57"/>
    <w:rsid w:val="0080406F"/>
    <w:rsid w:val="00804162"/>
    <w:rsid w:val="00804432"/>
    <w:rsid w:val="008048E3"/>
    <w:rsid w:val="00804FD2"/>
    <w:rsid w:val="00805480"/>
    <w:rsid w:val="00805E3B"/>
    <w:rsid w:val="008064EB"/>
    <w:rsid w:val="00806A73"/>
    <w:rsid w:val="00806BC8"/>
    <w:rsid w:val="00807255"/>
    <w:rsid w:val="008078C7"/>
    <w:rsid w:val="0080792B"/>
    <w:rsid w:val="008079E0"/>
    <w:rsid w:val="00807D85"/>
    <w:rsid w:val="00807ECC"/>
    <w:rsid w:val="0081026B"/>
    <w:rsid w:val="00810335"/>
    <w:rsid w:val="008104FC"/>
    <w:rsid w:val="00810E63"/>
    <w:rsid w:val="00810F2C"/>
    <w:rsid w:val="00811074"/>
    <w:rsid w:val="00811570"/>
    <w:rsid w:val="008115BF"/>
    <w:rsid w:val="008115C5"/>
    <w:rsid w:val="008119D0"/>
    <w:rsid w:val="00812083"/>
    <w:rsid w:val="00812106"/>
    <w:rsid w:val="00812585"/>
    <w:rsid w:val="008129FC"/>
    <w:rsid w:val="00812ACF"/>
    <w:rsid w:val="00812B55"/>
    <w:rsid w:val="00812E09"/>
    <w:rsid w:val="00812E9B"/>
    <w:rsid w:val="00812EC2"/>
    <w:rsid w:val="00813172"/>
    <w:rsid w:val="00813255"/>
    <w:rsid w:val="008132FC"/>
    <w:rsid w:val="008139D7"/>
    <w:rsid w:val="008139E0"/>
    <w:rsid w:val="00813EA6"/>
    <w:rsid w:val="00813ED9"/>
    <w:rsid w:val="0081419A"/>
    <w:rsid w:val="00814396"/>
    <w:rsid w:val="008145A3"/>
    <w:rsid w:val="0081472D"/>
    <w:rsid w:val="008148B2"/>
    <w:rsid w:val="00814932"/>
    <w:rsid w:val="00814E24"/>
    <w:rsid w:val="008152BE"/>
    <w:rsid w:val="008154C8"/>
    <w:rsid w:val="00815839"/>
    <w:rsid w:val="00816732"/>
    <w:rsid w:val="00816BF0"/>
    <w:rsid w:val="0081717E"/>
    <w:rsid w:val="008177A0"/>
    <w:rsid w:val="00817A1B"/>
    <w:rsid w:val="00817BDB"/>
    <w:rsid w:val="008200C4"/>
    <w:rsid w:val="0082041E"/>
    <w:rsid w:val="00820467"/>
    <w:rsid w:val="0082099B"/>
    <w:rsid w:val="00820BED"/>
    <w:rsid w:val="00820D28"/>
    <w:rsid w:val="00820E70"/>
    <w:rsid w:val="00820FAE"/>
    <w:rsid w:val="00821366"/>
    <w:rsid w:val="008227EE"/>
    <w:rsid w:val="00823173"/>
    <w:rsid w:val="008237E4"/>
    <w:rsid w:val="00823CA6"/>
    <w:rsid w:val="0082404D"/>
    <w:rsid w:val="00824A5B"/>
    <w:rsid w:val="00824E15"/>
    <w:rsid w:val="008259D5"/>
    <w:rsid w:val="00825AD6"/>
    <w:rsid w:val="00825D1B"/>
    <w:rsid w:val="00825EC7"/>
    <w:rsid w:val="00826083"/>
    <w:rsid w:val="00827B45"/>
    <w:rsid w:val="00827D5B"/>
    <w:rsid w:val="00827FA3"/>
    <w:rsid w:val="00830243"/>
    <w:rsid w:val="00830B6C"/>
    <w:rsid w:val="00830F66"/>
    <w:rsid w:val="00831634"/>
    <w:rsid w:val="00831A49"/>
    <w:rsid w:val="00831A68"/>
    <w:rsid w:val="00831C44"/>
    <w:rsid w:val="008326F6"/>
    <w:rsid w:val="0083291C"/>
    <w:rsid w:val="00832C70"/>
    <w:rsid w:val="00832FA5"/>
    <w:rsid w:val="00833322"/>
    <w:rsid w:val="00833808"/>
    <w:rsid w:val="00833B05"/>
    <w:rsid w:val="00833C62"/>
    <w:rsid w:val="00833E7A"/>
    <w:rsid w:val="00833FA4"/>
    <w:rsid w:val="0083405D"/>
    <w:rsid w:val="008342C1"/>
    <w:rsid w:val="008343DE"/>
    <w:rsid w:val="00834963"/>
    <w:rsid w:val="00834C37"/>
    <w:rsid w:val="00835015"/>
    <w:rsid w:val="00835898"/>
    <w:rsid w:val="008358AA"/>
    <w:rsid w:val="0083596F"/>
    <w:rsid w:val="00835C5A"/>
    <w:rsid w:val="00835FF4"/>
    <w:rsid w:val="0083601B"/>
    <w:rsid w:val="00836D76"/>
    <w:rsid w:val="00837254"/>
    <w:rsid w:val="00837505"/>
    <w:rsid w:val="0083789A"/>
    <w:rsid w:val="00837B29"/>
    <w:rsid w:val="00837F4D"/>
    <w:rsid w:val="00840384"/>
    <w:rsid w:val="008408C0"/>
    <w:rsid w:val="00840A51"/>
    <w:rsid w:val="00840C5C"/>
    <w:rsid w:val="00840F64"/>
    <w:rsid w:val="00841149"/>
    <w:rsid w:val="008413D7"/>
    <w:rsid w:val="00841FEE"/>
    <w:rsid w:val="0084219E"/>
    <w:rsid w:val="008425B1"/>
    <w:rsid w:val="00842824"/>
    <w:rsid w:val="00842963"/>
    <w:rsid w:val="00842B1D"/>
    <w:rsid w:val="00843208"/>
    <w:rsid w:val="00843768"/>
    <w:rsid w:val="00843BCC"/>
    <w:rsid w:val="00844449"/>
    <w:rsid w:val="00844459"/>
    <w:rsid w:val="00845C0F"/>
    <w:rsid w:val="00845C65"/>
    <w:rsid w:val="00845CB7"/>
    <w:rsid w:val="0084615E"/>
    <w:rsid w:val="008461DB"/>
    <w:rsid w:val="008463A3"/>
    <w:rsid w:val="008466A6"/>
    <w:rsid w:val="00846951"/>
    <w:rsid w:val="00846D72"/>
    <w:rsid w:val="0084783E"/>
    <w:rsid w:val="00847AAE"/>
    <w:rsid w:val="00847CE4"/>
    <w:rsid w:val="00850234"/>
    <w:rsid w:val="008508D0"/>
    <w:rsid w:val="00851248"/>
    <w:rsid w:val="00851842"/>
    <w:rsid w:val="008519CB"/>
    <w:rsid w:val="008522CF"/>
    <w:rsid w:val="008525A6"/>
    <w:rsid w:val="008525D0"/>
    <w:rsid w:val="008527C1"/>
    <w:rsid w:val="00852B11"/>
    <w:rsid w:val="00852BC2"/>
    <w:rsid w:val="00852E87"/>
    <w:rsid w:val="00852FCB"/>
    <w:rsid w:val="008532F9"/>
    <w:rsid w:val="0085365D"/>
    <w:rsid w:val="00853C5E"/>
    <w:rsid w:val="00853D4B"/>
    <w:rsid w:val="00853F96"/>
    <w:rsid w:val="00854026"/>
    <w:rsid w:val="0085432E"/>
    <w:rsid w:val="0085454E"/>
    <w:rsid w:val="00854742"/>
    <w:rsid w:val="00854BAE"/>
    <w:rsid w:val="00854F9E"/>
    <w:rsid w:val="00855232"/>
    <w:rsid w:val="00855B7D"/>
    <w:rsid w:val="00855E5F"/>
    <w:rsid w:val="00855EA6"/>
    <w:rsid w:val="00856095"/>
    <w:rsid w:val="00856113"/>
    <w:rsid w:val="00856789"/>
    <w:rsid w:val="00856CBA"/>
    <w:rsid w:val="00856F2C"/>
    <w:rsid w:val="00857217"/>
    <w:rsid w:val="008572C2"/>
    <w:rsid w:val="0085773B"/>
    <w:rsid w:val="00857899"/>
    <w:rsid w:val="00857B7D"/>
    <w:rsid w:val="00857C79"/>
    <w:rsid w:val="00860023"/>
    <w:rsid w:val="00860547"/>
    <w:rsid w:val="00860EBB"/>
    <w:rsid w:val="00861055"/>
    <w:rsid w:val="008610FA"/>
    <w:rsid w:val="008614E9"/>
    <w:rsid w:val="008618D6"/>
    <w:rsid w:val="008624C8"/>
    <w:rsid w:val="0086255B"/>
    <w:rsid w:val="00862A98"/>
    <w:rsid w:val="00862C83"/>
    <w:rsid w:val="00862D7B"/>
    <w:rsid w:val="00863CBF"/>
    <w:rsid w:val="0086406F"/>
    <w:rsid w:val="00864610"/>
    <w:rsid w:val="0086492B"/>
    <w:rsid w:val="00864B03"/>
    <w:rsid w:val="00865011"/>
    <w:rsid w:val="008653B8"/>
    <w:rsid w:val="00865677"/>
    <w:rsid w:val="00865B98"/>
    <w:rsid w:val="00865CC6"/>
    <w:rsid w:val="00865ECE"/>
    <w:rsid w:val="0086612C"/>
    <w:rsid w:val="00866320"/>
    <w:rsid w:val="0086722D"/>
    <w:rsid w:val="00867349"/>
    <w:rsid w:val="00867614"/>
    <w:rsid w:val="008678D8"/>
    <w:rsid w:val="008679D4"/>
    <w:rsid w:val="00867A51"/>
    <w:rsid w:val="00870A5E"/>
    <w:rsid w:val="00870C9A"/>
    <w:rsid w:val="00870C9E"/>
    <w:rsid w:val="00870D79"/>
    <w:rsid w:val="00870F60"/>
    <w:rsid w:val="00871264"/>
    <w:rsid w:val="008714CA"/>
    <w:rsid w:val="00871763"/>
    <w:rsid w:val="008718A2"/>
    <w:rsid w:val="00871958"/>
    <w:rsid w:val="00872053"/>
    <w:rsid w:val="00872125"/>
    <w:rsid w:val="008726A8"/>
    <w:rsid w:val="0087324F"/>
    <w:rsid w:val="00873320"/>
    <w:rsid w:val="00873B2C"/>
    <w:rsid w:val="00873D25"/>
    <w:rsid w:val="00874037"/>
    <w:rsid w:val="0087426D"/>
    <w:rsid w:val="00874394"/>
    <w:rsid w:val="008746AC"/>
    <w:rsid w:val="00874B8D"/>
    <w:rsid w:val="008752DD"/>
    <w:rsid w:val="0087548B"/>
    <w:rsid w:val="00875647"/>
    <w:rsid w:val="008757D9"/>
    <w:rsid w:val="008758EC"/>
    <w:rsid w:val="00876517"/>
    <w:rsid w:val="0087653B"/>
    <w:rsid w:val="00876E9B"/>
    <w:rsid w:val="00876FFA"/>
    <w:rsid w:val="00877204"/>
    <w:rsid w:val="00877382"/>
    <w:rsid w:val="008774DC"/>
    <w:rsid w:val="0087783E"/>
    <w:rsid w:val="00877B0E"/>
    <w:rsid w:val="00880113"/>
    <w:rsid w:val="00880776"/>
    <w:rsid w:val="00880910"/>
    <w:rsid w:val="00880A64"/>
    <w:rsid w:val="00881A45"/>
    <w:rsid w:val="00881CE4"/>
    <w:rsid w:val="00881F4A"/>
    <w:rsid w:val="00882914"/>
    <w:rsid w:val="008829B0"/>
    <w:rsid w:val="008837E1"/>
    <w:rsid w:val="0088394F"/>
    <w:rsid w:val="0088404F"/>
    <w:rsid w:val="00884352"/>
    <w:rsid w:val="0088462F"/>
    <w:rsid w:val="00884675"/>
    <w:rsid w:val="00884A27"/>
    <w:rsid w:val="00884B0E"/>
    <w:rsid w:val="00884C40"/>
    <w:rsid w:val="0088570B"/>
    <w:rsid w:val="00885713"/>
    <w:rsid w:val="008859F2"/>
    <w:rsid w:val="00885F0D"/>
    <w:rsid w:val="00886295"/>
    <w:rsid w:val="0088660B"/>
    <w:rsid w:val="00886722"/>
    <w:rsid w:val="0088679A"/>
    <w:rsid w:val="00886C46"/>
    <w:rsid w:val="00886C94"/>
    <w:rsid w:val="00887203"/>
    <w:rsid w:val="008873C8"/>
    <w:rsid w:val="008877C6"/>
    <w:rsid w:val="00887A3E"/>
    <w:rsid w:val="00887A46"/>
    <w:rsid w:val="00890038"/>
    <w:rsid w:val="00890236"/>
    <w:rsid w:val="008908D4"/>
    <w:rsid w:val="00890B0A"/>
    <w:rsid w:val="00891199"/>
    <w:rsid w:val="00891623"/>
    <w:rsid w:val="008917E6"/>
    <w:rsid w:val="00891801"/>
    <w:rsid w:val="0089188B"/>
    <w:rsid w:val="00891C3B"/>
    <w:rsid w:val="00891EA8"/>
    <w:rsid w:val="00891F19"/>
    <w:rsid w:val="00891FFC"/>
    <w:rsid w:val="0089241F"/>
    <w:rsid w:val="008924C0"/>
    <w:rsid w:val="00892DD0"/>
    <w:rsid w:val="00892F71"/>
    <w:rsid w:val="008935CF"/>
    <w:rsid w:val="0089368B"/>
    <w:rsid w:val="00893BEB"/>
    <w:rsid w:val="00893C8E"/>
    <w:rsid w:val="0089432D"/>
    <w:rsid w:val="00894626"/>
    <w:rsid w:val="0089467D"/>
    <w:rsid w:val="008946B2"/>
    <w:rsid w:val="00894816"/>
    <w:rsid w:val="0089490E"/>
    <w:rsid w:val="00894AD3"/>
    <w:rsid w:val="00894CB7"/>
    <w:rsid w:val="0089519C"/>
    <w:rsid w:val="0089553A"/>
    <w:rsid w:val="00895832"/>
    <w:rsid w:val="008959E4"/>
    <w:rsid w:val="00895A6B"/>
    <w:rsid w:val="00895AA0"/>
    <w:rsid w:val="00895DDE"/>
    <w:rsid w:val="00895E27"/>
    <w:rsid w:val="00896041"/>
    <w:rsid w:val="008965A3"/>
    <w:rsid w:val="008966E9"/>
    <w:rsid w:val="00896919"/>
    <w:rsid w:val="00897219"/>
    <w:rsid w:val="0089726A"/>
    <w:rsid w:val="008972B6"/>
    <w:rsid w:val="00897782"/>
    <w:rsid w:val="00897C88"/>
    <w:rsid w:val="00897E09"/>
    <w:rsid w:val="008A06C7"/>
    <w:rsid w:val="008A0CD1"/>
    <w:rsid w:val="008A19CD"/>
    <w:rsid w:val="008A1B75"/>
    <w:rsid w:val="008A2A00"/>
    <w:rsid w:val="008A35E0"/>
    <w:rsid w:val="008A3D61"/>
    <w:rsid w:val="008A4824"/>
    <w:rsid w:val="008A4829"/>
    <w:rsid w:val="008A4C9F"/>
    <w:rsid w:val="008A4DA9"/>
    <w:rsid w:val="008A51A5"/>
    <w:rsid w:val="008A5B89"/>
    <w:rsid w:val="008A5E6E"/>
    <w:rsid w:val="008A6483"/>
    <w:rsid w:val="008A670A"/>
    <w:rsid w:val="008A6BF0"/>
    <w:rsid w:val="008A6DEC"/>
    <w:rsid w:val="008A786D"/>
    <w:rsid w:val="008A7B44"/>
    <w:rsid w:val="008B04F8"/>
    <w:rsid w:val="008B0C0A"/>
    <w:rsid w:val="008B1044"/>
    <w:rsid w:val="008B1248"/>
    <w:rsid w:val="008B171C"/>
    <w:rsid w:val="008B27F1"/>
    <w:rsid w:val="008B2E83"/>
    <w:rsid w:val="008B2E8F"/>
    <w:rsid w:val="008B2F54"/>
    <w:rsid w:val="008B34FA"/>
    <w:rsid w:val="008B357A"/>
    <w:rsid w:val="008B3A6A"/>
    <w:rsid w:val="008B40F5"/>
    <w:rsid w:val="008B476F"/>
    <w:rsid w:val="008B487C"/>
    <w:rsid w:val="008B48B9"/>
    <w:rsid w:val="008B4A3D"/>
    <w:rsid w:val="008B4A9C"/>
    <w:rsid w:val="008B4ED3"/>
    <w:rsid w:val="008B523F"/>
    <w:rsid w:val="008B564C"/>
    <w:rsid w:val="008B59E8"/>
    <w:rsid w:val="008B5BD7"/>
    <w:rsid w:val="008B657A"/>
    <w:rsid w:val="008B68D9"/>
    <w:rsid w:val="008B6D9F"/>
    <w:rsid w:val="008B70A0"/>
    <w:rsid w:val="008B76EB"/>
    <w:rsid w:val="008B77E8"/>
    <w:rsid w:val="008B783C"/>
    <w:rsid w:val="008B7A36"/>
    <w:rsid w:val="008B7B33"/>
    <w:rsid w:val="008B7B9A"/>
    <w:rsid w:val="008B7DFF"/>
    <w:rsid w:val="008C0072"/>
    <w:rsid w:val="008C00AC"/>
    <w:rsid w:val="008C077E"/>
    <w:rsid w:val="008C09AE"/>
    <w:rsid w:val="008C0BDA"/>
    <w:rsid w:val="008C0D45"/>
    <w:rsid w:val="008C10B4"/>
    <w:rsid w:val="008C1974"/>
    <w:rsid w:val="008C2220"/>
    <w:rsid w:val="008C2230"/>
    <w:rsid w:val="008C2471"/>
    <w:rsid w:val="008C2653"/>
    <w:rsid w:val="008C2C30"/>
    <w:rsid w:val="008C30C5"/>
    <w:rsid w:val="008C3239"/>
    <w:rsid w:val="008C359B"/>
    <w:rsid w:val="008C3A30"/>
    <w:rsid w:val="008C3B14"/>
    <w:rsid w:val="008C3D05"/>
    <w:rsid w:val="008C4312"/>
    <w:rsid w:val="008C4403"/>
    <w:rsid w:val="008C4677"/>
    <w:rsid w:val="008C4A17"/>
    <w:rsid w:val="008C5100"/>
    <w:rsid w:val="008C531C"/>
    <w:rsid w:val="008C5390"/>
    <w:rsid w:val="008C5C36"/>
    <w:rsid w:val="008C5DB0"/>
    <w:rsid w:val="008C60A1"/>
    <w:rsid w:val="008C6729"/>
    <w:rsid w:val="008C6732"/>
    <w:rsid w:val="008C6848"/>
    <w:rsid w:val="008C6EBC"/>
    <w:rsid w:val="008C7253"/>
    <w:rsid w:val="008C7265"/>
    <w:rsid w:val="008C79A3"/>
    <w:rsid w:val="008C7C76"/>
    <w:rsid w:val="008C7CFB"/>
    <w:rsid w:val="008D01C3"/>
    <w:rsid w:val="008D0A83"/>
    <w:rsid w:val="008D1175"/>
    <w:rsid w:val="008D11BD"/>
    <w:rsid w:val="008D1A4E"/>
    <w:rsid w:val="008D1CF7"/>
    <w:rsid w:val="008D2B3D"/>
    <w:rsid w:val="008D3132"/>
    <w:rsid w:val="008D3DC2"/>
    <w:rsid w:val="008D3DDF"/>
    <w:rsid w:val="008D4235"/>
    <w:rsid w:val="008D4260"/>
    <w:rsid w:val="008D4630"/>
    <w:rsid w:val="008D478F"/>
    <w:rsid w:val="008D483A"/>
    <w:rsid w:val="008D4AF5"/>
    <w:rsid w:val="008D4D8B"/>
    <w:rsid w:val="008D5035"/>
    <w:rsid w:val="008D5798"/>
    <w:rsid w:val="008D5AA2"/>
    <w:rsid w:val="008D5AD3"/>
    <w:rsid w:val="008D68A6"/>
    <w:rsid w:val="008D7151"/>
    <w:rsid w:val="008D7172"/>
    <w:rsid w:val="008D7185"/>
    <w:rsid w:val="008D72AB"/>
    <w:rsid w:val="008D782A"/>
    <w:rsid w:val="008D7CD3"/>
    <w:rsid w:val="008E04BB"/>
    <w:rsid w:val="008E066D"/>
    <w:rsid w:val="008E1353"/>
    <w:rsid w:val="008E13FD"/>
    <w:rsid w:val="008E1418"/>
    <w:rsid w:val="008E1744"/>
    <w:rsid w:val="008E1790"/>
    <w:rsid w:val="008E1A20"/>
    <w:rsid w:val="008E291F"/>
    <w:rsid w:val="008E2979"/>
    <w:rsid w:val="008E3385"/>
    <w:rsid w:val="008E3BDF"/>
    <w:rsid w:val="008E3F7B"/>
    <w:rsid w:val="008E425F"/>
    <w:rsid w:val="008E434D"/>
    <w:rsid w:val="008E43ED"/>
    <w:rsid w:val="008E4B88"/>
    <w:rsid w:val="008E4DCD"/>
    <w:rsid w:val="008E50AC"/>
    <w:rsid w:val="008E577C"/>
    <w:rsid w:val="008E5E25"/>
    <w:rsid w:val="008E6264"/>
    <w:rsid w:val="008E62C6"/>
    <w:rsid w:val="008E641E"/>
    <w:rsid w:val="008E66BA"/>
    <w:rsid w:val="008E6922"/>
    <w:rsid w:val="008E6C6F"/>
    <w:rsid w:val="008E6DD1"/>
    <w:rsid w:val="008E6E1A"/>
    <w:rsid w:val="008E6F2B"/>
    <w:rsid w:val="008E7271"/>
    <w:rsid w:val="008E7701"/>
    <w:rsid w:val="008F06D1"/>
    <w:rsid w:val="008F07FD"/>
    <w:rsid w:val="008F0A62"/>
    <w:rsid w:val="008F0B81"/>
    <w:rsid w:val="008F14E8"/>
    <w:rsid w:val="008F1AA9"/>
    <w:rsid w:val="008F1C91"/>
    <w:rsid w:val="008F206F"/>
    <w:rsid w:val="008F2106"/>
    <w:rsid w:val="008F29FA"/>
    <w:rsid w:val="008F2AC6"/>
    <w:rsid w:val="008F3630"/>
    <w:rsid w:val="008F36F0"/>
    <w:rsid w:val="008F392D"/>
    <w:rsid w:val="008F3B96"/>
    <w:rsid w:val="008F45E7"/>
    <w:rsid w:val="008F4999"/>
    <w:rsid w:val="008F4B61"/>
    <w:rsid w:val="008F4F8A"/>
    <w:rsid w:val="008F51CD"/>
    <w:rsid w:val="008F56AD"/>
    <w:rsid w:val="008F56C5"/>
    <w:rsid w:val="008F6324"/>
    <w:rsid w:val="008F66A4"/>
    <w:rsid w:val="008F6966"/>
    <w:rsid w:val="008F69F3"/>
    <w:rsid w:val="008F73CF"/>
    <w:rsid w:val="008F75A1"/>
    <w:rsid w:val="008F7869"/>
    <w:rsid w:val="008F7B69"/>
    <w:rsid w:val="00900400"/>
    <w:rsid w:val="009004DD"/>
    <w:rsid w:val="00900957"/>
    <w:rsid w:val="00900D80"/>
    <w:rsid w:val="00900EAA"/>
    <w:rsid w:val="00901077"/>
    <w:rsid w:val="0090123D"/>
    <w:rsid w:val="00901495"/>
    <w:rsid w:val="00901611"/>
    <w:rsid w:val="009019B9"/>
    <w:rsid w:val="00902700"/>
    <w:rsid w:val="00902749"/>
    <w:rsid w:val="00902B96"/>
    <w:rsid w:val="00902D43"/>
    <w:rsid w:val="0090318F"/>
    <w:rsid w:val="00903271"/>
    <w:rsid w:val="00903310"/>
    <w:rsid w:val="00903338"/>
    <w:rsid w:val="009035A1"/>
    <w:rsid w:val="009046F7"/>
    <w:rsid w:val="00904993"/>
    <w:rsid w:val="00904B18"/>
    <w:rsid w:val="00904C4D"/>
    <w:rsid w:val="00904EB0"/>
    <w:rsid w:val="009051D1"/>
    <w:rsid w:val="009052E0"/>
    <w:rsid w:val="00905481"/>
    <w:rsid w:val="00905981"/>
    <w:rsid w:val="00905AC9"/>
    <w:rsid w:val="00905D39"/>
    <w:rsid w:val="009060A7"/>
    <w:rsid w:val="00906418"/>
    <w:rsid w:val="0090668A"/>
    <w:rsid w:val="0090694F"/>
    <w:rsid w:val="00906AA0"/>
    <w:rsid w:val="00906B59"/>
    <w:rsid w:val="00906C67"/>
    <w:rsid w:val="00906C81"/>
    <w:rsid w:val="0090703C"/>
    <w:rsid w:val="00907098"/>
    <w:rsid w:val="009077AC"/>
    <w:rsid w:val="00907D24"/>
    <w:rsid w:val="00907D9D"/>
    <w:rsid w:val="00907F71"/>
    <w:rsid w:val="00907FCC"/>
    <w:rsid w:val="009100D4"/>
    <w:rsid w:val="009101DA"/>
    <w:rsid w:val="009107E5"/>
    <w:rsid w:val="00910A45"/>
    <w:rsid w:val="00910C4C"/>
    <w:rsid w:val="00911026"/>
    <w:rsid w:val="0091103C"/>
    <w:rsid w:val="009113DC"/>
    <w:rsid w:val="00911668"/>
    <w:rsid w:val="009118AD"/>
    <w:rsid w:val="00911BB2"/>
    <w:rsid w:val="009120E7"/>
    <w:rsid w:val="00912320"/>
    <w:rsid w:val="00912441"/>
    <w:rsid w:val="00912586"/>
    <w:rsid w:val="00912819"/>
    <w:rsid w:val="0091283C"/>
    <w:rsid w:val="009128FD"/>
    <w:rsid w:val="00912BC6"/>
    <w:rsid w:val="00912C9D"/>
    <w:rsid w:val="00913535"/>
    <w:rsid w:val="00913628"/>
    <w:rsid w:val="00913D5B"/>
    <w:rsid w:val="00913EEA"/>
    <w:rsid w:val="00914102"/>
    <w:rsid w:val="00914C0E"/>
    <w:rsid w:val="00914E48"/>
    <w:rsid w:val="00914E54"/>
    <w:rsid w:val="00914F80"/>
    <w:rsid w:val="009153D0"/>
    <w:rsid w:val="0091570D"/>
    <w:rsid w:val="00915F90"/>
    <w:rsid w:val="00916413"/>
    <w:rsid w:val="00916439"/>
    <w:rsid w:val="0091684E"/>
    <w:rsid w:val="009169C7"/>
    <w:rsid w:val="00916D90"/>
    <w:rsid w:val="00916E61"/>
    <w:rsid w:val="009170F4"/>
    <w:rsid w:val="0091710F"/>
    <w:rsid w:val="0091715A"/>
    <w:rsid w:val="0091719F"/>
    <w:rsid w:val="009173F5"/>
    <w:rsid w:val="009175AF"/>
    <w:rsid w:val="00917B10"/>
    <w:rsid w:val="00917BD5"/>
    <w:rsid w:val="009200CE"/>
    <w:rsid w:val="009207A0"/>
    <w:rsid w:val="009207C1"/>
    <w:rsid w:val="00920B46"/>
    <w:rsid w:val="00920CAB"/>
    <w:rsid w:val="00920DFE"/>
    <w:rsid w:val="009215F2"/>
    <w:rsid w:val="0092169F"/>
    <w:rsid w:val="00921C44"/>
    <w:rsid w:val="00921DAF"/>
    <w:rsid w:val="00921ED2"/>
    <w:rsid w:val="00921F4D"/>
    <w:rsid w:val="00921FB3"/>
    <w:rsid w:val="0092209B"/>
    <w:rsid w:val="009227EE"/>
    <w:rsid w:val="00923024"/>
    <w:rsid w:val="009231F9"/>
    <w:rsid w:val="0092327C"/>
    <w:rsid w:val="00923598"/>
    <w:rsid w:val="00923F99"/>
    <w:rsid w:val="0092510C"/>
    <w:rsid w:val="00925F90"/>
    <w:rsid w:val="00926235"/>
    <w:rsid w:val="009265AB"/>
    <w:rsid w:val="0092664B"/>
    <w:rsid w:val="009267BB"/>
    <w:rsid w:val="00926D37"/>
    <w:rsid w:val="00926DC8"/>
    <w:rsid w:val="00926E00"/>
    <w:rsid w:val="00927108"/>
    <w:rsid w:val="009273AA"/>
    <w:rsid w:val="009277A9"/>
    <w:rsid w:val="009279C2"/>
    <w:rsid w:val="009279D4"/>
    <w:rsid w:val="00927C27"/>
    <w:rsid w:val="00927DA4"/>
    <w:rsid w:val="0093031C"/>
    <w:rsid w:val="0093093A"/>
    <w:rsid w:val="00930CC6"/>
    <w:rsid w:val="00930DBB"/>
    <w:rsid w:val="009311B5"/>
    <w:rsid w:val="00931322"/>
    <w:rsid w:val="009313AF"/>
    <w:rsid w:val="009317D0"/>
    <w:rsid w:val="00931A98"/>
    <w:rsid w:val="00931B53"/>
    <w:rsid w:val="0093219D"/>
    <w:rsid w:val="0093287C"/>
    <w:rsid w:val="00932BED"/>
    <w:rsid w:val="00932D3F"/>
    <w:rsid w:val="00932EB5"/>
    <w:rsid w:val="00932F72"/>
    <w:rsid w:val="00933941"/>
    <w:rsid w:val="00933AEE"/>
    <w:rsid w:val="00933B5C"/>
    <w:rsid w:val="00933C90"/>
    <w:rsid w:val="0093426C"/>
    <w:rsid w:val="009343AD"/>
    <w:rsid w:val="009344A1"/>
    <w:rsid w:val="00934BB4"/>
    <w:rsid w:val="00934CBC"/>
    <w:rsid w:val="009359D1"/>
    <w:rsid w:val="00935B86"/>
    <w:rsid w:val="0093640A"/>
    <w:rsid w:val="009369CB"/>
    <w:rsid w:val="00936EA6"/>
    <w:rsid w:val="00936F18"/>
    <w:rsid w:val="00936FD6"/>
    <w:rsid w:val="009379FA"/>
    <w:rsid w:val="00940176"/>
    <w:rsid w:val="00940645"/>
    <w:rsid w:val="00940655"/>
    <w:rsid w:val="009408FA"/>
    <w:rsid w:val="00940C84"/>
    <w:rsid w:val="009418B8"/>
    <w:rsid w:val="00941910"/>
    <w:rsid w:val="009421D1"/>
    <w:rsid w:val="009422B2"/>
    <w:rsid w:val="0094259E"/>
    <w:rsid w:val="0094272C"/>
    <w:rsid w:val="0094291C"/>
    <w:rsid w:val="00942A63"/>
    <w:rsid w:val="00942D2A"/>
    <w:rsid w:val="00942E92"/>
    <w:rsid w:val="00943634"/>
    <w:rsid w:val="00944002"/>
    <w:rsid w:val="009440D8"/>
    <w:rsid w:val="00944501"/>
    <w:rsid w:val="009454DB"/>
    <w:rsid w:val="00945539"/>
    <w:rsid w:val="00945620"/>
    <w:rsid w:val="00945ACA"/>
    <w:rsid w:val="00945FE3"/>
    <w:rsid w:val="00946243"/>
    <w:rsid w:val="00946AFF"/>
    <w:rsid w:val="00946CA8"/>
    <w:rsid w:val="00946F76"/>
    <w:rsid w:val="00946FCE"/>
    <w:rsid w:val="00947099"/>
    <w:rsid w:val="009472D7"/>
    <w:rsid w:val="00947406"/>
    <w:rsid w:val="009475F9"/>
    <w:rsid w:val="0094782D"/>
    <w:rsid w:val="00947949"/>
    <w:rsid w:val="00947BD9"/>
    <w:rsid w:val="00947DD3"/>
    <w:rsid w:val="00950062"/>
    <w:rsid w:val="009502E3"/>
    <w:rsid w:val="00950CB0"/>
    <w:rsid w:val="00950CC2"/>
    <w:rsid w:val="00950FD5"/>
    <w:rsid w:val="00951096"/>
    <w:rsid w:val="009511BC"/>
    <w:rsid w:val="009515AC"/>
    <w:rsid w:val="00951948"/>
    <w:rsid w:val="009524B7"/>
    <w:rsid w:val="00952823"/>
    <w:rsid w:val="00952E6A"/>
    <w:rsid w:val="00953113"/>
    <w:rsid w:val="00953191"/>
    <w:rsid w:val="009533A5"/>
    <w:rsid w:val="009534B8"/>
    <w:rsid w:val="00953799"/>
    <w:rsid w:val="0095380B"/>
    <w:rsid w:val="00953B4E"/>
    <w:rsid w:val="00953CFA"/>
    <w:rsid w:val="00954011"/>
    <w:rsid w:val="009543D4"/>
    <w:rsid w:val="00954628"/>
    <w:rsid w:val="00954C84"/>
    <w:rsid w:val="00955439"/>
    <w:rsid w:val="00955ECA"/>
    <w:rsid w:val="00955F14"/>
    <w:rsid w:val="009571E0"/>
    <w:rsid w:val="00957467"/>
    <w:rsid w:val="009576DE"/>
    <w:rsid w:val="00957723"/>
    <w:rsid w:val="009579B8"/>
    <w:rsid w:val="00960BBD"/>
    <w:rsid w:val="009612FA"/>
    <w:rsid w:val="0096137D"/>
    <w:rsid w:val="00961856"/>
    <w:rsid w:val="00961905"/>
    <w:rsid w:val="00961CB8"/>
    <w:rsid w:val="00961F37"/>
    <w:rsid w:val="00962053"/>
    <w:rsid w:val="00962459"/>
    <w:rsid w:val="009625BC"/>
    <w:rsid w:val="009628F8"/>
    <w:rsid w:val="00962BE2"/>
    <w:rsid w:val="00962D1F"/>
    <w:rsid w:val="00962DDF"/>
    <w:rsid w:val="009631E0"/>
    <w:rsid w:val="009631ED"/>
    <w:rsid w:val="00963EF7"/>
    <w:rsid w:val="0096409E"/>
    <w:rsid w:val="009641D8"/>
    <w:rsid w:val="00964B69"/>
    <w:rsid w:val="00966459"/>
    <w:rsid w:val="0096695F"/>
    <w:rsid w:val="00966B7F"/>
    <w:rsid w:val="00966E7B"/>
    <w:rsid w:val="00967B39"/>
    <w:rsid w:val="00967E72"/>
    <w:rsid w:val="00967F6A"/>
    <w:rsid w:val="00970293"/>
    <w:rsid w:val="009702AA"/>
    <w:rsid w:val="0097071B"/>
    <w:rsid w:val="00970DA5"/>
    <w:rsid w:val="00971033"/>
    <w:rsid w:val="009710E9"/>
    <w:rsid w:val="009712DE"/>
    <w:rsid w:val="00971789"/>
    <w:rsid w:val="00971A0B"/>
    <w:rsid w:val="00971F5D"/>
    <w:rsid w:val="00972ADE"/>
    <w:rsid w:val="00972E2D"/>
    <w:rsid w:val="00972F8E"/>
    <w:rsid w:val="009735E2"/>
    <w:rsid w:val="009736E1"/>
    <w:rsid w:val="00973C72"/>
    <w:rsid w:val="00973FA3"/>
    <w:rsid w:val="009740EE"/>
    <w:rsid w:val="00974167"/>
    <w:rsid w:val="00974434"/>
    <w:rsid w:val="00974733"/>
    <w:rsid w:val="00974921"/>
    <w:rsid w:val="00975572"/>
    <w:rsid w:val="009759C6"/>
    <w:rsid w:val="00975C55"/>
    <w:rsid w:val="0097630C"/>
    <w:rsid w:val="0097650A"/>
    <w:rsid w:val="0097681E"/>
    <w:rsid w:val="00977055"/>
    <w:rsid w:val="0097722E"/>
    <w:rsid w:val="0097723F"/>
    <w:rsid w:val="00977325"/>
    <w:rsid w:val="00977428"/>
    <w:rsid w:val="00977B99"/>
    <w:rsid w:val="00977DF4"/>
    <w:rsid w:val="009804BB"/>
    <w:rsid w:val="0098051D"/>
    <w:rsid w:val="00980DF2"/>
    <w:rsid w:val="0098117F"/>
    <w:rsid w:val="009811D4"/>
    <w:rsid w:val="009811D5"/>
    <w:rsid w:val="00981D06"/>
    <w:rsid w:val="00982163"/>
    <w:rsid w:val="00982185"/>
    <w:rsid w:val="009825BE"/>
    <w:rsid w:val="00982722"/>
    <w:rsid w:val="00982851"/>
    <w:rsid w:val="00983875"/>
    <w:rsid w:val="00983E83"/>
    <w:rsid w:val="0098495E"/>
    <w:rsid w:val="00984BE4"/>
    <w:rsid w:val="009859A8"/>
    <w:rsid w:val="00986394"/>
    <w:rsid w:val="00986795"/>
    <w:rsid w:val="00986A38"/>
    <w:rsid w:val="00986BAF"/>
    <w:rsid w:val="00987A3F"/>
    <w:rsid w:val="00990B0C"/>
    <w:rsid w:val="00990B74"/>
    <w:rsid w:val="0099126F"/>
    <w:rsid w:val="00991EA3"/>
    <w:rsid w:val="00991FCC"/>
    <w:rsid w:val="009927E5"/>
    <w:rsid w:val="00993262"/>
    <w:rsid w:val="00993300"/>
    <w:rsid w:val="009938C2"/>
    <w:rsid w:val="00993B75"/>
    <w:rsid w:val="00993BD8"/>
    <w:rsid w:val="00993C12"/>
    <w:rsid w:val="00993E5A"/>
    <w:rsid w:val="009941EC"/>
    <w:rsid w:val="00994CD8"/>
    <w:rsid w:val="00994FD2"/>
    <w:rsid w:val="009950DE"/>
    <w:rsid w:val="0099513F"/>
    <w:rsid w:val="0099580C"/>
    <w:rsid w:val="00995C41"/>
    <w:rsid w:val="00996893"/>
    <w:rsid w:val="00996FF7"/>
    <w:rsid w:val="009972CB"/>
    <w:rsid w:val="00997590"/>
    <w:rsid w:val="00997B4D"/>
    <w:rsid w:val="009A0063"/>
    <w:rsid w:val="009A0A4E"/>
    <w:rsid w:val="009A0EEF"/>
    <w:rsid w:val="009A1902"/>
    <w:rsid w:val="009A196B"/>
    <w:rsid w:val="009A1BEA"/>
    <w:rsid w:val="009A1D66"/>
    <w:rsid w:val="009A1DCB"/>
    <w:rsid w:val="009A1EC9"/>
    <w:rsid w:val="009A1F3A"/>
    <w:rsid w:val="009A25FD"/>
    <w:rsid w:val="009A2F2F"/>
    <w:rsid w:val="009A3812"/>
    <w:rsid w:val="009A38AA"/>
    <w:rsid w:val="009A3DC4"/>
    <w:rsid w:val="009A3F12"/>
    <w:rsid w:val="009A4206"/>
    <w:rsid w:val="009A42B3"/>
    <w:rsid w:val="009A4300"/>
    <w:rsid w:val="009A4375"/>
    <w:rsid w:val="009A437D"/>
    <w:rsid w:val="009A46C3"/>
    <w:rsid w:val="009A4FD8"/>
    <w:rsid w:val="009A500A"/>
    <w:rsid w:val="009A5258"/>
    <w:rsid w:val="009A5465"/>
    <w:rsid w:val="009A5F5D"/>
    <w:rsid w:val="009A682A"/>
    <w:rsid w:val="009A689C"/>
    <w:rsid w:val="009A6ADE"/>
    <w:rsid w:val="009A6B33"/>
    <w:rsid w:val="009A7152"/>
    <w:rsid w:val="009A7488"/>
    <w:rsid w:val="009A7605"/>
    <w:rsid w:val="009B00D1"/>
    <w:rsid w:val="009B095A"/>
    <w:rsid w:val="009B0BFE"/>
    <w:rsid w:val="009B0CC7"/>
    <w:rsid w:val="009B1190"/>
    <w:rsid w:val="009B1445"/>
    <w:rsid w:val="009B16BC"/>
    <w:rsid w:val="009B2229"/>
    <w:rsid w:val="009B2629"/>
    <w:rsid w:val="009B26E0"/>
    <w:rsid w:val="009B2855"/>
    <w:rsid w:val="009B2AE9"/>
    <w:rsid w:val="009B2D80"/>
    <w:rsid w:val="009B3731"/>
    <w:rsid w:val="009B3E0B"/>
    <w:rsid w:val="009B44AC"/>
    <w:rsid w:val="009B490F"/>
    <w:rsid w:val="009B4EA8"/>
    <w:rsid w:val="009B5E42"/>
    <w:rsid w:val="009B5F05"/>
    <w:rsid w:val="009B60E0"/>
    <w:rsid w:val="009B66E4"/>
    <w:rsid w:val="009B6CDB"/>
    <w:rsid w:val="009B6E64"/>
    <w:rsid w:val="009B6E84"/>
    <w:rsid w:val="009B7016"/>
    <w:rsid w:val="009B70A3"/>
    <w:rsid w:val="009B77A0"/>
    <w:rsid w:val="009B797C"/>
    <w:rsid w:val="009C01FC"/>
    <w:rsid w:val="009C0242"/>
    <w:rsid w:val="009C0376"/>
    <w:rsid w:val="009C055D"/>
    <w:rsid w:val="009C0735"/>
    <w:rsid w:val="009C08A6"/>
    <w:rsid w:val="009C0DA1"/>
    <w:rsid w:val="009C135B"/>
    <w:rsid w:val="009C1458"/>
    <w:rsid w:val="009C1512"/>
    <w:rsid w:val="009C1744"/>
    <w:rsid w:val="009C1858"/>
    <w:rsid w:val="009C1C0A"/>
    <w:rsid w:val="009C206E"/>
    <w:rsid w:val="009C2B79"/>
    <w:rsid w:val="009C2F4A"/>
    <w:rsid w:val="009C322D"/>
    <w:rsid w:val="009C33A7"/>
    <w:rsid w:val="009C3D07"/>
    <w:rsid w:val="009C411A"/>
    <w:rsid w:val="009C4872"/>
    <w:rsid w:val="009C4977"/>
    <w:rsid w:val="009C4C65"/>
    <w:rsid w:val="009C4F30"/>
    <w:rsid w:val="009C5D0D"/>
    <w:rsid w:val="009C606A"/>
    <w:rsid w:val="009C61BF"/>
    <w:rsid w:val="009C66F1"/>
    <w:rsid w:val="009C6DB7"/>
    <w:rsid w:val="009C7448"/>
    <w:rsid w:val="009C759B"/>
    <w:rsid w:val="009C7678"/>
    <w:rsid w:val="009C7B09"/>
    <w:rsid w:val="009C7B4E"/>
    <w:rsid w:val="009C7F55"/>
    <w:rsid w:val="009D0024"/>
    <w:rsid w:val="009D08F4"/>
    <w:rsid w:val="009D0D45"/>
    <w:rsid w:val="009D12D1"/>
    <w:rsid w:val="009D137C"/>
    <w:rsid w:val="009D13FE"/>
    <w:rsid w:val="009D14AB"/>
    <w:rsid w:val="009D15BD"/>
    <w:rsid w:val="009D1CD4"/>
    <w:rsid w:val="009D2477"/>
    <w:rsid w:val="009D25CB"/>
    <w:rsid w:val="009D266B"/>
    <w:rsid w:val="009D28C4"/>
    <w:rsid w:val="009D2A2A"/>
    <w:rsid w:val="009D2F4C"/>
    <w:rsid w:val="009D32B9"/>
    <w:rsid w:val="009D35E7"/>
    <w:rsid w:val="009D3621"/>
    <w:rsid w:val="009D3A12"/>
    <w:rsid w:val="009D3C65"/>
    <w:rsid w:val="009D3ED7"/>
    <w:rsid w:val="009D44BD"/>
    <w:rsid w:val="009D4CBA"/>
    <w:rsid w:val="009D4CBC"/>
    <w:rsid w:val="009D4F75"/>
    <w:rsid w:val="009D56AC"/>
    <w:rsid w:val="009D645A"/>
    <w:rsid w:val="009D6537"/>
    <w:rsid w:val="009D7247"/>
    <w:rsid w:val="009D725A"/>
    <w:rsid w:val="009D759A"/>
    <w:rsid w:val="009D7B42"/>
    <w:rsid w:val="009D7D77"/>
    <w:rsid w:val="009D7E45"/>
    <w:rsid w:val="009D7E4B"/>
    <w:rsid w:val="009E02E7"/>
    <w:rsid w:val="009E0778"/>
    <w:rsid w:val="009E089C"/>
    <w:rsid w:val="009E10C0"/>
    <w:rsid w:val="009E12EC"/>
    <w:rsid w:val="009E1F54"/>
    <w:rsid w:val="009E2BB9"/>
    <w:rsid w:val="009E2F04"/>
    <w:rsid w:val="009E38FD"/>
    <w:rsid w:val="009E3B20"/>
    <w:rsid w:val="009E3EC6"/>
    <w:rsid w:val="009E4B27"/>
    <w:rsid w:val="009E4D08"/>
    <w:rsid w:val="009E513B"/>
    <w:rsid w:val="009E53C5"/>
    <w:rsid w:val="009E53EA"/>
    <w:rsid w:val="009E5469"/>
    <w:rsid w:val="009E5671"/>
    <w:rsid w:val="009E56FD"/>
    <w:rsid w:val="009E57C8"/>
    <w:rsid w:val="009E61D5"/>
    <w:rsid w:val="009E6298"/>
    <w:rsid w:val="009E644B"/>
    <w:rsid w:val="009E6B4E"/>
    <w:rsid w:val="009E712C"/>
    <w:rsid w:val="009E7230"/>
    <w:rsid w:val="009E77C9"/>
    <w:rsid w:val="009E7CA1"/>
    <w:rsid w:val="009E7F9A"/>
    <w:rsid w:val="009F085E"/>
    <w:rsid w:val="009F13DD"/>
    <w:rsid w:val="009F18E5"/>
    <w:rsid w:val="009F1C88"/>
    <w:rsid w:val="009F1F7F"/>
    <w:rsid w:val="009F2CB2"/>
    <w:rsid w:val="009F2CD7"/>
    <w:rsid w:val="009F2F67"/>
    <w:rsid w:val="009F3194"/>
    <w:rsid w:val="009F382A"/>
    <w:rsid w:val="009F3AC3"/>
    <w:rsid w:val="009F3BE8"/>
    <w:rsid w:val="009F3D11"/>
    <w:rsid w:val="009F40ED"/>
    <w:rsid w:val="009F469B"/>
    <w:rsid w:val="009F4874"/>
    <w:rsid w:val="009F5516"/>
    <w:rsid w:val="009F553E"/>
    <w:rsid w:val="009F55BF"/>
    <w:rsid w:val="009F6245"/>
    <w:rsid w:val="009F71C9"/>
    <w:rsid w:val="009F72BC"/>
    <w:rsid w:val="009F7A87"/>
    <w:rsid w:val="009F7D74"/>
    <w:rsid w:val="00A00092"/>
    <w:rsid w:val="00A001E8"/>
    <w:rsid w:val="00A00552"/>
    <w:rsid w:val="00A00FBD"/>
    <w:rsid w:val="00A012BB"/>
    <w:rsid w:val="00A01418"/>
    <w:rsid w:val="00A01F22"/>
    <w:rsid w:val="00A0202E"/>
    <w:rsid w:val="00A0269A"/>
    <w:rsid w:val="00A02888"/>
    <w:rsid w:val="00A02D78"/>
    <w:rsid w:val="00A03009"/>
    <w:rsid w:val="00A032A2"/>
    <w:rsid w:val="00A03344"/>
    <w:rsid w:val="00A0348E"/>
    <w:rsid w:val="00A03AB9"/>
    <w:rsid w:val="00A03AE6"/>
    <w:rsid w:val="00A03E0D"/>
    <w:rsid w:val="00A03F4D"/>
    <w:rsid w:val="00A04599"/>
    <w:rsid w:val="00A0490A"/>
    <w:rsid w:val="00A04B75"/>
    <w:rsid w:val="00A051BE"/>
    <w:rsid w:val="00A05F76"/>
    <w:rsid w:val="00A060C5"/>
    <w:rsid w:val="00A0694C"/>
    <w:rsid w:val="00A06ABE"/>
    <w:rsid w:val="00A06E31"/>
    <w:rsid w:val="00A071D2"/>
    <w:rsid w:val="00A075B1"/>
    <w:rsid w:val="00A07C08"/>
    <w:rsid w:val="00A07D98"/>
    <w:rsid w:val="00A07F4B"/>
    <w:rsid w:val="00A108CC"/>
    <w:rsid w:val="00A10CA5"/>
    <w:rsid w:val="00A10D4F"/>
    <w:rsid w:val="00A11287"/>
    <w:rsid w:val="00A112FD"/>
    <w:rsid w:val="00A1149D"/>
    <w:rsid w:val="00A115E6"/>
    <w:rsid w:val="00A1166D"/>
    <w:rsid w:val="00A12470"/>
    <w:rsid w:val="00A1247E"/>
    <w:rsid w:val="00A12C6B"/>
    <w:rsid w:val="00A12DEE"/>
    <w:rsid w:val="00A13D2B"/>
    <w:rsid w:val="00A13FE2"/>
    <w:rsid w:val="00A140E8"/>
    <w:rsid w:val="00A1412E"/>
    <w:rsid w:val="00A14CD6"/>
    <w:rsid w:val="00A14D5B"/>
    <w:rsid w:val="00A14E9F"/>
    <w:rsid w:val="00A1512E"/>
    <w:rsid w:val="00A15B20"/>
    <w:rsid w:val="00A15CF8"/>
    <w:rsid w:val="00A1602C"/>
    <w:rsid w:val="00A167A5"/>
    <w:rsid w:val="00A167D2"/>
    <w:rsid w:val="00A16998"/>
    <w:rsid w:val="00A1732D"/>
    <w:rsid w:val="00A17F70"/>
    <w:rsid w:val="00A203CA"/>
    <w:rsid w:val="00A20728"/>
    <w:rsid w:val="00A20811"/>
    <w:rsid w:val="00A20827"/>
    <w:rsid w:val="00A209A8"/>
    <w:rsid w:val="00A210E6"/>
    <w:rsid w:val="00A21A9D"/>
    <w:rsid w:val="00A21F03"/>
    <w:rsid w:val="00A220B8"/>
    <w:rsid w:val="00A223AD"/>
    <w:rsid w:val="00A22687"/>
    <w:rsid w:val="00A226BE"/>
    <w:rsid w:val="00A22A4E"/>
    <w:rsid w:val="00A22EFA"/>
    <w:rsid w:val="00A2313B"/>
    <w:rsid w:val="00A23559"/>
    <w:rsid w:val="00A24505"/>
    <w:rsid w:val="00A24DA8"/>
    <w:rsid w:val="00A24F21"/>
    <w:rsid w:val="00A24F74"/>
    <w:rsid w:val="00A252DC"/>
    <w:rsid w:val="00A2554B"/>
    <w:rsid w:val="00A25AA8"/>
    <w:rsid w:val="00A25ECF"/>
    <w:rsid w:val="00A25F8A"/>
    <w:rsid w:val="00A26689"/>
    <w:rsid w:val="00A2669E"/>
    <w:rsid w:val="00A267F1"/>
    <w:rsid w:val="00A2682A"/>
    <w:rsid w:val="00A268E1"/>
    <w:rsid w:val="00A26B50"/>
    <w:rsid w:val="00A274AA"/>
    <w:rsid w:val="00A279E9"/>
    <w:rsid w:val="00A27D20"/>
    <w:rsid w:val="00A27F49"/>
    <w:rsid w:val="00A30166"/>
    <w:rsid w:val="00A30335"/>
    <w:rsid w:val="00A3085C"/>
    <w:rsid w:val="00A30D69"/>
    <w:rsid w:val="00A313CB"/>
    <w:rsid w:val="00A3154A"/>
    <w:rsid w:val="00A3189D"/>
    <w:rsid w:val="00A326B1"/>
    <w:rsid w:val="00A328CC"/>
    <w:rsid w:val="00A33286"/>
    <w:rsid w:val="00A337F5"/>
    <w:rsid w:val="00A3390E"/>
    <w:rsid w:val="00A33BE7"/>
    <w:rsid w:val="00A33D60"/>
    <w:rsid w:val="00A33E27"/>
    <w:rsid w:val="00A34226"/>
    <w:rsid w:val="00A344CA"/>
    <w:rsid w:val="00A347DF"/>
    <w:rsid w:val="00A34BAF"/>
    <w:rsid w:val="00A34E7F"/>
    <w:rsid w:val="00A35064"/>
    <w:rsid w:val="00A350D9"/>
    <w:rsid w:val="00A352A7"/>
    <w:rsid w:val="00A357AB"/>
    <w:rsid w:val="00A35C2C"/>
    <w:rsid w:val="00A35CA0"/>
    <w:rsid w:val="00A364D1"/>
    <w:rsid w:val="00A37141"/>
    <w:rsid w:val="00A373EB"/>
    <w:rsid w:val="00A37D31"/>
    <w:rsid w:val="00A405DB"/>
    <w:rsid w:val="00A407B6"/>
    <w:rsid w:val="00A40CBE"/>
    <w:rsid w:val="00A41439"/>
    <w:rsid w:val="00A41902"/>
    <w:rsid w:val="00A41930"/>
    <w:rsid w:val="00A42073"/>
    <w:rsid w:val="00A42286"/>
    <w:rsid w:val="00A422B1"/>
    <w:rsid w:val="00A42470"/>
    <w:rsid w:val="00A424F1"/>
    <w:rsid w:val="00A42718"/>
    <w:rsid w:val="00A4279A"/>
    <w:rsid w:val="00A42C95"/>
    <w:rsid w:val="00A42DCD"/>
    <w:rsid w:val="00A43448"/>
    <w:rsid w:val="00A43C14"/>
    <w:rsid w:val="00A440C8"/>
    <w:rsid w:val="00A447A1"/>
    <w:rsid w:val="00A44AFF"/>
    <w:rsid w:val="00A44B5A"/>
    <w:rsid w:val="00A44BC1"/>
    <w:rsid w:val="00A44C76"/>
    <w:rsid w:val="00A4504B"/>
    <w:rsid w:val="00A4517C"/>
    <w:rsid w:val="00A45227"/>
    <w:rsid w:val="00A45830"/>
    <w:rsid w:val="00A4599E"/>
    <w:rsid w:val="00A45DE2"/>
    <w:rsid w:val="00A45E2B"/>
    <w:rsid w:val="00A46032"/>
    <w:rsid w:val="00A464D1"/>
    <w:rsid w:val="00A465AE"/>
    <w:rsid w:val="00A4672A"/>
    <w:rsid w:val="00A46F06"/>
    <w:rsid w:val="00A4741D"/>
    <w:rsid w:val="00A47D3F"/>
    <w:rsid w:val="00A47FD2"/>
    <w:rsid w:val="00A503E0"/>
    <w:rsid w:val="00A507CD"/>
    <w:rsid w:val="00A50DC2"/>
    <w:rsid w:val="00A510C3"/>
    <w:rsid w:val="00A516CD"/>
    <w:rsid w:val="00A516E0"/>
    <w:rsid w:val="00A519A6"/>
    <w:rsid w:val="00A521E1"/>
    <w:rsid w:val="00A52E7F"/>
    <w:rsid w:val="00A53407"/>
    <w:rsid w:val="00A53A85"/>
    <w:rsid w:val="00A53DCC"/>
    <w:rsid w:val="00A54B62"/>
    <w:rsid w:val="00A54C0E"/>
    <w:rsid w:val="00A54DB7"/>
    <w:rsid w:val="00A55082"/>
    <w:rsid w:val="00A5574F"/>
    <w:rsid w:val="00A55A4F"/>
    <w:rsid w:val="00A55AD9"/>
    <w:rsid w:val="00A5612A"/>
    <w:rsid w:val="00A564F2"/>
    <w:rsid w:val="00A565B3"/>
    <w:rsid w:val="00A565BE"/>
    <w:rsid w:val="00A56F2E"/>
    <w:rsid w:val="00A573C7"/>
    <w:rsid w:val="00A57C0D"/>
    <w:rsid w:val="00A601F9"/>
    <w:rsid w:val="00A6033C"/>
    <w:rsid w:val="00A60D51"/>
    <w:rsid w:val="00A60F0D"/>
    <w:rsid w:val="00A60F7A"/>
    <w:rsid w:val="00A61615"/>
    <w:rsid w:val="00A61B5D"/>
    <w:rsid w:val="00A62383"/>
    <w:rsid w:val="00A62B34"/>
    <w:rsid w:val="00A6487B"/>
    <w:rsid w:val="00A64BA3"/>
    <w:rsid w:val="00A64DAE"/>
    <w:rsid w:val="00A651F9"/>
    <w:rsid w:val="00A65303"/>
    <w:rsid w:val="00A655BD"/>
    <w:rsid w:val="00A65746"/>
    <w:rsid w:val="00A66515"/>
    <w:rsid w:val="00A66B18"/>
    <w:rsid w:val="00A66BD7"/>
    <w:rsid w:val="00A66E33"/>
    <w:rsid w:val="00A674DA"/>
    <w:rsid w:val="00A6783D"/>
    <w:rsid w:val="00A7018B"/>
    <w:rsid w:val="00A70204"/>
    <w:rsid w:val="00A70213"/>
    <w:rsid w:val="00A7043F"/>
    <w:rsid w:val="00A705FF"/>
    <w:rsid w:val="00A706D7"/>
    <w:rsid w:val="00A7078D"/>
    <w:rsid w:val="00A70BE6"/>
    <w:rsid w:val="00A70D79"/>
    <w:rsid w:val="00A70ED8"/>
    <w:rsid w:val="00A70F63"/>
    <w:rsid w:val="00A710C1"/>
    <w:rsid w:val="00A7113C"/>
    <w:rsid w:val="00A71BCC"/>
    <w:rsid w:val="00A7219F"/>
    <w:rsid w:val="00A721FF"/>
    <w:rsid w:val="00A724D3"/>
    <w:rsid w:val="00A72EDD"/>
    <w:rsid w:val="00A74556"/>
    <w:rsid w:val="00A74F2F"/>
    <w:rsid w:val="00A75505"/>
    <w:rsid w:val="00A7579F"/>
    <w:rsid w:val="00A76181"/>
    <w:rsid w:val="00A76533"/>
    <w:rsid w:val="00A76C92"/>
    <w:rsid w:val="00A76FA9"/>
    <w:rsid w:val="00A77168"/>
    <w:rsid w:val="00A77506"/>
    <w:rsid w:val="00A7778F"/>
    <w:rsid w:val="00A779B1"/>
    <w:rsid w:val="00A77A44"/>
    <w:rsid w:val="00A77A50"/>
    <w:rsid w:val="00A77D0B"/>
    <w:rsid w:val="00A77D8E"/>
    <w:rsid w:val="00A800B4"/>
    <w:rsid w:val="00A80190"/>
    <w:rsid w:val="00A801EA"/>
    <w:rsid w:val="00A8038F"/>
    <w:rsid w:val="00A8094B"/>
    <w:rsid w:val="00A80EFF"/>
    <w:rsid w:val="00A81BFF"/>
    <w:rsid w:val="00A81DED"/>
    <w:rsid w:val="00A81E3F"/>
    <w:rsid w:val="00A825EB"/>
    <w:rsid w:val="00A82683"/>
    <w:rsid w:val="00A82913"/>
    <w:rsid w:val="00A82B2A"/>
    <w:rsid w:val="00A82CB7"/>
    <w:rsid w:val="00A82DCA"/>
    <w:rsid w:val="00A82E37"/>
    <w:rsid w:val="00A832CF"/>
    <w:rsid w:val="00A83637"/>
    <w:rsid w:val="00A83840"/>
    <w:rsid w:val="00A841AE"/>
    <w:rsid w:val="00A84E1D"/>
    <w:rsid w:val="00A84E92"/>
    <w:rsid w:val="00A8530B"/>
    <w:rsid w:val="00A85527"/>
    <w:rsid w:val="00A85755"/>
    <w:rsid w:val="00A8618F"/>
    <w:rsid w:val="00A866CD"/>
    <w:rsid w:val="00A86890"/>
    <w:rsid w:val="00A86BDC"/>
    <w:rsid w:val="00A86C9C"/>
    <w:rsid w:val="00A8735D"/>
    <w:rsid w:val="00A875C4"/>
    <w:rsid w:val="00A87604"/>
    <w:rsid w:val="00A878C0"/>
    <w:rsid w:val="00A90BFB"/>
    <w:rsid w:val="00A90CA0"/>
    <w:rsid w:val="00A90D4C"/>
    <w:rsid w:val="00A918B9"/>
    <w:rsid w:val="00A91EA6"/>
    <w:rsid w:val="00A91F94"/>
    <w:rsid w:val="00A9200D"/>
    <w:rsid w:val="00A92B3E"/>
    <w:rsid w:val="00A92CCE"/>
    <w:rsid w:val="00A92F27"/>
    <w:rsid w:val="00A9331B"/>
    <w:rsid w:val="00A93978"/>
    <w:rsid w:val="00A93DDC"/>
    <w:rsid w:val="00A93F83"/>
    <w:rsid w:val="00A94202"/>
    <w:rsid w:val="00A942F0"/>
    <w:rsid w:val="00A946CA"/>
    <w:rsid w:val="00A949C2"/>
    <w:rsid w:val="00A94FA8"/>
    <w:rsid w:val="00A95250"/>
    <w:rsid w:val="00A956CB"/>
    <w:rsid w:val="00A95C0C"/>
    <w:rsid w:val="00A95CC0"/>
    <w:rsid w:val="00A95E09"/>
    <w:rsid w:val="00A96690"/>
    <w:rsid w:val="00A969B2"/>
    <w:rsid w:val="00A97245"/>
    <w:rsid w:val="00A9736D"/>
    <w:rsid w:val="00A9751E"/>
    <w:rsid w:val="00A97C6D"/>
    <w:rsid w:val="00AA0647"/>
    <w:rsid w:val="00AA0AAD"/>
    <w:rsid w:val="00AA0C75"/>
    <w:rsid w:val="00AA0CDB"/>
    <w:rsid w:val="00AA18CC"/>
    <w:rsid w:val="00AA1B09"/>
    <w:rsid w:val="00AA1B1A"/>
    <w:rsid w:val="00AA1BB7"/>
    <w:rsid w:val="00AA1F01"/>
    <w:rsid w:val="00AA218F"/>
    <w:rsid w:val="00AA2261"/>
    <w:rsid w:val="00AA23C8"/>
    <w:rsid w:val="00AA2647"/>
    <w:rsid w:val="00AA2DAD"/>
    <w:rsid w:val="00AA3168"/>
    <w:rsid w:val="00AA34C3"/>
    <w:rsid w:val="00AA36C6"/>
    <w:rsid w:val="00AA3A48"/>
    <w:rsid w:val="00AA3F38"/>
    <w:rsid w:val="00AA3F75"/>
    <w:rsid w:val="00AA3FF3"/>
    <w:rsid w:val="00AA4107"/>
    <w:rsid w:val="00AA42ED"/>
    <w:rsid w:val="00AA49B6"/>
    <w:rsid w:val="00AA4C79"/>
    <w:rsid w:val="00AA5FBC"/>
    <w:rsid w:val="00AA624B"/>
    <w:rsid w:val="00AA70C4"/>
    <w:rsid w:val="00AA7350"/>
    <w:rsid w:val="00AA77FE"/>
    <w:rsid w:val="00AA7DB8"/>
    <w:rsid w:val="00AA7DD0"/>
    <w:rsid w:val="00AB049C"/>
    <w:rsid w:val="00AB0708"/>
    <w:rsid w:val="00AB0B9A"/>
    <w:rsid w:val="00AB0F86"/>
    <w:rsid w:val="00AB186C"/>
    <w:rsid w:val="00AB1A5C"/>
    <w:rsid w:val="00AB1F30"/>
    <w:rsid w:val="00AB282D"/>
    <w:rsid w:val="00AB29DF"/>
    <w:rsid w:val="00AB2A0E"/>
    <w:rsid w:val="00AB2F3D"/>
    <w:rsid w:val="00AB3B7F"/>
    <w:rsid w:val="00AB4290"/>
    <w:rsid w:val="00AB45B7"/>
    <w:rsid w:val="00AB4A09"/>
    <w:rsid w:val="00AB4B75"/>
    <w:rsid w:val="00AB4BBE"/>
    <w:rsid w:val="00AB4C10"/>
    <w:rsid w:val="00AB4CE7"/>
    <w:rsid w:val="00AB5006"/>
    <w:rsid w:val="00AB5312"/>
    <w:rsid w:val="00AB54FA"/>
    <w:rsid w:val="00AB5BEC"/>
    <w:rsid w:val="00AB616B"/>
    <w:rsid w:val="00AB657A"/>
    <w:rsid w:val="00AB6593"/>
    <w:rsid w:val="00AB6C14"/>
    <w:rsid w:val="00AB725B"/>
    <w:rsid w:val="00AB7328"/>
    <w:rsid w:val="00AB745C"/>
    <w:rsid w:val="00AB7F26"/>
    <w:rsid w:val="00AC02FB"/>
    <w:rsid w:val="00AC03AE"/>
    <w:rsid w:val="00AC09A4"/>
    <w:rsid w:val="00AC0A62"/>
    <w:rsid w:val="00AC0FDC"/>
    <w:rsid w:val="00AC10DD"/>
    <w:rsid w:val="00AC1429"/>
    <w:rsid w:val="00AC1ADB"/>
    <w:rsid w:val="00AC1D88"/>
    <w:rsid w:val="00AC1E8D"/>
    <w:rsid w:val="00AC2159"/>
    <w:rsid w:val="00AC23BB"/>
    <w:rsid w:val="00AC2536"/>
    <w:rsid w:val="00AC2782"/>
    <w:rsid w:val="00AC29A1"/>
    <w:rsid w:val="00AC2A5E"/>
    <w:rsid w:val="00AC2D11"/>
    <w:rsid w:val="00AC3010"/>
    <w:rsid w:val="00AC3DF5"/>
    <w:rsid w:val="00AC4560"/>
    <w:rsid w:val="00AC469E"/>
    <w:rsid w:val="00AC46D5"/>
    <w:rsid w:val="00AC46D9"/>
    <w:rsid w:val="00AC5186"/>
    <w:rsid w:val="00AC54ED"/>
    <w:rsid w:val="00AC554F"/>
    <w:rsid w:val="00AC56D5"/>
    <w:rsid w:val="00AC572D"/>
    <w:rsid w:val="00AC5C56"/>
    <w:rsid w:val="00AC622A"/>
    <w:rsid w:val="00AC64FA"/>
    <w:rsid w:val="00AC6920"/>
    <w:rsid w:val="00AC6988"/>
    <w:rsid w:val="00AC6B44"/>
    <w:rsid w:val="00AC6C04"/>
    <w:rsid w:val="00AC707C"/>
    <w:rsid w:val="00AC71C3"/>
    <w:rsid w:val="00AC7704"/>
    <w:rsid w:val="00AC7983"/>
    <w:rsid w:val="00AC7AE8"/>
    <w:rsid w:val="00AC7BF6"/>
    <w:rsid w:val="00AC7C46"/>
    <w:rsid w:val="00AD0B5D"/>
    <w:rsid w:val="00AD1025"/>
    <w:rsid w:val="00AD1B33"/>
    <w:rsid w:val="00AD1F74"/>
    <w:rsid w:val="00AD244E"/>
    <w:rsid w:val="00AD24EA"/>
    <w:rsid w:val="00AD269B"/>
    <w:rsid w:val="00AD26B1"/>
    <w:rsid w:val="00AD2DA8"/>
    <w:rsid w:val="00AD360C"/>
    <w:rsid w:val="00AD3A63"/>
    <w:rsid w:val="00AD4236"/>
    <w:rsid w:val="00AD45C3"/>
    <w:rsid w:val="00AD4AFD"/>
    <w:rsid w:val="00AD4E7F"/>
    <w:rsid w:val="00AD5306"/>
    <w:rsid w:val="00AD5455"/>
    <w:rsid w:val="00AD5799"/>
    <w:rsid w:val="00AD57C9"/>
    <w:rsid w:val="00AD5832"/>
    <w:rsid w:val="00AD5B73"/>
    <w:rsid w:val="00AD63B5"/>
    <w:rsid w:val="00AD6758"/>
    <w:rsid w:val="00AD6D10"/>
    <w:rsid w:val="00AD6D7B"/>
    <w:rsid w:val="00AD78AC"/>
    <w:rsid w:val="00AD7949"/>
    <w:rsid w:val="00AD7E31"/>
    <w:rsid w:val="00AE0568"/>
    <w:rsid w:val="00AE0792"/>
    <w:rsid w:val="00AE0C84"/>
    <w:rsid w:val="00AE0D26"/>
    <w:rsid w:val="00AE0F07"/>
    <w:rsid w:val="00AE0F50"/>
    <w:rsid w:val="00AE13CF"/>
    <w:rsid w:val="00AE151C"/>
    <w:rsid w:val="00AE1623"/>
    <w:rsid w:val="00AE1984"/>
    <w:rsid w:val="00AE244F"/>
    <w:rsid w:val="00AE25A5"/>
    <w:rsid w:val="00AE26FE"/>
    <w:rsid w:val="00AE2738"/>
    <w:rsid w:val="00AE29CE"/>
    <w:rsid w:val="00AE2B61"/>
    <w:rsid w:val="00AE2CC3"/>
    <w:rsid w:val="00AE3587"/>
    <w:rsid w:val="00AE3707"/>
    <w:rsid w:val="00AE3AA6"/>
    <w:rsid w:val="00AE3AC6"/>
    <w:rsid w:val="00AE3D31"/>
    <w:rsid w:val="00AE3FE8"/>
    <w:rsid w:val="00AE40D1"/>
    <w:rsid w:val="00AE422C"/>
    <w:rsid w:val="00AE45A4"/>
    <w:rsid w:val="00AE465D"/>
    <w:rsid w:val="00AE4774"/>
    <w:rsid w:val="00AE47EB"/>
    <w:rsid w:val="00AE51F8"/>
    <w:rsid w:val="00AE5683"/>
    <w:rsid w:val="00AE59C6"/>
    <w:rsid w:val="00AE62D9"/>
    <w:rsid w:val="00AE6B49"/>
    <w:rsid w:val="00AE70FF"/>
    <w:rsid w:val="00AE7382"/>
    <w:rsid w:val="00AE74AB"/>
    <w:rsid w:val="00AE759A"/>
    <w:rsid w:val="00AE7913"/>
    <w:rsid w:val="00AE795A"/>
    <w:rsid w:val="00AE7E6A"/>
    <w:rsid w:val="00AF01C2"/>
    <w:rsid w:val="00AF1747"/>
    <w:rsid w:val="00AF19DA"/>
    <w:rsid w:val="00AF1D7E"/>
    <w:rsid w:val="00AF1F96"/>
    <w:rsid w:val="00AF20B5"/>
    <w:rsid w:val="00AF2464"/>
    <w:rsid w:val="00AF285C"/>
    <w:rsid w:val="00AF2CC0"/>
    <w:rsid w:val="00AF3018"/>
    <w:rsid w:val="00AF3409"/>
    <w:rsid w:val="00AF3A87"/>
    <w:rsid w:val="00AF3AFD"/>
    <w:rsid w:val="00AF411C"/>
    <w:rsid w:val="00AF4A1E"/>
    <w:rsid w:val="00AF4B3B"/>
    <w:rsid w:val="00AF4E31"/>
    <w:rsid w:val="00AF4F36"/>
    <w:rsid w:val="00AF50CA"/>
    <w:rsid w:val="00AF5326"/>
    <w:rsid w:val="00AF583D"/>
    <w:rsid w:val="00AF58AE"/>
    <w:rsid w:val="00AF5B07"/>
    <w:rsid w:val="00AF69B0"/>
    <w:rsid w:val="00AF6F8F"/>
    <w:rsid w:val="00AF74EB"/>
    <w:rsid w:val="00AF78B6"/>
    <w:rsid w:val="00AF7A21"/>
    <w:rsid w:val="00B007A2"/>
    <w:rsid w:val="00B00BB1"/>
    <w:rsid w:val="00B00C03"/>
    <w:rsid w:val="00B00CA9"/>
    <w:rsid w:val="00B011D0"/>
    <w:rsid w:val="00B01B6E"/>
    <w:rsid w:val="00B0206E"/>
    <w:rsid w:val="00B02143"/>
    <w:rsid w:val="00B02361"/>
    <w:rsid w:val="00B025D1"/>
    <w:rsid w:val="00B02756"/>
    <w:rsid w:val="00B02A4C"/>
    <w:rsid w:val="00B0362B"/>
    <w:rsid w:val="00B03CFB"/>
    <w:rsid w:val="00B03D41"/>
    <w:rsid w:val="00B03DEE"/>
    <w:rsid w:val="00B0402F"/>
    <w:rsid w:val="00B040F9"/>
    <w:rsid w:val="00B046C9"/>
    <w:rsid w:val="00B046D6"/>
    <w:rsid w:val="00B04FEB"/>
    <w:rsid w:val="00B0503A"/>
    <w:rsid w:val="00B0572E"/>
    <w:rsid w:val="00B0578D"/>
    <w:rsid w:val="00B057C7"/>
    <w:rsid w:val="00B06083"/>
    <w:rsid w:val="00B06414"/>
    <w:rsid w:val="00B067CB"/>
    <w:rsid w:val="00B06920"/>
    <w:rsid w:val="00B06980"/>
    <w:rsid w:val="00B06EA0"/>
    <w:rsid w:val="00B07A01"/>
    <w:rsid w:val="00B07E2A"/>
    <w:rsid w:val="00B10F5B"/>
    <w:rsid w:val="00B11B0E"/>
    <w:rsid w:val="00B11CF2"/>
    <w:rsid w:val="00B1209A"/>
    <w:rsid w:val="00B12307"/>
    <w:rsid w:val="00B12936"/>
    <w:rsid w:val="00B12C5E"/>
    <w:rsid w:val="00B12DD1"/>
    <w:rsid w:val="00B12E3A"/>
    <w:rsid w:val="00B13048"/>
    <w:rsid w:val="00B1339E"/>
    <w:rsid w:val="00B1349B"/>
    <w:rsid w:val="00B13522"/>
    <w:rsid w:val="00B13850"/>
    <w:rsid w:val="00B138DB"/>
    <w:rsid w:val="00B1423B"/>
    <w:rsid w:val="00B1431B"/>
    <w:rsid w:val="00B14788"/>
    <w:rsid w:val="00B1489E"/>
    <w:rsid w:val="00B14A52"/>
    <w:rsid w:val="00B14A6F"/>
    <w:rsid w:val="00B14D16"/>
    <w:rsid w:val="00B14E1A"/>
    <w:rsid w:val="00B14FB5"/>
    <w:rsid w:val="00B15FD8"/>
    <w:rsid w:val="00B15FFA"/>
    <w:rsid w:val="00B163CA"/>
    <w:rsid w:val="00B163F7"/>
    <w:rsid w:val="00B164BA"/>
    <w:rsid w:val="00B1678A"/>
    <w:rsid w:val="00B16ACD"/>
    <w:rsid w:val="00B170D6"/>
    <w:rsid w:val="00B1718A"/>
    <w:rsid w:val="00B1770A"/>
    <w:rsid w:val="00B17C9F"/>
    <w:rsid w:val="00B17E9D"/>
    <w:rsid w:val="00B206FC"/>
    <w:rsid w:val="00B2076A"/>
    <w:rsid w:val="00B20794"/>
    <w:rsid w:val="00B21195"/>
    <w:rsid w:val="00B2123C"/>
    <w:rsid w:val="00B213B6"/>
    <w:rsid w:val="00B21489"/>
    <w:rsid w:val="00B2164C"/>
    <w:rsid w:val="00B21E9E"/>
    <w:rsid w:val="00B237CA"/>
    <w:rsid w:val="00B2384E"/>
    <w:rsid w:val="00B23A0A"/>
    <w:rsid w:val="00B23B04"/>
    <w:rsid w:val="00B23BBF"/>
    <w:rsid w:val="00B23C54"/>
    <w:rsid w:val="00B23DE9"/>
    <w:rsid w:val="00B23E88"/>
    <w:rsid w:val="00B23F3A"/>
    <w:rsid w:val="00B2473F"/>
    <w:rsid w:val="00B2495F"/>
    <w:rsid w:val="00B250A1"/>
    <w:rsid w:val="00B25115"/>
    <w:rsid w:val="00B25574"/>
    <w:rsid w:val="00B255EB"/>
    <w:rsid w:val="00B25807"/>
    <w:rsid w:val="00B25AC1"/>
    <w:rsid w:val="00B25B46"/>
    <w:rsid w:val="00B25C12"/>
    <w:rsid w:val="00B2645D"/>
    <w:rsid w:val="00B2729C"/>
    <w:rsid w:val="00B277EF"/>
    <w:rsid w:val="00B27DEE"/>
    <w:rsid w:val="00B3037B"/>
    <w:rsid w:val="00B303DF"/>
    <w:rsid w:val="00B303E0"/>
    <w:rsid w:val="00B30702"/>
    <w:rsid w:val="00B30A0D"/>
    <w:rsid w:val="00B30D19"/>
    <w:rsid w:val="00B30F33"/>
    <w:rsid w:val="00B310EF"/>
    <w:rsid w:val="00B31170"/>
    <w:rsid w:val="00B31553"/>
    <w:rsid w:val="00B317CA"/>
    <w:rsid w:val="00B3193F"/>
    <w:rsid w:val="00B31A6A"/>
    <w:rsid w:val="00B31BBE"/>
    <w:rsid w:val="00B31D2D"/>
    <w:rsid w:val="00B31DAF"/>
    <w:rsid w:val="00B31ECD"/>
    <w:rsid w:val="00B322CF"/>
    <w:rsid w:val="00B32533"/>
    <w:rsid w:val="00B32D29"/>
    <w:rsid w:val="00B334B7"/>
    <w:rsid w:val="00B335FA"/>
    <w:rsid w:val="00B33772"/>
    <w:rsid w:val="00B34159"/>
    <w:rsid w:val="00B34303"/>
    <w:rsid w:val="00B34481"/>
    <w:rsid w:val="00B3495D"/>
    <w:rsid w:val="00B34AEB"/>
    <w:rsid w:val="00B34BD4"/>
    <w:rsid w:val="00B34D6E"/>
    <w:rsid w:val="00B35F20"/>
    <w:rsid w:val="00B36451"/>
    <w:rsid w:val="00B36663"/>
    <w:rsid w:val="00B366E9"/>
    <w:rsid w:val="00B3672C"/>
    <w:rsid w:val="00B36D53"/>
    <w:rsid w:val="00B36F02"/>
    <w:rsid w:val="00B378FF"/>
    <w:rsid w:val="00B37D5A"/>
    <w:rsid w:val="00B40009"/>
    <w:rsid w:val="00B40229"/>
    <w:rsid w:val="00B40AC5"/>
    <w:rsid w:val="00B40BC1"/>
    <w:rsid w:val="00B4136E"/>
    <w:rsid w:val="00B41A46"/>
    <w:rsid w:val="00B41C37"/>
    <w:rsid w:val="00B41ED9"/>
    <w:rsid w:val="00B42155"/>
    <w:rsid w:val="00B42675"/>
    <w:rsid w:val="00B4270E"/>
    <w:rsid w:val="00B42EE4"/>
    <w:rsid w:val="00B42EEB"/>
    <w:rsid w:val="00B430B6"/>
    <w:rsid w:val="00B43941"/>
    <w:rsid w:val="00B43A9C"/>
    <w:rsid w:val="00B43AA8"/>
    <w:rsid w:val="00B4470A"/>
    <w:rsid w:val="00B45694"/>
    <w:rsid w:val="00B4593D"/>
    <w:rsid w:val="00B46212"/>
    <w:rsid w:val="00B47094"/>
    <w:rsid w:val="00B4714D"/>
    <w:rsid w:val="00B47357"/>
    <w:rsid w:val="00B4761C"/>
    <w:rsid w:val="00B47743"/>
    <w:rsid w:val="00B4796C"/>
    <w:rsid w:val="00B47EBF"/>
    <w:rsid w:val="00B5040B"/>
    <w:rsid w:val="00B504C6"/>
    <w:rsid w:val="00B50C91"/>
    <w:rsid w:val="00B51137"/>
    <w:rsid w:val="00B51179"/>
    <w:rsid w:val="00B514FC"/>
    <w:rsid w:val="00B5178E"/>
    <w:rsid w:val="00B51A70"/>
    <w:rsid w:val="00B51B13"/>
    <w:rsid w:val="00B51BDE"/>
    <w:rsid w:val="00B51C04"/>
    <w:rsid w:val="00B52162"/>
    <w:rsid w:val="00B5285C"/>
    <w:rsid w:val="00B52869"/>
    <w:rsid w:val="00B52A8D"/>
    <w:rsid w:val="00B52FF7"/>
    <w:rsid w:val="00B530E8"/>
    <w:rsid w:val="00B53593"/>
    <w:rsid w:val="00B53B2B"/>
    <w:rsid w:val="00B53B4A"/>
    <w:rsid w:val="00B53D6A"/>
    <w:rsid w:val="00B543EC"/>
    <w:rsid w:val="00B54DE2"/>
    <w:rsid w:val="00B55055"/>
    <w:rsid w:val="00B55135"/>
    <w:rsid w:val="00B55756"/>
    <w:rsid w:val="00B55A5C"/>
    <w:rsid w:val="00B55E6C"/>
    <w:rsid w:val="00B565CB"/>
    <w:rsid w:val="00B56E06"/>
    <w:rsid w:val="00B57378"/>
    <w:rsid w:val="00B57504"/>
    <w:rsid w:val="00B57512"/>
    <w:rsid w:val="00B5753C"/>
    <w:rsid w:val="00B57CD0"/>
    <w:rsid w:val="00B57D46"/>
    <w:rsid w:val="00B57F54"/>
    <w:rsid w:val="00B607F0"/>
    <w:rsid w:val="00B60827"/>
    <w:rsid w:val="00B608A5"/>
    <w:rsid w:val="00B608F2"/>
    <w:rsid w:val="00B60B67"/>
    <w:rsid w:val="00B60C34"/>
    <w:rsid w:val="00B60F95"/>
    <w:rsid w:val="00B611C3"/>
    <w:rsid w:val="00B6127C"/>
    <w:rsid w:val="00B612B7"/>
    <w:rsid w:val="00B614DE"/>
    <w:rsid w:val="00B6150F"/>
    <w:rsid w:val="00B61944"/>
    <w:rsid w:val="00B61E7C"/>
    <w:rsid w:val="00B6204D"/>
    <w:rsid w:val="00B62A18"/>
    <w:rsid w:val="00B62C7D"/>
    <w:rsid w:val="00B63255"/>
    <w:rsid w:val="00B63346"/>
    <w:rsid w:val="00B63617"/>
    <w:rsid w:val="00B63A90"/>
    <w:rsid w:val="00B63EE0"/>
    <w:rsid w:val="00B63FAE"/>
    <w:rsid w:val="00B6434A"/>
    <w:rsid w:val="00B64518"/>
    <w:rsid w:val="00B64E97"/>
    <w:rsid w:val="00B65020"/>
    <w:rsid w:val="00B652A2"/>
    <w:rsid w:val="00B65A05"/>
    <w:rsid w:val="00B65AEB"/>
    <w:rsid w:val="00B65F20"/>
    <w:rsid w:val="00B661E1"/>
    <w:rsid w:val="00B662C4"/>
    <w:rsid w:val="00B667A9"/>
    <w:rsid w:val="00B668F4"/>
    <w:rsid w:val="00B669F3"/>
    <w:rsid w:val="00B66A5E"/>
    <w:rsid w:val="00B66BA4"/>
    <w:rsid w:val="00B66CF0"/>
    <w:rsid w:val="00B66DF8"/>
    <w:rsid w:val="00B66EFE"/>
    <w:rsid w:val="00B6704B"/>
    <w:rsid w:val="00B67BDA"/>
    <w:rsid w:val="00B67DAF"/>
    <w:rsid w:val="00B67F25"/>
    <w:rsid w:val="00B70089"/>
    <w:rsid w:val="00B704D5"/>
    <w:rsid w:val="00B70893"/>
    <w:rsid w:val="00B709BD"/>
    <w:rsid w:val="00B70FDF"/>
    <w:rsid w:val="00B716E7"/>
    <w:rsid w:val="00B71713"/>
    <w:rsid w:val="00B717C3"/>
    <w:rsid w:val="00B72214"/>
    <w:rsid w:val="00B72A0C"/>
    <w:rsid w:val="00B72E16"/>
    <w:rsid w:val="00B73471"/>
    <w:rsid w:val="00B73AC7"/>
    <w:rsid w:val="00B73DB3"/>
    <w:rsid w:val="00B747DC"/>
    <w:rsid w:val="00B74D00"/>
    <w:rsid w:val="00B75385"/>
    <w:rsid w:val="00B75798"/>
    <w:rsid w:val="00B75817"/>
    <w:rsid w:val="00B759EA"/>
    <w:rsid w:val="00B75CB8"/>
    <w:rsid w:val="00B761EE"/>
    <w:rsid w:val="00B76A88"/>
    <w:rsid w:val="00B776CB"/>
    <w:rsid w:val="00B77800"/>
    <w:rsid w:val="00B77D10"/>
    <w:rsid w:val="00B77E68"/>
    <w:rsid w:val="00B805A7"/>
    <w:rsid w:val="00B8087A"/>
    <w:rsid w:val="00B81047"/>
    <w:rsid w:val="00B81070"/>
    <w:rsid w:val="00B81590"/>
    <w:rsid w:val="00B8167E"/>
    <w:rsid w:val="00B81AD1"/>
    <w:rsid w:val="00B82020"/>
    <w:rsid w:val="00B8204B"/>
    <w:rsid w:val="00B820A6"/>
    <w:rsid w:val="00B8218F"/>
    <w:rsid w:val="00B83871"/>
    <w:rsid w:val="00B83E58"/>
    <w:rsid w:val="00B840AE"/>
    <w:rsid w:val="00B845A0"/>
    <w:rsid w:val="00B847E0"/>
    <w:rsid w:val="00B84862"/>
    <w:rsid w:val="00B84C5A"/>
    <w:rsid w:val="00B84DE6"/>
    <w:rsid w:val="00B84E2F"/>
    <w:rsid w:val="00B850F9"/>
    <w:rsid w:val="00B853F7"/>
    <w:rsid w:val="00B856DE"/>
    <w:rsid w:val="00B85879"/>
    <w:rsid w:val="00B85B3B"/>
    <w:rsid w:val="00B85C2E"/>
    <w:rsid w:val="00B8622E"/>
    <w:rsid w:val="00B866E2"/>
    <w:rsid w:val="00B86807"/>
    <w:rsid w:val="00B86C6B"/>
    <w:rsid w:val="00B8777C"/>
    <w:rsid w:val="00B87E6A"/>
    <w:rsid w:val="00B90066"/>
    <w:rsid w:val="00B90571"/>
    <w:rsid w:val="00B90B3C"/>
    <w:rsid w:val="00B914F3"/>
    <w:rsid w:val="00B91871"/>
    <w:rsid w:val="00B91A89"/>
    <w:rsid w:val="00B91E16"/>
    <w:rsid w:val="00B91EEA"/>
    <w:rsid w:val="00B9263D"/>
    <w:rsid w:val="00B92686"/>
    <w:rsid w:val="00B929EF"/>
    <w:rsid w:val="00B92BD0"/>
    <w:rsid w:val="00B93523"/>
    <w:rsid w:val="00B937CC"/>
    <w:rsid w:val="00B93AB8"/>
    <w:rsid w:val="00B93D52"/>
    <w:rsid w:val="00B93DB2"/>
    <w:rsid w:val="00B93EFD"/>
    <w:rsid w:val="00B94A74"/>
    <w:rsid w:val="00B94B5D"/>
    <w:rsid w:val="00B94E1F"/>
    <w:rsid w:val="00B94F83"/>
    <w:rsid w:val="00B95239"/>
    <w:rsid w:val="00B95390"/>
    <w:rsid w:val="00B956CD"/>
    <w:rsid w:val="00B958DB"/>
    <w:rsid w:val="00B959ED"/>
    <w:rsid w:val="00B95BBA"/>
    <w:rsid w:val="00B9605E"/>
    <w:rsid w:val="00B965B1"/>
    <w:rsid w:val="00B965EA"/>
    <w:rsid w:val="00B96878"/>
    <w:rsid w:val="00B96CC8"/>
    <w:rsid w:val="00B96FC0"/>
    <w:rsid w:val="00B972A6"/>
    <w:rsid w:val="00B97583"/>
    <w:rsid w:val="00B97F66"/>
    <w:rsid w:val="00BA02A6"/>
    <w:rsid w:val="00BA058A"/>
    <w:rsid w:val="00BA08B8"/>
    <w:rsid w:val="00BA0CC1"/>
    <w:rsid w:val="00BA10B8"/>
    <w:rsid w:val="00BA1210"/>
    <w:rsid w:val="00BA13B1"/>
    <w:rsid w:val="00BA1422"/>
    <w:rsid w:val="00BA1594"/>
    <w:rsid w:val="00BA1A12"/>
    <w:rsid w:val="00BA1BD3"/>
    <w:rsid w:val="00BA1E1F"/>
    <w:rsid w:val="00BA1F22"/>
    <w:rsid w:val="00BA21F3"/>
    <w:rsid w:val="00BA2F95"/>
    <w:rsid w:val="00BA30E8"/>
    <w:rsid w:val="00BA342B"/>
    <w:rsid w:val="00BA35EE"/>
    <w:rsid w:val="00BA3C25"/>
    <w:rsid w:val="00BA3E72"/>
    <w:rsid w:val="00BA40B9"/>
    <w:rsid w:val="00BA42B5"/>
    <w:rsid w:val="00BA4409"/>
    <w:rsid w:val="00BA4B88"/>
    <w:rsid w:val="00BA501E"/>
    <w:rsid w:val="00BA53BA"/>
    <w:rsid w:val="00BA5914"/>
    <w:rsid w:val="00BA5C11"/>
    <w:rsid w:val="00BA5E4F"/>
    <w:rsid w:val="00BA601D"/>
    <w:rsid w:val="00BA6074"/>
    <w:rsid w:val="00BA6433"/>
    <w:rsid w:val="00BA6951"/>
    <w:rsid w:val="00BA7198"/>
    <w:rsid w:val="00BA796B"/>
    <w:rsid w:val="00BA7B9B"/>
    <w:rsid w:val="00BA7C01"/>
    <w:rsid w:val="00BA7F0F"/>
    <w:rsid w:val="00BB0052"/>
    <w:rsid w:val="00BB026D"/>
    <w:rsid w:val="00BB037D"/>
    <w:rsid w:val="00BB04FE"/>
    <w:rsid w:val="00BB105B"/>
    <w:rsid w:val="00BB16E7"/>
    <w:rsid w:val="00BB2110"/>
    <w:rsid w:val="00BB273A"/>
    <w:rsid w:val="00BB2A08"/>
    <w:rsid w:val="00BB2A46"/>
    <w:rsid w:val="00BB303A"/>
    <w:rsid w:val="00BB34B4"/>
    <w:rsid w:val="00BB45D3"/>
    <w:rsid w:val="00BB45E2"/>
    <w:rsid w:val="00BB485E"/>
    <w:rsid w:val="00BB4B86"/>
    <w:rsid w:val="00BB4F01"/>
    <w:rsid w:val="00BB5A68"/>
    <w:rsid w:val="00BB5BF0"/>
    <w:rsid w:val="00BB5DB5"/>
    <w:rsid w:val="00BB5F68"/>
    <w:rsid w:val="00BB602B"/>
    <w:rsid w:val="00BB63AB"/>
    <w:rsid w:val="00BB650D"/>
    <w:rsid w:val="00BB6B29"/>
    <w:rsid w:val="00BB6CBF"/>
    <w:rsid w:val="00BB7863"/>
    <w:rsid w:val="00BB7A7B"/>
    <w:rsid w:val="00BB7E00"/>
    <w:rsid w:val="00BC005A"/>
    <w:rsid w:val="00BC04E3"/>
    <w:rsid w:val="00BC10CC"/>
    <w:rsid w:val="00BC123A"/>
    <w:rsid w:val="00BC172F"/>
    <w:rsid w:val="00BC1B49"/>
    <w:rsid w:val="00BC1D2A"/>
    <w:rsid w:val="00BC1EF8"/>
    <w:rsid w:val="00BC20C0"/>
    <w:rsid w:val="00BC2364"/>
    <w:rsid w:val="00BC2AEC"/>
    <w:rsid w:val="00BC2DEA"/>
    <w:rsid w:val="00BC30F4"/>
    <w:rsid w:val="00BC31AF"/>
    <w:rsid w:val="00BC41A9"/>
    <w:rsid w:val="00BC47B5"/>
    <w:rsid w:val="00BC4A9A"/>
    <w:rsid w:val="00BC4C99"/>
    <w:rsid w:val="00BC51EA"/>
    <w:rsid w:val="00BC532F"/>
    <w:rsid w:val="00BC535A"/>
    <w:rsid w:val="00BC5AA4"/>
    <w:rsid w:val="00BC5C4B"/>
    <w:rsid w:val="00BC5D4B"/>
    <w:rsid w:val="00BC65F1"/>
    <w:rsid w:val="00BC67C7"/>
    <w:rsid w:val="00BC6A43"/>
    <w:rsid w:val="00BC6B6F"/>
    <w:rsid w:val="00BC744F"/>
    <w:rsid w:val="00BC799C"/>
    <w:rsid w:val="00BD0370"/>
    <w:rsid w:val="00BD040C"/>
    <w:rsid w:val="00BD0A28"/>
    <w:rsid w:val="00BD0DA5"/>
    <w:rsid w:val="00BD1230"/>
    <w:rsid w:val="00BD1427"/>
    <w:rsid w:val="00BD16E5"/>
    <w:rsid w:val="00BD18E4"/>
    <w:rsid w:val="00BD1F06"/>
    <w:rsid w:val="00BD2023"/>
    <w:rsid w:val="00BD2512"/>
    <w:rsid w:val="00BD2664"/>
    <w:rsid w:val="00BD2CF3"/>
    <w:rsid w:val="00BD31DB"/>
    <w:rsid w:val="00BD3583"/>
    <w:rsid w:val="00BD362D"/>
    <w:rsid w:val="00BD3F94"/>
    <w:rsid w:val="00BD442E"/>
    <w:rsid w:val="00BD47D7"/>
    <w:rsid w:val="00BD49A2"/>
    <w:rsid w:val="00BD577C"/>
    <w:rsid w:val="00BD5CA9"/>
    <w:rsid w:val="00BD5F61"/>
    <w:rsid w:val="00BD62DB"/>
    <w:rsid w:val="00BD6428"/>
    <w:rsid w:val="00BD65CB"/>
    <w:rsid w:val="00BD6808"/>
    <w:rsid w:val="00BD7928"/>
    <w:rsid w:val="00BE00E5"/>
    <w:rsid w:val="00BE016C"/>
    <w:rsid w:val="00BE0932"/>
    <w:rsid w:val="00BE0BD4"/>
    <w:rsid w:val="00BE0F96"/>
    <w:rsid w:val="00BE14E4"/>
    <w:rsid w:val="00BE15CE"/>
    <w:rsid w:val="00BE196D"/>
    <w:rsid w:val="00BE199B"/>
    <w:rsid w:val="00BE1B8C"/>
    <w:rsid w:val="00BE2133"/>
    <w:rsid w:val="00BE2B8A"/>
    <w:rsid w:val="00BE35A3"/>
    <w:rsid w:val="00BE3761"/>
    <w:rsid w:val="00BE39F1"/>
    <w:rsid w:val="00BE3F77"/>
    <w:rsid w:val="00BE42D9"/>
    <w:rsid w:val="00BE463C"/>
    <w:rsid w:val="00BE4975"/>
    <w:rsid w:val="00BE4A1E"/>
    <w:rsid w:val="00BE4C01"/>
    <w:rsid w:val="00BE4C64"/>
    <w:rsid w:val="00BE5011"/>
    <w:rsid w:val="00BE5077"/>
    <w:rsid w:val="00BE5258"/>
    <w:rsid w:val="00BE5B91"/>
    <w:rsid w:val="00BE5C52"/>
    <w:rsid w:val="00BE5DBB"/>
    <w:rsid w:val="00BE5FEB"/>
    <w:rsid w:val="00BE690C"/>
    <w:rsid w:val="00BE6BFB"/>
    <w:rsid w:val="00BE731E"/>
    <w:rsid w:val="00BE74E7"/>
    <w:rsid w:val="00BE7603"/>
    <w:rsid w:val="00BE76B8"/>
    <w:rsid w:val="00BE7A0F"/>
    <w:rsid w:val="00BF0353"/>
    <w:rsid w:val="00BF0F53"/>
    <w:rsid w:val="00BF10A4"/>
    <w:rsid w:val="00BF1955"/>
    <w:rsid w:val="00BF215B"/>
    <w:rsid w:val="00BF21D8"/>
    <w:rsid w:val="00BF280A"/>
    <w:rsid w:val="00BF2965"/>
    <w:rsid w:val="00BF2A57"/>
    <w:rsid w:val="00BF2C0C"/>
    <w:rsid w:val="00BF2CDB"/>
    <w:rsid w:val="00BF2D34"/>
    <w:rsid w:val="00BF2D6D"/>
    <w:rsid w:val="00BF31A2"/>
    <w:rsid w:val="00BF34BC"/>
    <w:rsid w:val="00BF3791"/>
    <w:rsid w:val="00BF37EF"/>
    <w:rsid w:val="00BF3A7A"/>
    <w:rsid w:val="00BF3A8F"/>
    <w:rsid w:val="00BF3BF1"/>
    <w:rsid w:val="00BF416D"/>
    <w:rsid w:val="00BF446B"/>
    <w:rsid w:val="00BF470C"/>
    <w:rsid w:val="00BF492A"/>
    <w:rsid w:val="00BF4964"/>
    <w:rsid w:val="00BF4E31"/>
    <w:rsid w:val="00BF5181"/>
    <w:rsid w:val="00BF52B4"/>
    <w:rsid w:val="00BF577F"/>
    <w:rsid w:val="00BF57DD"/>
    <w:rsid w:val="00BF5A0E"/>
    <w:rsid w:val="00BF5E86"/>
    <w:rsid w:val="00BF61D0"/>
    <w:rsid w:val="00BF6269"/>
    <w:rsid w:val="00BF62B4"/>
    <w:rsid w:val="00BF64B9"/>
    <w:rsid w:val="00BF7427"/>
    <w:rsid w:val="00BF789A"/>
    <w:rsid w:val="00BF7ACE"/>
    <w:rsid w:val="00C0058D"/>
    <w:rsid w:val="00C0064B"/>
    <w:rsid w:val="00C00B2A"/>
    <w:rsid w:val="00C00C93"/>
    <w:rsid w:val="00C01167"/>
    <w:rsid w:val="00C0157D"/>
    <w:rsid w:val="00C01D8F"/>
    <w:rsid w:val="00C01E90"/>
    <w:rsid w:val="00C0227B"/>
    <w:rsid w:val="00C02CC3"/>
    <w:rsid w:val="00C03548"/>
    <w:rsid w:val="00C037C4"/>
    <w:rsid w:val="00C03871"/>
    <w:rsid w:val="00C0457D"/>
    <w:rsid w:val="00C050EB"/>
    <w:rsid w:val="00C050F1"/>
    <w:rsid w:val="00C051F0"/>
    <w:rsid w:val="00C05744"/>
    <w:rsid w:val="00C06442"/>
    <w:rsid w:val="00C064AA"/>
    <w:rsid w:val="00C06706"/>
    <w:rsid w:val="00C06ED5"/>
    <w:rsid w:val="00C071C3"/>
    <w:rsid w:val="00C07CB2"/>
    <w:rsid w:val="00C10298"/>
    <w:rsid w:val="00C10330"/>
    <w:rsid w:val="00C10A40"/>
    <w:rsid w:val="00C10FB3"/>
    <w:rsid w:val="00C110EA"/>
    <w:rsid w:val="00C1125E"/>
    <w:rsid w:val="00C1140B"/>
    <w:rsid w:val="00C11899"/>
    <w:rsid w:val="00C11A53"/>
    <w:rsid w:val="00C11CA8"/>
    <w:rsid w:val="00C12910"/>
    <w:rsid w:val="00C131E5"/>
    <w:rsid w:val="00C13924"/>
    <w:rsid w:val="00C1396D"/>
    <w:rsid w:val="00C1416F"/>
    <w:rsid w:val="00C14283"/>
    <w:rsid w:val="00C14440"/>
    <w:rsid w:val="00C150DB"/>
    <w:rsid w:val="00C15438"/>
    <w:rsid w:val="00C1547F"/>
    <w:rsid w:val="00C15D15"/>
    <w:rsid w:val="00C15DE0"/>
    <w:rsid w:val="00C16744"/>
    <w:rsid w:val="00C168FC"/>
    <w:rsid w:val="00C16B27"/>
    <w:rsid w:val="00C16C68"/>
    <w:rsid w:val="00C16CA1"/>
    <w:rsid w:val="00C17203"/>
    <w:rsid w:val="00C17AA7"/>
    <w:rsid w:val="00C17B0C"/>
    <w:rsid w:val="00C17C79"/>
    <w:rsid w:val="00C201E8"/>
    <w:rsid w:val="00C207EA"/>
    <w:rsid w:val="00C20BB1"/>
    <w:rsid w:val="00C20F16"/>
    <w:rsid w:val="00C21354"/>
    <w:rsid w:val="00C21EB2"/>
    <w:rsid w:val="00C21EDB"/>
    <w:rsid w:val="00C21F63"/>
    <w:rsid w:val="00C21F7B"/>
    <w:rsid w:val="00C22172"/>
    <w:rsid w:val="00C224EA"/>
    <w:rsid w:val="00C22EF2"/>
    <w:rsid w:val="00C23607"/>
    <w:rsid w:val="00C23753"/>
    <w:rsid w:val="00C24B52"/>
    <w:rsid w:val="00C24B8A"/>
    <w:rsid w:val="00C24EC8"/>
    <w:rsid w:val="00C25042"/>
    <w:rsid w:val="00C25595"/>
    <w:rsid w:val="00C25623"/>
    <w:rsid w:val="00C256B8"/>
    <w:rsid w:val="00C25F98"/>
    <w:rsid w:val="00C2693B"/>
    <w:rsid w:val="00C26D22"/>
    <w:rsid w:val="00C271B3"/>
    <w:rsid w:val="00C272E2"/>
    <w:rsid w:val="00C27533"/>
    <w:rsid w:val="00C27EF7"/>
    <w:rsid w:val="00C307C4"/>
    <w:rsid w:val="00C30C67"/>
    <w:rsid w:val="00C316D5"/>
    <w:rsid w:val="00C319EA"/>
    <w:rsid w:val="00C31EB8"/>
    <w:rsid w:val="00C31F21"/>
    <w:rsid w:val="00C3229B"/>
    <w:rsid w:val="00C3272F"/>
    <w:rsid w:val="00C327CB"/>
    <w:rsid w:val="00C32A71"/>
    <w:rsid w:val="00C32B82"/>
    <w:rsid w:val="00C3346B"/>
    <w:rsid w:val="00C3349A"/>
    <w:rsid w:val="00C33AD8"/>
    <w:rsid w:val="00C33C37"/>
    <w:rsid w:val="00C33F70"/>
    <w:rsid w:val="00C34647"/>
    <w:rsid w:val="00C34713"/>
    <w:rsid w:val="00C34995"/>
    <w:rsid w:val="00C349F9"/>
    <w:rsid w:val="00C34F9A"/>
    <w:rsid w:val="00C3529F"/>
    <w:rsid w:val="00C353B7"/>
    <w:rsid w:val="00C353EA"/>
    <w:rsid w:val="00C360A6"/>
    <w:rsid w:val="00C364AD"/>
    <w:rsid w:val="00C3660F"/>
    <w:rsid w:val="00C3667A"/>
    <w:rsid w:val="00C37021"/>
    <w:rsid w:val="00C404A4"/>
    <w:rsid w:val="00C406DD"/>
    <w:rsid w:val="00C40AC1"/>
    <w:rsid w:val="00C40E03"/>
    <w:rsid w:val="00C41255"/>
    <w:rsid w:val="00C413A0"/>
    <w:rsid w:val="00C415D0"/>
    <w:rsid w:val="00C41704"/>
    <w:rsid w:val="00C419A5"/>
    <w:rsid w:val="00C41FFA"/>
    <w:rsid w:val="00C42972"/>
    <w:rsid w:val="00C42E20"/>
    <w:rsid w:val="00C430A2"/>
    <w:rsid w:val="00C4322C"/>
    <w:rsid w:val="00C43926"/>
    <w:rsid w:val="00C4422F"/>
    <w:rsid w:val="00C448DD"/>
    <w:rsid w:val="00C449A5"/>
    <w:rsid w:val="00C44A5A"/>
    <w:rsid w:val="00C44B10"/>
    <w:rsid w:val="00C44EC0"/>
    <w:rsid w:val="00C45635"/>
    <w:rsid w:val="00C45B31"/>
    <w:rsid w:val="00C45DDB"/>
    <w:rsid w:val="00C45F3C"/>
    <w:rsid w:val="00C46283"/>
    <w:rsid w:val="00C4631A"/>
    <w:rsid w:val="00C464EB"/>
    <w:rsid w:val="00C46777"/>
    <w:rsid w:val="00C46E7C"/>
    <w:rsid w:val="00C474D7"/>
    <w:rsid w:val="00C475C0"/>
    <w:rsid w:val="00C47B70"/>
    <w:rsid w:val="00C47F96"/>
    <w:rsid w:val="00C50079"/>
    <w:rsid w:val="00C50103"/>
    <w:rsid w:val="00C5046F"/>
    <w:rsid w:val="00C50673"/>
    <w:rsid w:val="00C508DD"/>
    <w:rsid w:val="00C50BCD"/>
    <w:rsid w:val="00C51191"/>
    <w:rsid w:val="00C511D3"/>
    <w:rsid w:val="00C51747"/>
    <w:rsid w:val="00C51ABD"/>
    <w:rsid w:val="00C51B63"/>
    <w:rsid w:val="00C51C89"/>
    <w:rsid w:val="00C52388"/>
    <w:rsid w:val="00C53050"/>
    <w:rsid w:val="00C5341C"/>
    <w:rsid w:val="00C53A5B"/>
    <w:rsid w:val="00C53ABD"/>
    <w:rsid w:val="00C53C42"/>
    <w:rsid w:val="00C5423B"/>
    <w:rsid w:val="00C54248"/>
    <w:rsid w:val="00C54CC4"/>
    <w:rsid w:val="00C54DA1"/>
    <w:rsid w:val="00C5539A"/>
    <w:rsid w:val="00C55534"/>
    <w:rsid w:val="00C55D15"/>
    <w:rsid w:val="00C560D8"/>
    <w:rsid w:val="00C5684B"/>
    <w:rsid w:val="00C56A24"/>
    <w:rsid w:val="00C56F2B"/>
    <w:rsid w:val="00C5733D"/>
    <w:rsid w:val="00C57463"/>
    <w:rsid w:val="00C57645"/>
    <w:rsid w:val="00C57A53"/>
    <w:rsid w:val="00C57C63"/>
    <w:rsid w:val="00C57CFA"/>
    <w:rsid w:val="00C57D8B"/>
    <w:rsid w:val="00C57E8E"/>
    <w:rsid w:val="00C60513"/>
    <w:rsid w:val="00C612B6"/>
    <w:rsid w:val="00C61733"/>
    <w:rsid w:val="00C61913"/>
    <w:rsid w:val="00C61A8F"/>
    <w:rsid w:val="00C61BC6"/>
    <w:rsid w:val="00C623FD"/>
    <w:rsid w:val="00C625D0"/>
    <w:rsid w:val="00C62A35"/>
    <w:rsid w:val="00C62D24"/>
    <w:rsid w:val="00C63BB8"/>
    <w:rsid w:val="00C63CBF"/>
    <w:rsid w:val="00C63EC7"/>
    <w:rsid w:val="00C6484E"/>
    <w:rsid w:val="00C64ACA"/>
    <w:rsid w:val="00C65A6E"/>
    <w:rsid w:val="00C660A9"/>
    <w:rsid w:val="00C6694B"/>
    <w:rsid w:val="00C66CF0"/>
    <w:rsid w:val="00C6718C"/>
    <w:rsid w:val="00C67327"/>
    <w:rsid w:val="00C67527"/>
    <w:rsid w:val="00C6758B"/>
    <w:rsid w:val="00C677A5"/>
    <w:rsid w:val="00C67A5C"/>
    <w:rsid w:val="00C67E7E"/>
    <w:rsid w:val="00C70330"/>
    <w:rsid w:val="00C70461"/>
    <w:rsid w:val="00C709A4"/>
    <w:rsid w:val="00C709B6"/>
    <w:rsid w:val="00C70EA5"/>
    <w:rsid w:val="00C714B0"/>
    <w:rsid w:val="00C718F2"/>
    <w:rsid w:val="00C719B6"/>
    <w:rsid w:val="00C71D0B"/>
    <w:rsid w:val="00C71E07"/>
    <w:rsid w:val="00C7271D"/>
    <w:rsid w:val="00C7279B"/>
    <w:rsid w:val="00C7289F"/>
    <w:rsid w:val="00C728F5"/>
    <w:rsid w:val="00C7302D"/>
    <w:rsid w:val="00C733FD"/>
    <w:rsid w:val="00C73571"/>
    <w:rsid w:val="00C739DD"/>
    <w:rsid w:val="00C73C29"/>
    <w:rsid w:val="00C74429"/>
    <w:rsid w:val="00C74DA3"/>
    <w:rsid w:val="00C75184"/>
    <w:rsid w:val="00C75382"/>
    <w:rsid w:val="00C7541D"/>
    <w:rsid w:val="00C7544E"/>
    <w:rsid w:val="00C75895"/>
    <w:rsid w:val="00C75E93"/>
    <w:rsid w:val="00C75F3A"/>
    <w:rsid w:val="00C768A3"/>
    <w:rsid w:val="00C76BB7"/>
    <w:rsid w:val="00C76C51"/>
    <w:rsid w:val="00C7743E"/>
    <w:rsid w:val="00C77ABA"/>
    <w:rsid w:val="00C77EAD"/>
    <w:rsid w:val="00C80110"/>
    <w:rsid w:val="00C804E7"/>
    <w:rsid w:val="00C80DDE"/>
    <w:rsid w:val="00C81118"/>
    <w:rsid w:val="00C8111C"/>
    <w:rsid w:val="00C8125E"/>
    <w:rsid w:val="00C822A4"/>
    <w:rsid w:val="00C8276B"/>
    <w:rsid w:val="00C8309A"/>
    <w:rsid w:val="00C8358F"/>
    <w:rsid w:val="00C83611"/>
    <w:rsid w:val="00C83620"/>
    <w:rsid w:val="00C836FE"/>
    <w:rsid w:val="00C8388F"/>
    <w:rsid w:val="00C83897"/>
    <w:rsid w:val="00C8407A"/>
    <w:rsid w:val="00C849C4"/>
    <w:rsid w:val="00C84A37"/>
    <w:rsid w:val="00C84C62"/>
    <w:rsid w:val="00C850EB"/>
    <w:rsid w:val="00C85E0C"/>
    <w:rsid w:val="00C8658F"/>
    <w:rsid w:val="00C86A25"/>
    <w:rsid w:val="00C86A71"/>
    <w:rsid w:val="00C86CE2"/>
    <w:rsid w:val="00C86D06"/>
    <w:rsid w:val="00C86E9F"/>
    <w:rsid w:val="00C87188"/>
    <w:rsid w:val="00C872D1"/>
    <w:rsid w:val="00C875F8"/>
    <w:rsid w:val="00C87A5C"/>
    <w:rsid w:val="00C87AE4"/>
    <w:rsid w:val="00C87B4B"/>
    <w:rsid w:val="00C90555"/>
    <w:rsid w:val="00C91386"/>
    <w:rsid w:val="00C9198C"/>
    <w:rsid w:val="00C91995"/>
    <w:rsid w:val="00C92241"/>
    <w:rsid w:val="00C9254C"/>
    <w:rsid w:val="00C9277C"/>
    <w:rsid w:val="00C93109"/>
    <w:rsid w:val="00C9317F"/>
    <w:rsid w:val="00C933CF"/>
    <w:rsid w:val="00C93423"/>
    <w:rsid w:val="00C93938"/>
    <w:rsid w:val="00C93D2F"/>
    <w:rsid w:val="00C93D81"/>
    <w:rsid w:val="00C94078"/>
    <w:rsid w:val="00C940AE"/>
    <w:rsid w:val="00C94B3A"/>
    <w:rsid w:val="00C94E57"/>
    <w:rsid w:val="00C94FF2"/>
    <w:rsid w:val="00C9506F"/>
    <w:rsid w:val="00C95F69"/>
    <w:rsid w:val="00C963F4"/>
    <w:rsid w:val="00C9647F"/>
    <w:rsid w:val="00C964CE"/>
    <w:rsid w:val="00C966D8"/>
    <w:rsid w:val="00C96E5F"/>
    <w:rsid w:val="00C96F72"/>
    <w:rsid w:val="00C9708C"/>
    <w:rsid w:val="00C9771A"/>
    <w:rsid w:val="00C978B4"/>
    <w:rsid w:val="00C97B37"/>
    <w:rsid w:val="00CA0084"/>
    <w:rsid w:val="00CA01FD"/>
    <w:rsid w:val="00CA03DC"/>
    <w:rsid w:val="00CA1017"/>
    <w:rsid w:val="00CA11F5"/>
    <w:rsid w:val="00CA15E3"/>
    <w:rsid w:val="00CA1901"/>
    <w:rsid w:val="00CA2A28"/>
    <w:rsid w:val="00CA2C8A"/>
    <w:rsid w:val="00CA2ECE"/>
    <w:rsid w:val="00CA3072"/>
    <w:rsid w:val="00CA30E5"/>
    <w:rsid w:val="00CA37CC"/>
    <w:rsid w:val="00CA3A18"/>
    <w:rsid w:val="00CA3A5C"/>
    <w:rsid w:val="00CA3C40"/>
    <w:rsid w:val="00CA3CF5"/>
    <w:rsid w:val="00CA3F0E"/>
    <w:rsid w:val="00CA3F24"/>
    <w:rsid w:val="00CA3FE2"/>
    <w:rsid w:val="00CA4348"/>
    <w:rsid w:val="00CA4FB4"/>
    <w:rsid w:val="00CA5142"/>
    <w:rsid w:val="00CA5275"/>
    <w:rsid w:val="00CA54D8"/>
    <w:rsid w:val="00CA5559"/>
    <w:rsid w:val="00CA57AF"/>
    <w:rsid w:val="00CA595B"/>
    <w:rsid w:val="00CA59FB"/>
    <w:rsid w:val="00CA5D53"/>
    <w:rsid w:val="00CA5E97"/>
    <w:rsid w:val="00CA6515"/>
    <w:rsid w:val="00CA66E1"/>
    <w:rsid w:val="00CA66EB"/>
    <w:rsid w:val="00CA6843"/>
    <w:rsid w:val="00CA6866"/>
    <w:rsid w:val="00CA6EA4"/>
    <w:rsid w:val="00CA707E"/>
    <w:rsid w:val="00CA72A1"/>
    <w:rsid w:val="00CA7C81"/>
    <w:rsid w:val="00CA7FF1"/>
    <w:rsid w:val="00CB0167"/>
    <w:rsid w:val="00CB06C0"/>
    <w:rsid w:val="00CB0AA6"/>
    <w:rsid w:val="00CB1111"/>
    <w:rsid w:val="00CB1620"/>
    <w:rsid w:val="00CB167D"/>
    <w:rsid w:val="00CB28E7"/>
    <w:rsid w:val="00CB2C6A"/>
    <w:rsid w:val="00CB2F7C"/>
    <w:rsid w:val="00CB371D"/>
    <w:rsid w:val="00CB3990"/>
    <w:rsid w:val="00CB3BC6"/>
    <w:rsid w:val="00CB4ACC"/>
    <w:rsid w:val="00CB4C55"/>
    <w:rsid w:val="00CB50CB"/>
    <w:rsid w:val="00CB536F"/>
    <w:rsid w:val="00CB5919"/>
    <w:rsid w:val="00CB5941"/>
    <w:rsid w:val="00CB5AB0"/>
    <w:rsid w:val="00CB5BED"/>
    <w:rsid w:val="00CB6225"/>
    <w:rsid w:val="00CB67DA"/>
    <w:rsid w:val="00CB69CD"/>
    <w:rsid w:val="00CB6C5D"/>
    <w:rsid w:val="00CB6D71"/>
    <w:rsid w:val="00CB74F0"/>
    <w:rsid w:val="00CB7503"/>
    <w:rsid w:val="00CB7DBE"/>
    <w:rsid w:val="00CC00CD"/>
    <w:rsid w:val="00CC01B8"/>
    <w:rsid w:val="00CC0317"/>
    <w:rsid w:val="00CC094F"/>
    <w:rsid w:val="00CC1020"/>
    <w:rsid w:val="00CC1A9B"/>
    <w:rsid w:val="00CC2646"/>
    <w:rsid w:val="00CC2971"/>
    <w:rsid w:val="00CC2F95"/>
    <w:rsid w:val="00CC3219"/>
    <w:rsid w:val="00CC329E"/>
    <w:rsid w:val="00CC33C4"/>
    <w:rsid w:val="00CC34EE"/>
    <w:rsid w:val="00CC381A"/>
    <w:rsid w:val="00CC3FB4"/>
    <w:rsid w:val="00CC42B2"/>
    <w:rsid w:val="00CC42B7"/>
    <w:rsid w:val="00CC5082"/>
    <w:rsid w:val="00CC5612"/>
    <w:rsid w:val="00CC583D"/>
    <w:rsid w:val="00CC5B5D"/>
    <w:rsid w:val="00CC5D31"/>
    <w:rsid w:val="00CC5E32"/>
    <w:rsid w:val="00CC5F89"/>
    <w:rsid w:val="00CC61B0"/>
    <w:rsid w:val="00CC64CF"/>
    <w:rsid w:val="00CC64E6"/>
    <w:rsid w:val="00CC67C6"/>
    <w:rsid w:val="00CC67EA"/>
    <w:rsid w:val="00CC682E"/>
    <w:rsid w:val="00CC6DDC"/>
    <w:rsid w:val="00CC73F4"/>
    <w:rsid w:val="00CC77A0"/>
    <w:rsid w:val="00CD004C"/>
    <w:rsid w:val="00CD04FB"/>
    <w:rsid w:val="00CD0650"/>
    <w:rsid w:val="00CD0B5E"/>
    <w:rsid w:val="00CD0D98"/>
    <w:rsid w:val="00CD1384"/>
    <w:rsid w:val="00CD169E"/>
    <w:rsid w:val="00CD1792"/>
    <w:rsid w:val="00CD17C3"/>
    <w:rsid w:val="00CD1A87"/>
    <w:rsid w:val="00CD1B07"/>
    <w:rsid w:val="00CD1BC9"/>
    <w:rsid w:val="00CD1CE3"/>
    <w:rsid w:val="00CD3028"/>
    <w:rsid w:val="00CD3509"/>
    <w:rsid w:val="00CD362A"/>
    <w:rsid w:val="00CD3B53"/>
    <w:rsid w:val="00CD3CA0"/>
    <w:rsid w:val="00CD3E12"/>
    <w:rsid w:val="00CD3F14"/>
    <w:rsid w:val="00CD4446"/>
    <w:rsid w:val="00CD446B"/>
    <w:rsid w:val="00CD4A8E"/>
    <w:rsid w:val="00CD4C63"/>
    <w:rsid w:val="00CD4C6B"/>
    <w:rsid w:val="00CD5199"/>
    <w:rsid w:val="00CD51B8"/>
    <w:rsid w:val="00CD5A7C"/>
    <w:rsid w:val="00CD5C9F"/>
    <w:rsid w:val="00CD6014"/>
    <w:rsid w:val="00CD62E7"/>
    <w:rsid w:val="00CD6438"/>
    <w:rsid w:val="00CD6812"/>
    <w:rsid w:val="00CD778F"/>
    <w:rsid w:val="00CE0210"/>
    <w:rsid w:val="00CE0C83"/>
    <w:rsid w:val="00CE121E"/>
    <w:rsid w:val="00CE13EB"/>
    <w:rsid w:val="00CE142C"/>
    <w:rsid w:val="00CE143B"/>
    <w:rsid w:val="00CE1719"/>
    <w:rsid w:val="00CE173B"/>
    <w:rsid w:val="00CE1814"/>
    <w:rsid w:val="00CE1C88"/>
    <w:rsid w:val="00CE1FDA"/>
    <w:rsid w:val="00CE2B05"/>
    <w:rsid w:val="00CE2D50"/>
    <w:rsid w:val="00CE37E5"/>
    <w:rsid w:val="00CE466C"/>
    <w:rsid w:val="00CE4A54"/>
    <w:rsid w:val="00CE4C8C"/>
    <w:rsid w:val="00CE4F81"/>
    <w:rsid w:val="00CE53D4"/>
    <w:rsid w:val="00CE5712"/>
    <w:rsid w:val="00CE573D"/>
    <w:rsid w:val="00CE684A"/>
    <w:rsid w:val="00CE6AF8"/>
    <w:rsid w:val="00CE6C1C"/>
    <w:rsid w:val="00CE6E7E"/>
    <w:rsid w:val="00CE712D"/>
    <w:rsid w:val="00CE7132"/>
    <w:rsid w:val="00CE73C5"/>
    <w:rsid w:val="00CE7BB4"/>
    <w:rsid w:val="00CE7C40"/>
    <w:rsid w:val="00CF00BD"/>
    <w:rsid w:val="00CF03B3"/>
    <w:rsid w:val="00CF0730"/>
    <w:rsid w:val="00CF0935"/>
    <w:rsid w:val="00CF0AC6"/>
    <w:rsid w:val="00CF15D2"/>
    <w:rsid w:val="00CF184A"/>
    <w:rsid w:val="00CF27B5"/>
    <w:rsid w:val="00CF2D1B"/>
    <w:rsid w:val="00CF2DE5"/>
    <w:rsid w:val="00CF3085"/>
    <w:rsid w:val="00CF30C0"/>
    <w:rsid w:val="00CF3102"/>
    <w:rsid w:val="00CF3205"/>
    <w:rsid w:val="00CF37F9"/>
    <w:rsid w:val="00CF3D0D"/>
    <w:rsid w:val="00CF3DFA"/>
    <w:rsid w:val="00CF3EDE"/>
    <w:rsid w:val="00CF3EF4"/>
    <w:rsid w:val="00CF53E6"/>
    <w:rsid w:val="00CF5910"/>
    <w:rsid w:val="00CF5A37"/>
    <w:rsid w:val="00CF5C98"/>
    <w:rsid w:val="00CF5D1F"/>
    <w:rsid w:val="00CF5E60"/>
    <w:rsid w:val="00CF658E"/>
    <w:rsid w:val="00CF66D7"/>
    <w:rsid w:val="00CF68AA"/>
    <w:rsid w:val="00CF6992"/>
    <w:rsid w:val="00CF6C2C"/>
    <w:rsid w:val="00CF75C4"/>
    <w:rsid w:val="00CF77F7"/>
    <w:rsid w:val="00CF7D19"/>
    <w:rsid w:val="00CF7EF1"/>
    <w:rsid w:val="00D002E3"/>
    <w:rsid w:val="00D00BA5"/>
    <w:rsid w:val="00D00CF2"/>
    <w:rsid w:val="00D00F87"/>
    <w:rsid w:val="00D010A3"/>
    <w:rsid w:val="00D01498"/>
    <w:rsid w:val="00D01534"/>
    <w:rsid w:val="00D01699"/>
    <w:rsid w:val="00D01CE2"/>
    <w:rsid w:val="00D0281C"/>
    <w:rsid w:val="00D0344A"/>
    <w:rsid w:val="00D034D4"/>
    <w:rsid w:val="00D035F9"/>
    <w:rsid w:val="00D0365A"/>
    <w:rsid w:val="00D04ACD"/>
    <w:rsid w:val="00D0634E"/>
    <w:rsid w:val="00D063AE"/>
    <w:rsid w:val="00D065E3"/>
    <w:rsid w:val="00D06E84"/>
    <w:rsid w:val="00D0729F"/>
    <w:rsid w:val="00D104D8"/>
    <w:rsid w:val="00D10ACE"/>
    <w:rsid w:val="00D10B08"/>
    <w:rsid w:val="00D10CF8"/>
    <w:rsid w:val="00D10DB2"/>
    <w:rsid w:val="00D10F73"/>
    <w:rsid w:val="00D111EA"/>
    <w:rsid w:val="00D119A5"/>
    <w:rsid w:val="00D12149"/>
    <w:rsid w:val="00D1264F"/>
    <w:rsid w:val="00D12713"/>
    <w:rsid w:val="00D13398"/>
    <w:rsid w:val="00D1361B"/>
    <w:rsid w:val="00D13893"/>
    <w:rsid w:val="00D13915"/>
    <w:rsid w:val="00D139D4"/>
    <w:rsid w:val="00D148FB"/>
    <w:rsid w:val="00D1554D"/>
    <w:rsid w:val="00D1580F"/>
    <w:rsid w:val="00D15916"/>
    <w:rsid w:val="00D15B8D"/>
    <w:rsid w:val="00D15E86"/>
    <w:rsid w:val="00D15F18"/>
    <w:rsid w:val="00D15FC3"/>
    <w:rsid w:val="00D1677F"/>
    <w:rsid w:val="00D1787F"/>
    <w:rsid w:val="00D2014A"/>
    <w:rsid w:val="00D2083B"/>
    <w:rsid w:val="00D20C12"/>
    <w:rsid w:val="00D2123C"/>
    <w:rsid w:val="00D21451"/>
    <w:rsid w:val="00D219B2"/>
    <w:rsid w:val="00D21F5F"/>
    <w:rsid w:val="00D22007"/>
    <w:rsid w:val="00D2256C"/>
    <w:rsid w:val="00D22EF1"/>
    <w:rsid w:val="00D23043"/>
    <w:rsid w:val="00D23193"/>
    <w:rsid w:val="00D23236"/>
    <w:rsid w:val="00D2375B"/>
    <w:rsid w:val="00D23BF3"/>
    <w:rsid w:val="00D23C38"/>
    <w:rsid w:val="00D2470F"/>
    <w:rsid w:val="00D24771"/>
    <w:rsid w:val="00D2586E"/>
    <w:rsid w:val="00D2590E"/>
    <w:rsid w:val="00D25DB6"/>
    <w:rsid w:val="00D25E3E"/>
    <w:rsid w:val="00D25FCA"/>
    <w:rsid w:val="00D25FCB"/>
    <w:rsid w:val="00D26720"/>
    <w:rsid w:val="00D26801"/>
    <w:rsid w:val="00D26EAB"/>
    <w:rsid w:val="00D272A7"/>
    <w:rsid w:val="00D279D6"/>
    <w:rsid w:val="00D27C6F"/>
    <w:rsid w:val="00D27F52"/>
    <w:rsid w:val="00D30542"/>
    <w:rsid w:val="00D3084B"/>
    <w:rsid w:val="00D30AF4"/>
    <w:rsid w:val="00D30B45"/>
    <w:rsid w:val="00D30CCB"/>
    <w:rsid w:val="00D31997"/>
    <w:rsid w:val="00D31A9A"/>
    <w:rsid w:val="00D31CB3"/>
    <w:rsid w:val="00D31D59"/>
    <w:rsid w:val="00D31D6F"/>
    <w:rsid w:val="00D324A2"/>
    <w:rsid w:val="00D328BA"/>
    <w:rsid w:val="00D32A4B"/>
    <w:rsid w:val="00D32B57"/>
    <w:rsid w:val="00D33062"/>
    <w:rsid w:val="00D3394E"/>
    <w:rsid w:val="00D339AB"/>
    <w:rsid w:val="00D33D94"/>
    <w:rsid w:val="00D33DA3"/>
    <w:rsid w:val="00D34560"/>
    <w:rsid w:val="00D35083"/>
    <w:rsid w:val="00D35794"/>
    <w:rsid w:val="00D35811"/>
    <w:rsid w:val="00D35B83"/>
    <w:rsid w:val="00D35CB7"/>
    <w:rsid w:val="00D35CBE"/>
    <w:rsid w:val="00D36905"/>
    <w:rsid w:val="00D37178"/>
    <w:rsid w:val="00D37290"/>
    <w:rsid w:val="00D37380"/>
    <w:rsid w:val="00D37809"/>
    <w:rsid w:val="00D3791F"/>
    <w:rsid w:val="00D37BE4"/>
    <w:rsid w:val="00D37BFD"/>
    <w:rsid w:val="00D40380"/>
    <w:rsid w:val="00D40CA4"/>
    <w:rsid w:val="00D40CB1"/>
    <w:rsid w:val="00D41138"/>
    <w:rsid w:val="00D4159C"/>
    <w:rsid w:val="00D41AF0"/>
    <w:rsid w:val="00D42A7B"/>
    <w:rsid w:val="00D42BFC"/>
    <w:rsid w:val="00D43368"/>
    <w:rsid w:val="00D437C9"/>
    <w:rsid w:val="00D438C8"/>
    <w:rsid w:val="00D43AB5"/>
    <w:rsid w:val="00D445FE"/>
    <w:rsid w:val="00D44F29"/>
    <w:rsid w:val="00D45543"/>
    <w:rsid w:val="00D45806"/>
    <w:rsid w:val="00D45859"/>
    <w:rsid w:val="00D45895"/>
    <w:rsid w:val="00D45A4B"/>
    <w:rsid w:val="00D45C0E"/>
    <w:rsid w:val="00D46166"/>
    <w:rsid w:val="00D461B4"/>
    <w:rsid w:val="00D462A6"/>
    <w:rsid w:val="00D473F7"/>
    <w:rsid w:val="00D474CD"/>
    <w:rsid w:val="00D4765A"/>
    <w:rsid w:val="00D47781"/>
    <w:rsid w:val="00D47AE8"/>
    <w:rsid w:val="00D47B76"/>
    <w:rsid w:val="00D5036B"/>
    <w:rsid w:val="00D50479"/>
    <w:rsid w:val="00D505D1"/>
    <w:rsid w:val="00D507F4"/>
    <w:rsid w:val="00D50BB4"/>
    <w:rsid w:val="00D50E0B"/>
    <w:rsid w:val="00D51382"/>
    <w:rsid w:val="00D51765"/>
    <w:rsid w:val="00D5177F"/>
    <w:rsid w:val="00D5182C"/>
    <w:rsid w:val="00D51D07"/>
    <w:rsid w:val="00D51FD0"/>
    <w:rsid w:val="00D5323D"/>
    <w:rsid w:val="00D53A36"/>
    <w:rsid w:val="00D53C67"/>
    <w:rsid w:val="00D54082"/>
    <w:rsid w:val="00D5446C"/>
    <w:rsid w:val="00D544F1"/>
    <w:rsid w:val="00D545A4"/>
    <w:rsid w:val="00D55424"/>
    <w:rsid w:val="00D5569E"/>
    <w:rsid w:val="00D558A9"/>
    <w:rsid w:val="00D561FE"/>
    <w:rsid w:val="00D56922"/>
    <w:rsid w:val="00D56A48"/>
    <w:rsid w:val="00D56A81"/>
    <w:rsid w:val="00D56BEF"/>
    <w:rsid w:val="00D56E7B"/>
    <w:rsid w:val="00D56EF0"/>
    <w:rsid w:val="00D57381"/>
    <w:rsid w:val="00D573B0"/>
    <w:rsid w:val="00D57953"/>
    <w:rsid w:val="00D57ED5"/>
    <w:rsid w:val="00D601AA"/>
    <w:rsid w:val="00D609E4"/>
    <w:rsid w:val="00D60E31"/>
    <w:rsid w:val="00D60EBB"/>
    <w:rsid w:val="00D60F9A"/>
    <w:rsid w:val="00D6173C"/>
    <w:rsid w:val="00D61DBF"/>
    <w:rsid w:val="00D621A3"/>
    <w:rsid w:val="00D62442"/>
    <w:rsid w:val="00D6249B"/>
    <w:rsid w:val="00D62564"/>
    <w:rsid w:val="00D62899"/>
    <w:rsid w:val="00D632C6"/>
    <w:rsid w:val="00D63570"/>
    <w:rsid w:val="00D636B8"/>
    <w:rsid w:val="00D63E64"/>
    <w:rsid w:val="00D63F6E"/>
    <w:rsid w:val="00D6449A"/>
    <w:rsid w:val="00D645E0"/>
    <w:rsid w:val="00D65318"/>
    <w:rsid w:val="00D65931"/>
    <w:rsid w:val="00D66F15"/>
    <w:rsid w:val="00D6771D"/>
    <w:rsid w:val="00D67892"/>
    <w:rsid w:val="00D679B1"/>
    <w:rsid w:val="00D67BF3"/>
    <w:rsid w:val="00D67F20"/>
    <w:rsid w:val="00D67FAF"/>
    <w:rsid w:val="00D70130"/>
    <w:rsid w:val="00D708E0"/>
    <w:rsid w:val="00D70CB6"/>
    <w:rsid w:val="00D70D79"/>
    <w:rsid w:val="00D710A8"/>
    <w:rsid w:val="00D710CC"/>
    <w:rsid w:val="00D716D0"/>
    <w:rsid w:val="00D719EB"/>
    <w:rsid w:val="00D72396"/>
    <w:rsid w:val="00D725B3"/>
    <w:rsid w:val="00D7263E"/>
    <w:rsid w:val="00D7270D"/>
    <w:rsid w:val="00D72FE3"/>
    <w:rsid w:val="00D73148"/>
    <w:rsid w:val="00D7334C"/>
    <w:rsid w:val="00D7367C"/>
    <w:rsid w:val="00D743F4"/>
    <w:rsid w:val="00D746BF"/>
    <w:rsid w:val="00D74D4A"/>
    <w:rsid w:val="00D75421"/>
    <w:rsid w:val="00D754BE"/>
    <w:rsid w:val="00D75B7F"/>
    <w:rsid w:val="00D75CB8"/>
    <w:rsid w:val="00D766E5"/>
    <w:rsid w:val="00D77A7E"/>
    <w:rsid w:val="00D80174"/>
    <w:rsid w:val="00D8059B"/>
    <w:rsid w:val="00D80833"/>
    <w:rsid w:val="00D80858"/>
    <w:rsid w:val="00D80AED"/>
    <w:rsid w:val="00D80F85"/>
    <w:rsid w:val="00D81A51"/>
    <w:rsid w:val="00D81BE9"/>
    <w:rsid w:val="00D81CD3"/>
    <w:rsid w:val="00D81DFE"/>
    <w:rsid w:val="00D820E0"/>
    <w:rsid w:val="00D821C4"/>
    <w:rsid w:val="00D82768"/>
    <w:rsid w:val="00D82B36"/>
    <w:rsid w:val="00D83029"/>
    <w:rsid w:val="00D8323B"/>
    <w:rsid w:val="00D83348"/>
    <w:rsid w:val="00D8365A"/>
    <w:rsid w:val="00D844AD"/>
    <w:rsid w:val="00D84BBB"/>
    <w:rsid w:val="00D84C18"/>
    <w:rsid w:val="00D84C4F"/>
    <w:rsid w:val="00D84C7E"/>
    <w:rsid w:val="00D84D05"/>
    <w:rsid w:val="00D85213"/>
    <w:rsid w:val="00D85766"/>
    <w:rsid w:val="00D85993"/>
    <w:rsid w:val="00D85A0A"/>
    <w:rsid w:val="00D85BD2"/>
    <w:rsid w:val="00D85BED"/>
    <w:rsid w:val="00D85EDE"/>
    <w:rsid w:val="00D8623A"/>
    <w:rsid w:val="00D8633E"/>
    <w:rsid w:val="00D86575"/>
    <w:rsid w:val="00D865AA"/>
    <w:rsid w:val="00D865B3"/>
    <w:rsid w:val="00D866D2"/>
    <w:rsid w:val="00D86887"/>
    <w:rsid w:val="00D87088"/>
    <w:rsid w:val="00D8731A"/>
    <w:rsid w:val="00D8753F"/>
    <w:rsid w:val="00D8754E"/>
    <w:rsid w:val="00D875AC"/>
    <w:rsid w:val="00D87CBA"/>
    <w:rsid w:val="00D90044"/>
    <w:rsid w:val="00D901FF"/>
    <w:rsid w:val="00D903F6"/>
    <w:rsid w:val="00D907B6"/>
    <w:rsid w:val="00D90D4F"/>
    <w:rsid w:val="00D910D2"/>
    <w:rsid w:val="00D9127B"/>
    <w:rsid w:val="00D913E1"/>
    <w:rsid w:val="00D91637"/>
    <w:rsid w:val="00D916C8"/>
    <w:rsid w:val="00D919B0"/>
    <w:rsid w:val="00D919D9"/>
    <w:rsid w:val="00D91AAE"/>
    <w:rsid w:val="00D91C29"/>
    <w:rsid w:val="00D9248B"/>
    <w:rsid w:val="00D924E8"/>
    <w:rsid w:val="00D926C3"/>
    <w:rsid w:val="00D92759"/>
    <w:rsid w:val="00D92868"/>
    <w:rsid w:val="00D92C35"/>
    <w:rsid w:val="00D92FD0"/>
    <w:rsid w:val="00D9313E"/>
    <w:rsid w:val="00D935D2"/>
    <w:rsid w:val="00D9360A"/>
    <w:rsid w:val="00D9366D"/>
    <w:rsid w:val="00D9397C"/>
    <w:rsid w:val="00D939BE"/>
    <w:rsid w:val="00D93B6B"/>
    <w:rsid w:val="00D93DDA"/>
    <w:rsid w:val="00D9479C"/>
    <w:rsid w:val="00D94D92"/>
    <w:rsid w:val="00D950E4"/>
    <w:rsid w:val="00D950F8"/>
    <w:rsid w:val="00D953AD"/>
    <w:rsid w:val="00D95701"/>
    <w:rsid w:val="00D95A1F"/>
    <w:rsid w:val="00D95F87"/>
    <w:rsid w:val="00D96158"/>
    <w:rsid w:val="00D96251"/>
    <w:rsid w:val="00D9629F"/>
    <w:rsid w:val="00D965AE"/>
    <w:rsid w:val="00D96F9D"/>
    <w:rsid w:val="00D9713A"/>
    <w:rsid w:val="00D977E7"/>
    <w:rsid w:val="00D9798F"/>
    <w:rsid w:val="00D97CD5"/>
    <w:rsid w:val="00DA0137"/>
    <w:rsid w:val="00DA0479"/>
    <w:rsid w:val="00DA0497"/>
    <w:rsid w:val="00DA04C5"/>
    <w:rsid w:val="00DA0CC9"/>
    <w:rsid w:val="00DA183F"/>
    <w:rsid w:val="00DA1845"/>
    <w:rsid w:val="00DA1C90"/>
    <w:rsid w:val="00DA2019"/>
    <w:rsid w:val="00DA266D"/>
    <w:rsid w:val="00DA2C50"/>
    <w:rsid w:val="00DA2DED"/>
    <w:rsid w:val="00DA43DF"/>
    <w:rsid w:val="00DA451D"/>
    <w:rsid w:val="00DA473B"/>
    <w:rsid w:val="00DA47C3"/>
    <w:rsid w:val="00DA4891"/>
    <w:rsid w:val="00DA5AA7"/>
    <w:rsid w:val="00DA5BC9"/>
    <w:rsid w:val="00DA5D0A"/>
    <w:rsid w:val="00DA628A"/>
    <w:rsid w:val="00DA62CB"/>
    <w:rsid w:val="00DA6639"/>
    <w:rsid w:val="00DA675F"/>
    <w:rsid w:val="00DA6D7D"/>
    <w:rsid w:val="00DA730C"/>
    <w:rsid w:val="00DA73EB"/>
    <w:rsid w:val="00DA7A47"/>
    <w:rsid w:val="00DA7BA8"/>
    <w:rsid w:val="00DA7D2D"/>
    <w:rsid w:val="00DA7D98"/>
    <w:rsid w:val="00DA7F39"/>
    <w:rsid w:val="00DB0882"/>
    <w:rsid w:val="00DB08F2"/>
    <w:rsid w:val="00DB0CEC"/>
    <w:rsid w:val="00DB0E81"/>
    <w:rsid w:val="00DB143D"/>
    <w:rsid w:val="00DB14F4"/>
    <w:rsid w:val="00DB16B0"/>
    <w:rsid w:val="00DB187E"/>
    <w:rsid w:val="00DB1B2B"/>
    <w:rsid w:val="00DB1DFA"/>
    <w:rsid w:val="00DB1E84"/>
    <w:rsid w:val="00DB205D"/>
    <w:rsid w:val="00DB2130"/>
    <w:rsid w:val="00DB25EE"/>
    <w:rsid w:val="00DB2674"/>
    <w:rsid w:val="00DB2B53"/>
    <w:rsid w:val="00DB2E08"/>
    <w:rsid w:val="00DB2F73"/>
    <w:rsid w:val="00DB331E"/>
    <w:rsid w:val="00DB34F0"/>
    <w:rsid w:val="00DB3CF3"/>
    <w:rsid w:val="00DB3F55"/>
    <w:rsid w:val="00DB40CC"/>
    <w:rsid w:val="00DB4157"/>
    <w:rsid w:val="00DB41B1"/>
    <w:rsid w:val="00DB4DA6"/>
    <w:rsid w:val="00DB4F9E"/>
    <w:rsid w:val="00DB50D4"/>
    <w:rsid w:val="00DB586F"/>
    <w:rsid w:val="00DB5993"/>
    <w:rsid w:val="00DB5C87"/>
    <w:rsid w:val="00DB6AC8"/>
    <w:rsid w:val="00DB6D4C"/>
    <w:rsid w:val="00DB6EB4"/>
    <w:rsid w:val="00DB6F01"/>
    <w:rsid w:val="00DB7131"/>
    <w:rsid w:val="00DB74CF"/>
    <w:rsid w:val="00DB77CC"/>
    <w:rsid w:val="00DC07E5"/>
    <w:rsid w:val="00DC0C9F"/>
    <w:rsid w:val="00DC0CC4"/>
    <w:rsid w:val="00DC0DB2"/>
    <w:rsid w:val="00DC0E84"/>
    <w:rsid w:val="00DC1AF8"/>
    <w:rsid w:val="00DC1CCD"/>
    <w:rsid w:val="00DC1EF7"/>
    <w:rsid w:val="00DC2047"/>
    <w:rsid w:val="00DC2302"/>
    <w:rsid w:val="00DC2419"/>
    <w:rsid w:val="00DC270D"/>
    <w:rsid w:val="00DC2BA9"/>
    <w:rsid w:val="00DC352C"/>
    <w:rsid w:val="00DC42FE"/>
    <w:rsid w:val="00DC430F"/>
    <w:rsid w:val="00DC4322"/>
    <w:rsid w:val="00DC4492"/>
    <w:rsid w:val="00DC4531"/>
    <w:rsid w:val="00DC49F2"/>
    <w:rsid w:val="00DC4AB8"/>
    <w:rsid w:val="00DC4CF3"/>
    <w:rsid w:val="00DC583F"/>
    <w:rsid w:val="00DC5B48"/>
    <w:rsid w:val="00DC603E"/>
    <w:rsid w:val="00DC64FB"/>
    <w:rsid w:val="00DC655D"/>
    <w:rsid w:val="00DC672A"/>
    <w:rsid w:val="00DC695F"/>
    <w:rsid w:val="00DC6C63"/>
    <w:rsid w:val="00DC758A"/>
    <w:rsid w:val="00DC78A1"/>
    <w:rsid w:val="00DC7D2E"/>
    <w:rsid w:val="00DD0709"/>
    <w:rsid w:val="00DD079F"/>
    <w:rsid w:val="00DD0A12"/>
    <w:rsid w:val="00DD0F20"/>
    <w:rsid w:val="00DD1FED"/>
    <w:rsid w:val="00DD2294"/>
    <w:rsid w:val="00DD2680"/>
    <w:rsid w:val="00DD282E"/>
    <w:rsid w:val="00DD2FF7"/>
    <w:rsid w:val="00DD3F65"/>
    <w:rsid w:val="00DD3FE0"/>
    <w:rsid w:val="00DD437C"/>
    <w:rsid w:val="00DD44F5"/>
    <w:rsid w:val="00DD4A4A"/>
    <w:rsid w:val="00DD4F23"/>
    <w:rsid w:val="00DD57BC"/>
    <w:rsid w:val="00DD5D7F"/>
    <w:rsid w:val="00DD602B"/>
    <w:rsid w:val="00DD6041"/>
    <w:rsid w:val="00DD63E0"/>
    <w:rsid w:val="00DD6690"/>
    <w:rsid w:val="00DD68C9"/>
    <w:rsid w:val="00DD794F"/>
    <w:rsid w:val="00DD7FCA"/>
    <w:rsid w:val="00DE00E9"/>
    <w:rsid w:val="00DE0104"/>
    <w:rsid w:val="00DE1388"/>
    <w:rsid w:val="00DE138B"/>
    <w:rsid w:val="00DE1391"/>
    <w:rsid w:val="00DE1740"/>
    <w:rsid w:val="00DE1D38"/>
    <w:rsid w:val="00DE1E8C"/>
    <w:rsid w:val="00DE1F64"/>
    <w:rsid w:val="00DE22FE"/>
    <w:rsid w:val="00DE2B4E"/>
    <w:rsid w:val="00DE30CF"/>
    <w:rsid w:val="00DE30DB"/>
    <w:rsid w:val="00DE32A7"/>
    <w:rsid w:val="00DE36D4"/>
    <w:rsid w:val="00DE3813"/>
    <w:rsid w:val="00DE3889"/>
    <w:rsid w:val="00DE3D67"/>
    <w:rsid w:val="00DE4306"/>
    <w:rsid w:val="00DE43B9"/>
    <w:rsid w:val="00DE43EC"/>
    <w:rsid w:val="00DE45C1"/>
    <w:rsid w:val="00DE49A2"/>
    <w:rsid w:val="00DE5695"/>
    <w:rsid w:val="00DE56D2"/>
    <w:rsid w:val="00DE5A5A"/>
    <w:rsid w:val="00DE5A61"/>
    <w:rsid w:val="00DE5A9D"/>
    <w:rsid w:val="00DE5D20"/>
    <w:rsid w:val="00DE63F3"/>
    <w:rsid w:val="00DE655E"/>
    <w:rsid w:val="00DE65F6"/>
    <w:rsid w:val="00DE6DCE"/>
    <w:rsid w:val="00DE6F9D"/>
    <w:rsid w:val="00DE7666"/>
    <w:rsid w:val="00DE7673"/>
    <w:rsid w:val="00DF03D8"/>
    <w:rsid w:val="00DF081B"/>
    <w:rsid w:val="00DF0A2C"/>
    <w:rsid w:val="00DF1C70"/>
    <w:rsid w:val="00DF257F"/>
    <w:rsid w:val="00DF2679"/>
    <w:rsid w:val="00DF26C8"/>
    <w:rsid w:val="00DF2C1A"/>
    <w:rsid w:val="00DF32D7"/>
    <w:rsid w:val="00DF38B1"/>
    <w:rsid w:val="00DF3F81"/>
    <w:rsid w:val="00DF42A6"/>
    <w:rsid w:val="00DF45DE"/>
    <w:rsid w:val="00DF4FF6"/>
    <w:rsid w:val="00DF513B"/>
    <w:rsid w:val="00DF5717"/>
    <w:rsid w:val="00DF5834"/>
    <w:rsid w:val="00DF5AF2"/>
    <w:rsid w:val="00DF600C"/>
    <w:rsid w:val="00DF61AA"/>
    <w:rsid w:val="00DF649A"/>
    <w:rsid w:val="00DF66CF"/>
    <w:rsid w:val="00DF67F6"/>
    <w:rsid w:val="00DF7633"/>
    <w:rsid w:val="00DF766C"/>
    <w:rsid w:val="00DF7BB6"/>
    <w:rsid w:val="00DF7C22"/>
    <w:rsid w:val="00E00176"/>
    <w:rsid w:val="00E006B5"/>
    <w:rsid w:val="00E008A9"/>
    <w:rsid w:val="00E011F0"/>
    <w:rsid w:val="00E013D2"/>
    <w:rsid w:val="00E0152C"/>
    <w:rsid w:val="00E0164D"/>
    <w:rsid w:val="00E0181A"/>
    <w:rsid w:val="00E01938"/>
    <w:rsid w:val="00E019B9"/>
    <w:rsid w:val="00E028D9"/>
    <w:rsid w:val="00E034D3"/>
    <w:rsid w:val="00E034F1"/>
    <w:rsid w:val="00E034FF"/>
    <w:rsid w:val="00E03889"/>
    <w:rsid w:val="00E03A85"/>
    <w:rsid w:val="00E03A9D"/>
    <w:rsid w:val="00E0413D"/>
    <w:rsid w:val="00E044AB"/>
    <w:rsid w:val="00E047D3"/>
    <w:rsid w:val="00E04AAE"/>
    <w:rsid w:val="00E04C32"/>
    <w:rsid w:val="00E04F15"/>
    <w:rsid w:val="00E0553C"/>
    <w:rsid w:val="00E05693"/>
    <w:rsid w:val="00E05843"/>
    <w:rsid w:val="00E061A1"/>
    <w:rsid w:val="00E06852"/>
    <w:rsid w:val="00E06AAE"/>
    <w:rsid w:val="00E06BB9"/>
    <w:rsid w:val="00E06BC8"/>
    <w:rsid w:val="00E06D3E"/>
    <w:rsid w:val="00E06DA2"/>
    <w:rsid w:val="00E10155"/>
    <w:rsid w:val="00E10580"/>
    <w:rsid w:val="00E10672"/>
    <w:rsid w:val="00E107D0"/>
    <w:rsid w:val="00E10C0A"/>
    <w:rsid w:val="00E11092"/>
    <w:rsid w:val="00E11582"/>
    <w:rsid w:val="00E118F1"/>
    <w:rsid w:val="00E11C62"/>
    <w:rsid w:val="00E1267B"/>
    <w:rsid w:val="00E12732"/>
    <w:rsid w:val="00E12751"/>
    <w:rsid w:val="00E12ACF"/>
    <w:rsid w:val="00E1319C"/>
    <w:rsid w:val="00E135D7"/>
    <w:rsid w:val="00E13699"/>
    <w:rsid w:val="00E13C2C"/>
    <w:rsid w:val="00E147A9"/>
    <w:rsid w:val="00E14B14"/>
    <w:rsid w:val="00E14B40"/>
    <w:rsid w:val="00E152CB"/>
    <w:rsid w:val="00E15720"/>
    <w:rsid w:val="00E15A02"/>
    <w:rsid w:val="00E15ADA"/>
    <w:rsid w:val="00E15CF1"/>
    <w:rsid w:val="00E15E34"/>
    <w:rsid w:val="00E16013"/>
    <w:rsid w:val="00E16017"/>
    <w:rsid w:val="00E1624A"/>
    <w:rsid w:val="00E1711C"/>
    <w:rsid w:val="00E171B3"/>
    <w:rsid w:val="00E1746F"/>
    <w:rsid w:val="00E17582"/>
    <w:rsid w:val="00E17B43"/>
    <w:rsid w:val="00E17C58"/>
    <w:rsid w:val="00E203F9"/>
    <w:rsid w:val="00E20AC0"/>
    <w:rsid w:val="00E20B11"/>
    <w:rsid w:val="00E20CD8"/>
    <w:rsid w:val="00E210C4"/>
    <w:rsid w:val="00E21543"/>
    <w:rsid w:val="00E215B7"/>
    <w:rsid w:val="00E21D88"/>
    <w:rsid w:val="00E2245F"/>
    <w:rsid w:val="00E2260F"/>
    <w:rsid w:val="00E22642"/>
    <w:rsid w:val="00E226AA"/>
    <w:rsid w:val="00E226E2"/>
    <w:rsid w:val="00E22F9D"/>
    <w:rsid w:val="00E2326C"/>
    <w:rsid w:val="00E232C9"/>
    <w:rsid w:val="00E23469"/>
    <w:rsid w:val="00E23776"/>
    <w:rsid w:val="00E23C2B"/>
    <w:rsid w:val="00E24289"/>
    <w:rsid w:val="00E24BE6"/>
    <w:rsid w:val="00E24FE6"/>
    <w:rsid w:val="00E252DE"/>
    <w:rsid w:val="00E254EB"/>
    <w:rsid w:val="00E26EFD"/>
    <w:rsid w:val="00E27165"/>
    <w:rsid w:val="00E277BB"/>
    <w:rsid w:val="00E278A8"/>
    <w:rsid w:val="00E27BDA"/>
    <w:rsid w:val="00E27DF0"/>
    <w:rsid w:val="00E27EB3"/>
    <w:rsid w:val="00E3014C"/>
    <w:rsid w:val="00E303D1"/>
    <w:rsid w:val="00E304B0"/>
    <w:rsid w:val="00E3060E"/>
    <w:rsid w:val="00E3063C"/>
    <w:rsid w:val="00E30770"/>
    <w:rsid w:val="00E30A27"/>
    <w:rsid w:val="00E30A68"/>
    <w:rsid w:val="00E30B34"/>
    <w:rsid w:val="00E31124"/>
    <w:rsid w:val="00E31A9D"/>
    <w:rsid w:val="00E31E82"/>
    <w:rsid w:val="00E31F1C"/>
    <w:rsid w:val="00E32D58"/>
    <w:rsid w:val="00E33084"/>
    <w:rsid w:val="00E33724"/>
    <w:rsid w:val="00E3381A"/>
    <w:rsid w:val="00E33847"/>
    <w:rsid w:val="00E33863"/>
    <w:rsid w:val="00E33C25"/>
    <w:rsid w:val="00E33C3B"/>
    <w:rsid w:val="00E33D0A"/>
    <w:rsid w:val="00E33EAD"/>
    <w:rsid w:val="00E33EDA"/>
    <w:rsid w:val="00E345D1"/>
    <w:rsid w:val="00E3462A"/>
    <w:rsid w:val="00E34A21"/>
    <w:rsid w:val="00E34B00"/>
    <w:rsid w:val="00E3513B"/>
    <w:rsid w:val="00E3549E"/>
    <w:rsid w:val="00E35B16"/>
    <w:rsid w:val="00E35B8B"/>
    <w:rsid w:val="00E35ED9"/>
    <w:rsid w:val="00E3600C"/>
    <w:rsid w:val="00E3692C"/>
    <w:rsid w:val="00E36D30"/>
    <w:rsid w:val="00E3715B"/>
    <w:rsid w:val="00E376F3"/>
    <w:rsid w:val="00E37776"/>
    <w:rsid w:val="00E3797B"/>
    <w:rsid w:val="00E379F4"/>
    <w:rsid w:val="00E37ACE"/>
    <w:rsid w:val="00E37CC9"/>
    <w:rsid w:val="00E4005D"/>
    <w:rsid w:val="00E40443"/>
    <w:rsid w:val="00E407F4"/>
    <w:rsid w:val="00E40D06"/>
    <w:rsid w:val="00E40F91"/>
    <w:rsid w:val="00E4116F"/>
    <w:rsid w:val="00E411F4"/>
    <w:rsid w:val="00E41433"/>
    <w:rsid w:val="00E41536"/>
    <w:rsid w:val="00E419BC"/>
    <w:rsid w:val="00E41D8C"/>
    <w:rsid w:val="00E41E59"/>
    <w:rsid w:val="00E425B4"/>
    <w:rsid w:val="00E42B79"/>
    <w:rsid w:val="00E42BA0"/>
    <w:rsid w:val="00E42BF2"/>
    <w:rsid w:val="00E436F1"/>
    <w:rsid w:val="00E43D29"/>
    <w:rsid w:val="00E43EB0"/>
    <w:rsid w:val="00E43F6F"/>
    <w:rsid w:val="00E44002"/>
    <w:rsid w:val="00E440D7"/>
    <w:rsid w:val="00E44459"/>
    <w:rsid w:val="00E44DC9"/>
    <w:rsid w:val="00E4538C"/>
    <w:rsid w:val="00E45AA5"/>
    <w:rsid w:val="00E45E0B"/>
    <w:rsid w:val="00E46A59"/>
    <w:rsid w:val="00E46C1D"/>
    <w:rsid w:val="00E46FC7"/>
    <w:rsid w:val="00E47530"/>
    <w:rsid w:val="00E476D2"/>
    <w:rsid w:val="00E478C3"/>
    <w:rsid w:val="00E47C48"/>
    <w:rsid w:val="00E5038C"/>
    <w:rsid w:val="00E507D1"/>
    <w:rsid w:val="00E5092E"/>
    <w:rsid w:val="00E50D48"/>
    <w:rsid w:val="00E51052"/>
    <w:rsid w:val="00E51514"/>
    <w:rsid w:val="00E516FA"/>
    <w:rsid w:val="00E5174F"/>
    <w:rsid w:val="00E520CD"/>
    <w:rsid w:val="00E5244C"/>
    <w:rsid w:val="00E5245B"/>
    <w:rsid w:val="00E5272F"/>
    <w:rsid w:val="00E5309B"/>
    <w:rsid w:val="00E53298"/>
    <w:rsid w:val="00E53472"/>
    <w:rsid w:val="00E53BF4"/>
    <w:rsid w:val="00E543B1"/>
    <w:rsid w:val="00E54845"/>
    <w:rsid w:val="00E54976"/>
    <w:rsid w:val="00E5499D"/>
    <w:rsid w:val="00E54F46"/>
    <w:rsid w:val="00E55673"/>
    <w:rsid w:val="00E558C5"/>
    <w:rsid w:val="00E55C55"/>
    <w:rsid w:val="00E56703"/>
    <w:rsid w:val="00E56CA2"/>
    <w:rsid w:val="00E56E84"/>
    <w:rsid w:val="00E579E5"/>
    <w:rsid w:val="00E60F9F"/>
    <w:rsid w:val="00E6119A"/>
    <w:rsid w:val="00E61277"/>
    <w:rsid w:val="00E61317"/>
    <w:rsid w:val="00E61454"/>
    <w:rsid w:val="00E62067"/>
    <w:rsid w:val="00E621DA"/>
    <w:rsid w:val="00E6250E"/>
    <w:rsid w:val="00E626FE"/>
    <w:rsid w:val="00E62C00"/>
    <w:rsid w:val="00E63462"/>
    <w:rsid w:val="00E634AC"/>
    <w:rsid w:val="00E63538"/>
    <w:rsid w:val="00E636BC"/>
    <w:rsid w:val="00E63778"/>
    <w:rsid w:val="00E639A1"/>
    <w:rsid w:val="00E63A87"/>
    <w:rsid w:val="00E63CF1"/>
    <w:rsid w:val="00E63F38"/>
    <w:rsid w:val="00E6436A"/>
    <w:rsid w:val="00E64400"/>
    <w:rsid w:val="00E64527"/>
    <w:rsid w:val="00E64827"/>
    <w:rsid w:val="00E648B7"/>
    <w:rsid w:val="00E648E2"/>
    <w:rsid w:val="00E648EE"/>
    <w:rsid w:val="00E64AD5"/>
    <w:rsid w:val="00E64AF0"/>
    <w:rsid w:val="00E64BBF"/>
    <w:rsid w:val="00E64D02"/>
    <w:rsid w:val="00E65342"/>
    <w:rsid w:val="00E6609C"/>
    <w:rsid w:val="00E66188"/>
    <w:rsid w:val="00E6637B"/>
    <w:rsid w:val="00E66660"/>
    <w:rsid w:val="00E6670F"/>
    <w:rsid w:val="00E66B6B"/>
    <w:rsid w:val="00E6705C"/>
    <w:rsid w:val="00E67834"/>
    <w:rsid w:val="00E67A8F"/>
    <w:rsid w:val="00E67BCA"/>
    <w:rsid w:val="00E67C25"/>
    <w:rsid w:val="00E67E91"/>
    <w:rsid w:val="00E702F2"/>
    <w:rsid w:val="00E70323"/>
    <w:rsid w:val="00E7064F"/>
    <w:rsid w:val="00E706F6"/>
    <w:rsid w:val="00E70874"/>
    <w:rsid w:val="00E70A5C"/>
    <w:rsid w:val="00E70F3E"/>
    <w:rsid w:val="00E711EA"/>
    <w:rsid w:val="00E71AE4"/>
    <w:rsid w:val="00E72019"/>
    <w:rsid w:val="00E720A7"/>
    <w:rsid w:val="00E72469"/>
    <w:rsid w:val="00E72553"/>
    <w:rsid w:val="00E726A2"/>
    <w:rsid w:val="00E72D8C"/>
    <w:rsid w:val="00E72DB4"/>
    <w:rsid w:val="00E73373"/>
    <w:rsid w:val="00E736E8"/>
    <w:rsid w:val="00E73B67"/>
    <w:rsid w:val="00E74397"/>
    <w:rsid w:val="00E7465E"/>
    <w:rsid w:val="00E746CF"/>
    <w:rsid w:val="00E74E43"/>
    <w:rsid w:val="00E750A8"/>
    <w:rsid w:val="00E75C5B"/>
    <w:rsid w:val="00E75FB8"/>
    <w:rsid w:val="00E7637A"/>
    <w:rsid w:val="00E76F4F"/>
    <w:rsid w:val="00E770D5"/>
    <w:rsid w:val="00E80104"/>
    <w:rsid w:val="00E80B58"/>
    <w:rsid w:val="00E80DD9"/>
    <w:rsid w:val="00E81CE6"/>
    <w:rsid w:val="00E82237"/>
    <w:rsid w:val="00E8225D"/>
    <w:rsid w:val="00E82350"/>
    <w:rsid w:val="00E82687"/>
    <w:rsid w:val="00E82DB4"/>
    <w:rsid w:val="00E82E9A"/>
    <w:rsid w:val="00E8358F"/>
    <w:rsid w:val="00E83CD8"/>
    <w:rsid w:val="00E83F45"/>
    <w:rsid w:val="00E84237"/>
    <w:rsid w:val="00E84716"/>
    <w:rsid w:val="00E85441"/>
    <w:rsid w:val="00E8564D"/>
    <w:rsid w:val="00E85B8F"/>
    <w:rsid w:val="00E85D00"/>
    <w:rsid w:val="00E85D49"/>
    <w:rsid w:val="00E85E63"/>
    <w:rsid w:val="00E861B5"/>
    <w:rsid w:val="00E86A94"/>
    <w:rsid w:val="00E86D7D"/>
    <w:rsid w:val="00E870C4"/>
    <w:rsid w:val="00E87791"/>
    <w:rsid w:val="00E878AE"/>
    <w:rsid w:val="00E87D83"/>
    <w:rsid w:val="00E905C3"/>
    <w:rsid w:val="00E90E8F"/>
    <w:rsid w:val="00E91869"/>
    <w:rsid w:val="00E91953"/>
    <w:rsid w:val="00E9197B"/>
    <w:rsid w:val="00E919ED"/>
    <w:rsid w:val="00E91A4C"/>
    <w:rsid w:val="00E923B0"/>
    <w:rsid w:val="00E92617"/>
    <w:rsid w:val="00E931A0"/>
    <w:rsid w:val="00E937E6"/>
    <w:rsid w:val="00E93FCE"/>
    <w:rsid w:val="00E94A08"/>
    <w:rsid w:val="00E94C20"/>
    <w:rsid w:val="00E94FCB"/>
    <w:rsid w:val="00E951B0"/>
    <w:rsid w:val="00E95375"/>
    <w:rsid w:val="00E9541F"/>
    <w:rsid w:val="00E954F6"/>
    <w:rsid w:val="00E9651F"/>
    <w:rsid w:val="00E96524"/>
    <w:rsid w:val="00E96772"/>
    <w:rsid w:val="00E967D4"/>
    <w:rsid w:val="00E9694C"/>
    <w:rsid w:val="00E96B4C"/>
    <w:rsid w:val="00E96F02"/>
    <w:rsid w:val="00E9717E"/>
    <w:rsid w:val="00E975B4"/>
    <w:rsid w:val="00E977AE"/>
    <w:rsid w:val="00E97B63"/>
    <w:rsid w:val="00EA07B9"/>
    <w:rsid w:val="00EA0814"/>
    <w:rsid w:val="00EA0C63"/>
    <w:rsid w:val="00EA0E51"/>
    <w:rsid w:val="00EA104C"/>
    <w:rsid w:val="00EA116D"/>
    <w:rsid w:val="00EA1240"/>
    <w:rsid w:val="00EA1365"/>
    <w:rsid w:val="00EA169C"/>
    <w:rsid w:val="00EA1871"/>
    <w:rsid w:val="00EA1BBC"/>
    <w:rsid w:val="00EA1BEE"/>
    <w:rsid w:val="00EA1FE0"/>
    <w:rsid w:val="00EA254E"/>
    <w:rsid w:val="00EA257C"/>
    <w:rsid w:val="00EA283B"/>
    <w:rsid w:val="00EA2F23"/>
    <w:rsid w:val="00EA2F81"/>
    <w:rsid w:val="00EA3220"/>
    <w:rsid w:val="00EA367E"/>
    <w:rsid w:val="00EA3AA0"/>
    <w:rsid w:val="00EA3FA5"/>
    <w:rsid w:val="00EA42DB"/>
    <w:rsid w:val="00EA42FD"/>
    <w:rsid w:val="00EA4319"/>
    <w:rsid w:val="00EA433E"/>
    <w:rsid w:val="00EA468C"/>
    <w:rsid w:val="00EA4B0F"/>
    <w:rsid w:val="00EA4C6B"/>
    <w:rsid w:val="00EA4E9F"/>
    <w:rsid w:val="00EA51AB"/>
    <w:rsid w:val="00EA5AD1"/>
    <w:rsid w:val="00EA6613"/>
    <w:rsid w:val="00EA6B35"/>
    <w:rsid w:val="00EA6E48"/>
    <w:rsid w:val="00EA7917"/>
    <w:rsid w:val="00EA7EA7"/>
    <w:rsid w:val="00EB05D6"/>
    <w:rsid w:val="00EB05ED"/>
    <w:rsid w:val="00EB06C3"/>
    <w:rsid w:val="00EB0B1A"/>
    <w:rsid w:val="00EB0F1C"/>
    <w:rsid w:val="00EB1466"/>
    <w:rsid w:val="00EB14DA"/>
    <w:rsid w:val="00EB1607"/>
    <w:rsid w:val="00EB190C"/>
    <w:rsid w:val="00EB1F8E"/>
    <w:rsid w:val="00EB3015"/>
    <w:rsid w:val="00EB3439"/>
    <w:rsid w:val="00EB3846"/>
    <w:rsid w:val="00EB3C3A"/>
    <w:rsid w:val="00EB3E29"/>
    <w:rsid w:val="00EB4109"/>
    <w:rsid w:val="00EB4229"/>
    <w:rsid w:val="00EB47D1"/>
    <w:rsid w:val="00EB4ECF"/>
    <w:rsid w:val="00EB56F0"/>
    <w:rsid w:val="00EB6F17"/>
    <w:rsid w:val="00EB7F4E"/>
    <w:rsid w:val="00EC007D"/>
    <w:rsid w:val="00EC0089"/>
    <w:rsid w:val="00EC00CF"/>
    <w:rsid w:val="00EC027A"/>
    <w:rsid w:val="00EC071D"/>
    <w:rsid w:val="00EC0D22"/>
    <w:rsid w:val="00EC0EF2"/>
    <w:rsid w:val="00EC134C"/>
    <w:rsid w:val="00EC139C"/>
    <w:rsid w:val="00EC13C3"/>
    <w:rsid w:val="00EC1510"/>
    <w:rsid w:val="00EC1D5F"/>
    <w:rsid w:val="00EC21D2"/>
    <w:rsid w:val="00EC22B2"/>
    <w:rsid w:val="00EC24B4"/>
    <w:rsid w:val="00EC293E"/>
    <w:rsid w:val="00EC2C86"/>
    <w:rsid w:val="00EC304C"/>
    <w:rsid w:val="00EC40DC"/>
    <w:rsid w:val="00EC4DA8"/>
    <w:rsid w:val="00EC4FA4"/>
    <w:rsid w:val="00EC5296"/>
    <w:rsid w:val="00EC5492"/>
    <w:rsid w:val="00EC5CAA"/>
    <w:rsid w:val="00EC63B3"/>
    <w:rsid w:val="00EC6B9D"/>
    <w:rsid w:val="00EC6BD7"/>
    <w:rsid w:val="00EC7344"/>
    <w:rsid w:val="00EC753C"/>
    <w:rsid w:val="00EC77B6"/>
    <w:rsid w:val="00ED0035"/>
    <w:rsid w:val="00ED03F9"/>
    <w:rsid w:val="00ED08BE"/>
    <w:rsid w:val="00ED0A3E"/>
    <w:rsid w:val="00ED0B91"/>
    <w:rsid w:val="00ED0C2F"/>
    <w:rsid w:val="00ED0DB4"/>
    <w:rsid w:val="00ED0EA9"/>
    <w:rsid w:val="00ED1225"/>
    <w:rsid w:val="00ED18F3"/>
    <w:rsid w:val="00ED1AEB"/>
    <w:rsid w:val="00ED1BB3"/>
    <w:rsid w:val="00ED1FAA"/>
    <w:rsid w:val="00ED22C8"/>
    <w:rsid w:val="00ED233B"/>
    <w:rsid w:val="00ED23B9"/>
    <w:rsid w:val="00ED2607"/>
    <w:rsid w:val="00ED26B8"/>
    <w:rsid w:val="00ED2E4C"/>
    <w:rsid w:val="00ED32F3"/>
    <w:rsid w:val="00ED33BC"/>
    <w:rsid w:val="00ED3912"/>
    <w:rsid w:val="00ED3930"/>
    <w:rsid w:val="00ED3C31"/>
    <w:rsid w:val="00ED3CEE"/>
    <w:rsid w:val="00ED3DF4"/>
    <w:rsid w:val="00ED4148"/>
    <w:rsid w:val="00ED4892"/>
    <w:rsid w:val="00ED54BA"/>
    <w:rsid w:val="00ED55B3"/>
    <w:rsid w:val="00ED5B21"/>
    <w:rsid w:val="00ED5E60"/>
    <w:rsid w:val="00ED6BD5"/>
    <w:rsid w:val="00ED777F"/>
    <w:rsid w:val="00ED7EB7"/>
    <w:rsid w:val="00EE0317"/>
    <w:rsid w:val="00EE04AA"/>
    <w:rsid w:val="00EE0C78"/>
    <w:rsid w:val="00EE1564"/>
    <w:rsid w:val="00EE1630"/>
    <w:rsid w:val="00EE1B51"/>
    <w:rsid w:val="00EE2047"/>
    <w:rsid w:val="00EE2264"/>
    <w:rsid w:val="00EE254B"/>
    <w:rsid w:val="00EE278C"/>
    <w:rsid w:val="00EE28BA"/>
    <w:rsid w:val="00EE28D1"/>
    <w:rsid w:val="00EE3361"/>
    <w:rsid w:val="00EE38BF"/>
    <w:rsid w:val="00EE3BDF"/>
    <w:rsid w:val="00EE4043"/>
    <w:rsid w:val="00EE4AF0"/>
    <w:rsid w:val="00EE4DEC"/>
    <w:rsid w:val="00EE4E8A"/>
    <w:rsid w:val="00EE6162"/>
    <w:rsid w:val="00EE67F9"/>
    <w:rsid w:val="00EE77D6"/>
    <w:rsid w:val="00EE789C"/>
    <w:rsid w:val="00EE7AFC"/>
    <w:rsid w:val="00EF01DF"/>
    <w:rsid w:val="00EF1C22"/>
    <w:rsid w:val="00EF1CEF"/>
    <w:rsid w:val="00EF20D2"/>
    <w:rsid w:val="00EF211C"/>
    <w:rsid w:val="00EF26A6"/>
    <w:rsid w:val="00EF27D4"/>
    <w:rsid w:val="00EF2CB4"/>
    <w:rsid w:val="00EF3270"/>
    <w:rsid w:val="00EF36D1"/>
    <w:rsid w:val="00EF3C1A"/>
    <w:rsid w:val="00EF3C6C"/>
    <w:rsid w:val="00EF3DDD"/>
    <w:rsid w:val="00EF4486"/>
    <w:rsid w:val="00EF476E"/>
    <w:rsid w:val="00EF490F"/>
    <w:rsid w:val="00EF4BAC"/>
    <w:rsid w:val="00EF4F8C"/>
    <w:rsid w:val="00EF5465"/>
    <w:rsid w:val="00EF55E2"/>
    <w:rsid w:val="00EF5F95"/>
    <w:rsid w:val="00EF5F99"/>
    <w:rsid w:val="00EF6655"/>
    <w:rsid w:val="00EF6AD2"/>
    <w:rsid w:val="00EF757E"/>
    <w:rsid w:val="00EF769E"/>
    <w:rsid w:val="00EF7800"/>
    <w:rsid w:val="00EF7AFE"/>
    <w:rsid w:val="00EF7B33"/>
    <w:rsid w:val="00EF7D59"/>
    <w:rsid w:val="00EF7EC3"/>
    <w:rsid w:val="00EF7F92"/>
    <w:rsid w:val="00F0040F"/>
    <w:rsid w:val="00F00B0A"/>
    <w:rsid w:val="00F01139"/>
    <w:rsid w:val="00F0173D"/>
    <w:rsid w:val="00F01A32"/>
    <w:rsid w:val="00F01BA1"/>
    <w:rsid w:val="00F01BF1"/>
    <w:rsid w:val="00F01D7A"/>
    <w:rsid w:val="00F01FC8"/>
    <w:rsid w:val="00F02215"/>
    <w:rsid w:val="00F024FB"/>
    <w:rsid w:val="00F02D31"/>
    <w:rsid w:val="00F030C7"/>
    <w:rsid w:val="00F031EC"/>
    <w:rsid w:val="00F036DF"/>
    <w:rsid w:val="00F03777"/>
    <w:rsid w:val="00F037C4"/>
    <w:rsid w:val="00F037E7"/>
    <w:rsid w:val="00F03A75"/>
    <w:rsid w:val="00F03B46"/>
    <w:rsid w:val="00F03C76"/>
    <w:rsid w:val="00F03D9B"/>
    <w:rsid w:val="00F041FB"/>
    <w:rsid w:val="00F04668"/>
    <w:rsid w:val="00F046E8"/>
    <w:rsid w:val="00F04D74"/>
    <w:rsid w:val="00F0501E"/>
    <w:rsid w:val="00F05020"/>
    <w:rsid w:val="00F05529"/>
    <w:rsid w:val="00F05606"/>
    <w:rsid w:val="00F05CC4"/>
    <w:rsid w:val="00F05F4C"/>
    <w:rsid w:val="00F060CF"/>
    <w:rsid w:val="00F0654C"/>
    <w:rsid w:val="00F065ED"/>
    <w:rsid w:val="00F0678E"/>
    <w:rsid w:val="00F068F9"/>
    <w:rsid w:val="00F0696B"/>
    <w:rsid w:val="00F06C6F"/>
    <w:rsid w:val="00F074E0"/>
    <w:rsid w:val="00F07779"/>
    <w:rsid w:val="00F07818"/>
    <w:rsid w:val="00F07CDE"/>
    <w:rsid w:val="00F1002B"/>
    <w:rsid w:val="00F1060B"/>
    <w:rsid w:val="00F10801"/>
    <w:rsid w:val="00F10992"/>
    <w:rsid w:val="00F10DC5"/>
    <w:rsid w:val="00F111EC"/>
    <w:rsid w:val="00F112EF"/>
    <w:rsid w:val="00F116F2"/>
    <w:rsid w:val="00F11903"/>
    <w:rsid w:val="00F11D4F"/>
    <w:rsid w:val="00F11E17"/>
    <w:rsid w:val="00F11E44"/>
    <w:rsid w:val="00F11EF4"/>
    <w:rsid w:val="00F122AA"/>
    <w:rsid w:val="00F124FC"/>
    <w:rsid w:val="00F12F32"/>
    <w:rsid w:val="00F132FB"/>
    <w:rsid w:val="00F1345B"/>
    <w:rsid w:val="00F134F8"/>
    <w:rsid w:val="00F13940"/>
    <w:rsid w:val="00F13C1C"/>
    <w:rsid w:val="00F13EEC"/>
    <w:rsid w:val="00F14034"/>
    <w:rsid w:val="00F143EC"/>
    <w:rsid w:val="00F146E0"/>
    <w:rsid w:val="00F1493C"/>
    <w:rsid w:val="00F149BB"/>
    <w:rsid w:val="00F14DF9"/>
    <w:rsid w:val="00F150E9"/>
    <w:rsid w:val="00F15924"/>
    <w:rsid w:val="00F15AA9"/>
    <w:rsid w:val="00F15CE2"/>
    <w:rsid w:val="00F1603F"/>
    <w:rsid w:val="00F16269"/>
    <w:rsid w:val="00F164E7"/>
    <w:rsid w:val="00F166C0"/>
    <w:rsid w:val="00F166DE"/>
    <w:rsid w:val="00F16B2F"/>
    <w:rsid w:val="00F16FE0"/>
    <w:rsid w:val="00F16FEF"/>
    <w:rsid w:val="00F17090"/>
    <w:rsid w:val="00F1731F"/>
    <w:rsid w:val="00F174CC"/>
    <w:rsid w:val="00F17B34"/>
    <w:rsid w:val="00F208DD"/>
    <w:rsid w:val="00F20DB9"/>
    <w:rsid w:val="00F216B9"/>
    <w:rsid w:val="00F2191D"/>
    <w:rsid w:val="00F21F40"/>
    <w:rsid w:val="00F220EE"/>
    <w:rsid w:val="00F22C82"/>
    <w:rsid w:val="00F22CCC"/>
    <w:rsid w:val="00F23097"/>
    <w:rsid w:val="00F2316D"/>
    <w:rsid w:val="00F232F2"/>
    <w:rsid w:val="00F233D8"/>
    <w:rsid w:val="00F23A24"/>
    <w:rsid w:val="00F23D40"/>
    <w:rsid w:val="00F23E81"/>
    <w:rsid w:val="00F23F21"/>
    <w:rsid w:val="00F23FF8"/>
    <w:rsid w:val="00F24B56"/>
    <w:rsid w:val="00F24B7B"/>
    <w:rsid w:val="00F24CD0"/>
    <w:rsid w:val="00F24DE3"/>
    <w:rsid w:val="00F24F4B"/>
    <w:rsid w:val="00F252B4"/>
    <w:rsid w:val="00F259C8"/>
    <w:rsid w:val="00F25B64"/>
    <w:rsid w:val="00F25E75"/>
    <w:rsid w:val="00F263D7"/>
    <w:rsid w:val="00F26821"/>
    <w:rsid w:val="00F268DF"/>
    <w:rsid w:val="00F26BA4"/>
    <w:rsid w:val="00F27998"/>
    <w:rsid w:val="00F27AF7"/>
    <w:rsid w:val="00F27C45"/>
    <w:rsid w:val="00F3010C"/>
    <w:rsid w:val="00F3061F"/>
    <w:rsid w:val="00F307EC"/>
    <w:rsid w:val="00F30AA3"/>
    <w:rsid w:val="00F30AD8"/>
    <w:rsid w:val="00F30B93"/>
    <w:rsid w:val="00F3135A"/>
    <w:rsid w:val="00F31E30"/>
    <w:rsid w:val="00F322FD"/>
    <w:rsid w:val="00F3288B"/>
    <w:rsid w:val="00F32997"/>
    <w:rsid w:val="00F32B70"/>
    <w:rsid w:val="00F33873"/>
    <w:rsid w:val="00F33AAB"/>
    <w:rsid w:val="00F33F39"/>
    <w:rsid w:val="00F33FC5"/>
    <w:rsid w:val="00F345F2"/>
    <w:rsid w:val="00F34A4C"/>
    <w:rsid w:val="00F34CC2"/>
    <w:rsid w:val="00F3538E"/>
    <w:rsid w:val="00F35535"/>
    <w:rsid w:val="00F35A1A"/>
    <w:rsid w:val="00F360DB"/>
    <w:rsid w:val="00F36875"/>
    <w:rsid w:val="00F36A87"/>
    <w:rsid w:val="00F36E7F"/>
    <w:rsid w:val="00F370C7"/>
    <w:rsid w:val="00F37C95"/>
    <w:rsid w:val="00F40606"/>
    <w:rsid w:val="00F40A00"/>
    <w:rsid w:val="00F40C06"/>
    <w:rsid w:val="00F40DFB"/>
    <w:rsid w:val="00F40EF6"/>
    <w:rsid w:val="00F41136"/>
    <w:rsid w:val="00F41595"/>
    <w:rsid w:val="00F41A77"/>
    <w:rsid w:val="00F41BF8"/>
    <w:rsid w:val="00F41C56"/>
    <w:rsid w:val="00F4252E"/>
    <w:rsid w:val="00F42A9E"/>
    <w:rsid w:val="00F430E1"/>
    <w:rsid w:val="00F43314"/>
    <w:rsid w:val="00F4355E"/>
    <w:rsid w:val="00F436C5"/>
    <w:rsid w:val="00F43C0A"/>
    <w:rsid w:val="00F43D05"/>
    <w:rsid w:val="00F43D34"/>
    <w:rsid w:val="00F43D83"/>
    <w:rsid w:val="00F44283"/>
    <w:rsid w:val="00F446DE"/>
    <w:rsid w:val="00F44724"/>
    <w:rsid w:val="00F451F5"/>
    <w:rsid w:val="00F452A7"/>
    <w:rsid w:val="00F45E9B"/>
    <w:rsid w:val="00F45E9D"/>
    <w:rsid w:val="00F45F88"/>
    <w:rsid w:val="00F46397"/>
    <w:rsid w:val="00F466A0"/>
    <w:rsid w:val="00F467F1"/>
    <w:rsid w:val="00F46E90"/>
    <w:rsid w:val="00F46F7B"/>
    <w:rsid w:val="00F47298"/>
    <w:rsid w:val="00F47561"/>
    <w:rsid w:val="00F47CBA"/>
    <w:rsid w:val="00F50849"/>
    <w:rsid w:val="00F51366"/>
    <w:rsid w:val="00F51B8B"/>
    <w:rsid w:val="00F52F11"/>
    <w:rsid w:val="00F538FA"/>
    <w:rsid w:val="00F54105"/>
    <w:rsid w:val="00F54427"/>
    <w:rsid w:val="00F5481B"/>
    <w:rsid w:val="00F55152"/>
    <w:rsid w:val="00F55365"/>
    <w:rsid w:val="00F55385"/>
    <w:rsid w:val="00F55431"/>
    <w:rsid w:val="00F55463"/>
    <w:rsid w:val="00F55929"/>
    <w:rsid w:val="00F55CEF"/>
    <w:rsid w:val="00F55F0B"/>
    <w:rsid w:val="00F56C6E"/>
    <w:rsid w:val="00F56D1D"/>
    <w:rsid w:val="00F5749F"/>
    <w:rsid w:val="00F575BF"/>
    <w:rsid w:val="00F57CAC"/>
    <w:rsid w:val="00F60CE9"/>
    <w:rsid w:val="00F6154A"/>
    <w:rsid w:val="00F61CEB"/>
    <w:rsid w:val="00F61E2F"/>
    <w:rsid w:val="00F61F14"/>
    <w:rsid w:val="00F62070"/>
    <w:rsid w:val="00F620D8"/>
    <w:rsid w:val="00F6227D"/>
    <w:rsid w:val="00F624AE"/>
    <w:rsid w:val="00F627EC"/>
    <w:rsid w:val="00F628A2"/>
    <w:rsid w:val="00F628C5"/>
    <w:rsid w:val="00F62F02"/>
    <w:rsid w:val="00F63010"/>
    <w:rsid w:val="00F63401"/>
    <w:rsid w:val="00F6340A"/>
    <w:rsid w:val="00F6352A"/>
    <w:rsid w:val="00F6380F"/>
    <w:rsid w:val="00F644DC"/>
    <w:rsid w:val="00F64972"/>
    <w:rsid w:val="00F6564B"/>
    <w:rsid w:val="00F6593B"/>
    <w:rsid w:val="00F6595B"/>
    <w:rsid w:val="00F66530"/>
    <w:rsid w:val="00F666D4"/>
    <w:rsid w:val="00F66C8A"/>
    <w:rsid w:val="00F66E8B"/>
    <w:rsid w:val="00F66EB9"/>
    <w:rsid w:val="00F66F30"/>
    <w:rsid w:val="00F66F70"/>
    <w:rsid w:val="00F671FF"/>
    <w:rsid w:val="00F676EF"/>
    <w:rsid w:val="00F67FBD"/>
    <w:rsid w:val="00F7016F"/>
    <w:rsid w:val="00F7052D"/>
    <w:rsid w:val="00F70B55"/>
    <w:rsid w:val="00F71C66"/>
    <w:rsid w:val="00F7225C"/>
    <w:rsid w:val="00F72D0B"/>
    <w:rsid w:val="00F72F9A"/>
    <w:rsid w:val="00F731FE"/>
    <w:rsid w:val="00F732A9"/>
    <w:rsid w:val="00F732BC"/>
    <w:rsid w:val="00F7350E"/>
    <w:rsid w:val="00F73651"/>
    <w:rsid w:val="00F742FF"/>
    <w:rsid w:val="00F744FB"/>
    <w:rsid w:val="00F745EB"/>
    <w:rsid w:val="00F7522C"/>
    <w:rsid w:val="00F752DD"/>
    <w:rsid w:val="00F7541E"/>
    <w:rsid w:val="00F75500"/>
    <w:rsid w:val="00F75610"/>
    <w:rsid w:val="00F75BBD"/>
    <w:rsid w:val="00F75DD4"/>
    <w:rsid w:val="00F76508"/>
    <w:rsid w:val="00F772AB"/>
    <w:rsid w:val="00F77469"/>
    <w:rsid w:val="00F77715"/>
    <w:rsid w:val="00F7772C"/>
    <w:rsid w:val="00F77F94"/>
    <w:rsid w:val="00F80168"/>
    <w:rsid w:val="00F802C3"/>
    <w:rsid w:val="00F8052F"/>
    <w:rsid w:val="00F80BB0"/>
    <w:rsid w:val="00F80F6B"/>
    <w:rsid w:val="00F80FA3"/>
    <w:rsid w:val="00F810C2"/>
    <w:rsid w:val="00F81129"/>
    <w:rsid w:val="00F8169D"/>
    <w:rsid w:val="00F81A87"/>
    <w:rsid w:val="00F81BDD"/>
    <w:rsid w:val="00F82015"/>
    <w:rsid w:val="00F82196"/>
    <w:rsid w:val="00F82664"/>
    <w:rsid w:val="00F826C8"/>
    <w:rsid w:val="00F831FD"/>
    <w:rsid w:val="00F8337F"/>
    <w:rsid w:val="00F8339A"/>
    <w:rsid w:val="00F8379F"/>
    <w:rsid w:val="00F83F75"/>
    <w:rsid w:val="00F84382"/>
    <w:rsid w:val="00F84454"/>
    <w:rsid w:val="00F844E7"/>
    <w:rsid w:val="00F8458A"/>
    <w:rsid w:val="00F847CF"/>
    <w:rsid w:val="00F849ED"/>
    <w:rsid w:val="00F84EDB"/>
    <w:rsid w:val="00F85744"/>
    <w:rsid w:val="00F8582E"/>
    <w:rsid w:val="00F85C7A"/>
    <w:rsid w:val="00F86036"/>
    <w:rsid w:val="00F8620F"/>
    <w:rsid w:val="00F86A98"/>
    <w:rsid w:val="00F86D47"/>
    <w:rsid w:val="00F86E56"/>
    <w:rsid w:val="00F8754E"/>
    <w:rsid w:val="00F87667"/>
    <w:rsid w:val="00F87E8D"/>
    <w:rsid w:val="00F87F2B"/>
    <w:rsid w:val="00F87FF2"/>
    <w:rsid w:val="00F9031E"/>
    <w:rsid w:val="00F90393"/>
    <w:rsid w:val="00F904BF"/>
    <w:rsid w:val="00F906B2"/>
    <w:rsid w:val="00F909DD"/>
    <w:rsid w:val="00F90C27"/>
    <w:rsid w:val="00F90D4C"/>
    <w:rsid w:val="00F90FFB"/>
    <w:rsid w:val="00F9156E"/>
    <w:rsid w:val="00F91966"/>
    <w:rsid w:val="00F91983"/>
    <w:rsid w:val="00F91CEA"/>
    <w:rsid w:val="00F91E35"/>
    <w:rsid w:val="00F9211F"/>
    <w:rsid w:val="00F923EE"/>
    <w:rsid w:val="00F92520"/>
    <w:rsid w:val="00F92775"/>
    <w:rsid w:val="00F93BAE"/>
    <w:rsid w:val="00F93F48"/>
    <w:rsid w:val="00F93F51"/>
    <w:rsid w:val="00F94318"/>
    <w:rsid w:val="00F94551"/>
    <w:rsid w:val="00F9456A"/>
    <w:rsid w:val="00F945F8"/>
    <w:rsid w:val="00F948FA"/>
    <w:rsid w:val="00F94A94"/>
    <w:rsid w:val="00F94AC5"/>
    <w:rsid w:val="00F94EFC"/>
    <w:rsid w:val="00F953C9"/>
    <w:rsid w:val="00F959CA"/>
    <w:rsid w:val="00F95C4E"/>
    <w:rsid w:val="00F95D2C"/>
    <w:rsid w:val="00F95DBE"/>
    <w:rsid w:val="00F9607E"/>
    <w:rsid w:val="00F96691"/>
    <w:rsid w:val="00F9684C"/>
    <w:rsid w:val="00F96D8E"/>
    <w:rsid w:val="00F975A0"/>
    <w:rsid w:val="00F97983"/>
    <w:rsid w:val="00F97F99"/>
    <w:rsid w:val="00F97FD5"/>
    <w:rsid w:val="00F97FF0"/>
    <w:rsid w:val="00FA0120"/>
    <w:rsid w:val="00FA0374"/>
    <w:rsid w:val="00FA0B3B"/>
    <w:rsid w:val="00FA0B93"/>
    <w:rsid w:val="00FA11D4"/>
    <w:rsid w:val="00FA160D"/>
    <w:rsid w:val="00FA2071"/>
    <w:rsid w:val="00FA20F6"/>
    <w:rsid w:val="00FA23EA"/>
    <w:rsid w:val="00FA26BC"/>
    <w:rsid w:val="00FA2BF3"/>
    <w:rsid w:val="00FA3511"/>
    <w:rsid w:val="00FA35DE"/>
    <w:rsid w:val="00FA3C50"/>
    <w:rsid w:val="00FA405D"/>
    <w:rsid w:val="00FA415F"/>
    <w:rsid w:val="00FA4197"/>
    <w:rsid w:val="00FA4FC3"/>
    <w:rsid w:val="00FA511E"/>
    <w:rsid w:val="00FA58D0"/>
    <w:rsid w:val="00FA58E3"/>
    <w:rsid w:val="00FA6B0C"/>
    <w:rsid w:val="00FA6B23"/>
    <w:rsid w:val="00FA6DFD"/>
    <w:rsid w:val="00FA706B"/>
    <w:rsid w:val="00FA7573"/>
    <w:rsid w:val="00FA75B8"/>
    <w:rsid w:val="00FA7AFC"/>
    <w:rsid w:val="00FA7C82"/>
    <w:rsid w:val="00FA7EE6"/>
    <w:rsid w:val="00FB0461"/>
    <w:rsid w:val="00FB12BC"/>
    <w:rsid w:val="00FB14EE"/>
    <w:rsid w:val="00FB15CB"/>
    <w:rsid w:val="00FB17F5"/>
    <w:rsid w:val="00FB200A"/>
    <w:rsid w:val="00FB20B7"/>
    <w:rsid w:val="00FB22B8"/>
    <w:rsid w:val="00FB28FB"/>
    <w:rsid w:val="00FB32AB"/>
    <w:rsid w:val="00FB34B3"/>
    <w:rsid w:val="00FB3CDB"/>
    <w:rsid w:val="00FB4972"/>
    <w:rsid w:val="00FB5297"/>
    <w:rsid w:val="00FB58F8"/>
    <w:rsid w:val="00FB5A79"/>
    <w:rsid w:val="00FB5C3A"/>
    <w:rsid w:val="00FB5E6E"/>
    <w:rsid w:val="00FB664A"/>
    <w:rsid w:val="00FB68AF"/>
    <w:rsid w:val="00FB68B3"/>
    <w:rsid w:val="00FB70E8"/>
    <w:rsid w:val="00FB723D"/>
    <w:rsid w:val="00FB7C06"/>
    <w:rsid w:val="00FC070C"/>
    <w:rsid w:val="00FC1400"/>
    <w:rsid w:val="00FC1900"/>
    <w:rsid w:val="00FC190B"/>
    <w:rsid w:val="00FC2062"/>
    <w:rsid w:val="00FC217A"/>
    <w:rsid w:val="00FC23CE"/>
    <w:rsid w:val="00FC23D7"/>
    <w:rsid w:val="00FC29F1"/>
    <w:rsid w:val="00FC2C61"/>
    <w:rsid w:val="00FC3168"/>
    <w:rsid w:val="00FC4BC2"/>
    <w:rsid w:val="00FC4FBB"/>
    <w:rsid w:val="00FC5062"/>
    <w:rsid w:val="00FC57CC"/>
    <w:rsid w:val="00FC6701"/>
    <w:rsid w:val="00FC6B25"/>
    <w:rsid w:val="00FC6C03"/>
    <w:rsid w:val="00FC6D40"/>
    <w:rsid w:val="00FC6D8D"/>
    <w:rsid w:val="00FC6E45"/>
    <w:rsid w:val="00FC6F01"/>
    <w:rsid w:val="00FC7A50"/>
    <w:rsid w:val="00FC7C76"/>
    <w:rsid w:val="00FC7D1A"/>
    <w:rsid w:val="00FD01E5"/>
    <w:rsid w:val="00FD0280"/>
    <w:rsid w:val="00FD02E3"/>
    <w:rsid w:val="00FD05EB"/>
    <w:rsid w:val="00FD138A"/>
    <w:rsid w:val="00FD1779"/>
    <w:rsid w:val="00FD182A"/>
    <w:rsid w:val="00FD1B24"/>
    <w:rsid w:val="00FD1FA7"/>
    <w:rsid w:val="00FD23BC"/>
    <w:rsid w:val="00FD29B1"/>
    <w:rsid w:val="00FD29C0"/>
    <w:rsid w:val="00FD2C69"/>
    <w:rsid w:val="00FD30E4"/>
    <w:rsid w:val="00FD316F"/>
    <w:rsid w:val="00FD413C"/>
    <w:rsid w:val="00FD41C6"/>
    <w:rsid w:val="00FD45F0"/>
    <w:rsid w:val="00FD491C"/>
    <w:rsid w:val="00FD4FC5"/>
    <w:rsid w:val="00FD5263"/>
    <w:rsid w:val="00FD5AC4"/>
    <w:rsid w:val="00FD62F8"/>
    <w:rsid w:val="00FD704B"/>
    <w:rsid w:val="00FD7421"/>
    <w:rsid w:val="00FD756A"/>
    <w:rsid w:val="00FD7F03"/>
    <w:rsid w:val="00FD7F85"/>
    <w:rsid w:val="00FE0116"/>
    <w:rsid w:val="00FE0310"/>
    <w:rsid w:val="00FE0894"/>
    <w:rsid w:val="00FE0A07"/>
    <w:rsid w:val="00FE0D32"/>
    <w:rsid w:val="00FE0DD8"/>
    <w:rsid w:val="00FE0F7B"/>
    <w:rsid w:val="00FE1311"/>
    <w:rsid w:val="00FE1AA5"/>
    <w:rsid w:val="00FE1C96"/>
    <w:rsid w:val="00FE22B0"/>
    <w:rsid w:val="00FE2475"/>
    <w:rsid w:val="00FE252E"/>
    <w:rsid w:val="00FE26B9"/>
    <w:rsid w:val="00FE26FA"/>
    <w:rsid w:val="00FE2E2A"/>
    <w:rsid w:val="00FE310A"/>
    <w:rsid w:val="00FE3226"/>
    <w:rsid w:val="00FE41BD"/>
    <w:rsid w:val="00FE428D"/>
    <w:rsid w:val="00FE4301"/>
    <w:rsid w:val="00FE4CFA"/>
    <w:rsid w:val="00FE4D55"/>
    <w:rsid w:val="00FE4F73"/>
    <w:rsid w:val="00FE518F"/>
    <w:rsid w:val="00FE5CCF"/>
    <w:rsid w:val="00FE60F6"/>
    <w:rsid w:val="00FE6111"/>
    <w:rsid w:val="00FE693C"/>
    <w:rsid w:val="00FE69C1"/>
    <w:rsid w:val="00FE6D56"/>
    <w:rsid w:val="00FE6D9E"/>
    <w:rsid w:val="00FE6E7C"/>
    <w:rsid w:val="00FE6F6F"/>
    <w:rsid w:val="00FE726C"/>
    <w:rsid w:val="00FE72D0"/>
    <w:rsid w:val="00FE7657"/>
    <w:rsid w:val="00FE7B98"/>
    <w:rsid w:val="00FE7BE3"/>
    <w:rsid w:val="00FF01D0"/>
    <w:rsid w:val="00FF08AD"/>
    <w:rsid w:val="00FF08D0"/>
    <w:rsid w:val="00FF093E"/>
    <w:rsid w:val="00FF09FE"/>
    <w:rsid w:val="00FF0F34"/>
    <w:rsid w:val="00FF187F"/>
    <w:rsid w:val="00FF18E9"/>
    <w:rsid w:val="00FF1C46"/>
    <w:rsid w:val="00FF2496"/>
    <w:rsid w:val="00FF2801"/>
    <w:rsid w:val="00FF2A73"/>
    <w:rsid w:val="00FF2AD3"/>
    <w:rsid w:val="00FF2D5C"/>
    <w:rsid w:val="00FF439E"/>
    <w:rsid w:val="00FF4434"/>
    <w:rsid w:val="00FF4536"/>
    <w:rsid w:val="00FF47C8"/>
    <w:rsid w:val="00FF495B"/>
    <w:rsid w:val="00FF4B75"/>
    <w:rsid w:val="00FF4B7E"/>
    <w:rsid w:val="00FF4E3D"/>
    <w:rsid w:val="00FF50B7"/>
    <w:rsid w:val="00FF5174"/>
    <w:rsid w:val="00FF597B"/>
    <w:rsid w:val="00FF6066"/>
    <w:rsid w:val="00FF6240"/>
    <w:rsid w:val="00FF63A8"/>
    <w:rsid w:val="00FF66F9"/>
    <w:rsid w:val="00FF7423"/>
    <w:rsid w:val="00FF744C"/>
    <w:rsid w:val="00FF7676"/>
    <w:rsid w:val="00FF774D"/>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0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75"/>
    <w:rPr>
      <w:rFonts w:ascii="Times New Roman" w:hAnsi="Times New Roman"/>
      <w:szCs w:val="20"/>
      <w:lang w:bidi="ar-SA"/>
    </w:rPr>
  </w:style>
  <w:style w:type="paragraph" w:styleId="Heading1">
    <w:name w:val="heading 1"/>
    <w:basedOn w:val="Normal"/>
    <w:next w:val="Normal"/>
    <w:link w:val="Heading1Char"/>
    <w:uiPriority w:val="9"/>
    <w:qFormat/>
    <w:rsid w:val="00DC23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C23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C2302"/>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C23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C2302"/>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C230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C2302"/>
    <w:pPr>
      <w:spacing w:before="240" w:after="60"/>
      <w:outlineLvl w:val="6"/>
    </w:pPr>
    <w:rPr>
      <w:sz w:val="24"/>
    </w:rPr>
  </w:style>
  <w:style w:type="paragraph" w:styleId="Heading8">
    <w:name w:val="heading 8"/>
    <w:basedOn w:val="Normal"/>
    <w:next w:val="Normal"/>
    <w:link w:val="Heading8Char"/>
    <w:uiPriority w:val="9"/>
    <w:semiHidden/>
    <w:unhideWhenUsed/>
    <w:qFormat/>
    <w:rsid w:val="00DC230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C230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02"/>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C2302"/>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C2302"/>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C2302"/>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C2302"/>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C2302"/>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C2302"/>
    <w:rPr>
      <w:rFonts w:asciiTheme="majorHAnsi" w:eastAsiaTheme="majorEastAsia" w:hAnsiTheme="majorHAnsi"/>
      <w:lang w:bidi="ar-SA"/>
    </w:rPr>
  </w:style>
  <w:style w:type="paragraph" w:styleId="Title">
    <w:name w:val="Title"/>
    <w:basedOn w:val="Normal"/>
    <w:next w:val="Normal"/>
    <w:link w:val="TitleChar"/>
    <w:uiPriority w:val="10"/>
    <w:qFormat/>
    <w:rsid w:val="00DC23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302"/>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C230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C2302"/>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C2302"/>
    <w:pPr>
      <w:outlineLvl w:val="9"/>
    </w:pPr>
  </w:style>
  <w:style w:type="character" w:customStyle="1" w:styleId="Heading4Char">
    <w:name w:val="Heading 4 Char"/>
    <w:basedOn w:val="DefaultParagraphFont"/>
    <w:link w:val="Heading4"/>
    <w:uiPriority w:val="9"/>
    <w:semiHidden/>
    <w:rsid w:val="00DC2302"/>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C2302"/>
    <w:rPr>
      <w:rFonts w:ascii="Times New Roman" w:eastAsia="Times New Roman" w:hAnsi="Times New Roman"/>
      <w:b/>
      <w:bCs/>
      <w:i/>
      <w:iCs/>
      <w:lang w:bidi="ar-SA"/>
    </w:rPr>
  </w:style>
  <w:style w:type="character" w:styleId="Strong">
    <w:name w:val="Strong"/>
    <w:basedOn w:val="DefaultParagraphFont"/>
    <w:uiPriority w:val="22"/>
    <w:rsid w:val="00DC2302"/>
    <w:rPr>
      <w:b/>
      <w:bCs/>
    </w:rPr>
  </w:style>
  <w:style w:type="character" w:styleId="Emphasis">
    <w:name w:val="Emphasis"/>
    <w:basedOn w:val="DefaultParagraphFont"/>
    <w:uiPriority w:val="20"/>
    <w:rsid w:val="00DC2302"/>
    <w:rPr>
      <w:rFonts w:asciiTheme="minorHAnsi" w:hAnsiTheme="minorHAnsi"/>
      <w:b/>
      <w:i/>
      <w:iCs/>
    </w:rPr>
  </w:style>
  <w:style w:type="paragraph" w:styleId="NoSpacing">
    <w:name w:val="No Spacing"/>
    <w:basedOn w:val="Normal"/>
    <w:uiPriority w:val="1"/>
    <w:rsid w:val="00DC2302"/>
    <w:rPr>
      <w:szCs w:val="32"/>
    </w:rPr>
  </w:style>
  <w:style w:type="paragraph" w:styleId="ListParagraph">
    <w:name w:val="List Paragraph"/>
    <w:basedOn w:val="Normal"/>
    <w:uiPriority w:val="34"/>
    <w:rsid w:val="00DC2302"/>
    <w:pPr>
      <w:ind w:left="720"/>
      <w:contextualSpacing/>
    </w:pPr>
  </w:style>
  <w:style w:type="paragraph" w:styleId="Quote">
    <w:name w:val="Quote"/>
    <w:basedOn w:val="Normal"/>
    <w:next w:val="Normal"/>
    <w:link w:val="QuoteChar"/>
    <w:uiPriority w:val="29"/>
    <w:rsid w:val="00DC2302"/>
    <w:rPr>
      <w:i/>
    </w:rPr>
  </w:style>
  <w:style w:type="character" w:customStyle="1" w:styleId="QuoteChar">
    <w:name w:val="Quote Char"/>
    <w:basedOn w:val="DefaultParagraphFont"/>
    <w:link w:val="Quote"/>
    <w:uiPriority w:val="29"/>
    <w:rsid w:val="00DC2302"/>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C2302"/>
    <w:pPr>
      <w:ind w:left="720" w:right="720"/>
    </w:pPr>
    <w:rPr>
      <w:b/>
      <w:i/>
      <w:szCs w:val="22"/>
    </w:rPr>
  </w:style>
  <w:style w:type="character" w:customStyle="1" w:styleId="IntenseQuoteChar">
    <w:name w:val="Intense Quote Char"/>
    <w:basedOn w:val="DefaultParagraphFont"/>
    <w:link w:val="IntenseQuote"/>
    <w:uiPriority w:val="30"/>
    <w:rsid w:val="00DC2302"/>
    <w:rPr>
      <w:rFonts w:ascii="Times New Roman" w:eastAsia="Times New Roman" w:hAnsi="Times New Roman"/>
      <w:b/>
      <w:i/>
      <w:szCs w:val="22"/>
      <w:lang w:bidi="ar-SA"/>
    </w:rPr>
  </w:style>
  <w:style w:type="character" w:styleId="SubtleEmphasis">
    <w:name w:val="Subtle Emphasis"/>
    <w:uiPriority w:val="19"/>
    <w:rsid w:val="00DC2302"/>
    <w:rPr>
      <w:i/>
      <w:color w:val="5A5A5A" w:themeColor="text1" w:themeTint="A5"/>
    </w:rPr>
  </w:style>
  <w:style w:type="character" w:styleId="IntenseEmphasis">
    <w:name w:val="Intense Emphasis"/>
    <w:basedOn w:val="DefaultParagraphFont"/>
    <w:uiPriority w:val="21"/>
    <w:rsid w:val="00DC2302"/>
    <w:rPr>
      <w:b/>
      <w:i/>
      <w:sz w:val="24"/>
      <w:szCs w:val="24"/>
      <w:u w:val="single"/>
    </w:rPr>
  </w:style>
  <w:style w:type="character" w:styleId="SubtleReference">
    <w:name w:val="Subtle Reference"/>
    <w:basedOn w:val="DefaultParagraphFont"/>
    <w:uiPriority w:val="31"/>
    <w:rsid w:val="00DC2302"/>
    <w:rPr>
      <w:sz w:val="24"/>
      <w:szCs w:val="24"/>
      <w:u w:val="single"/>
    </w:rPr>
  </w:style>
  <w:style w:type="character" w:styleId="IntenseReference">
    <w:name w:val="Intense Reference"/>
    <w:basedOn w:val="DefaultParagraphFont"/>
    <w:uiPriority w:val="32"/>
    <w:rsid w:val="00DC2302"/>
    <w:rPr>
      <w:b/>
      <w:sz w:val="24"/>
      <w:u w:val="single"/>
    </w:rPr>
  </w:style>
  <w:style w:type="character" w:styleId="BookTitle">
    <w:name w:val="Book Title"/>
    <w:basedOn w:val="DefaultParagraphFont"/>
    <w:uiPriority w:val="33"/>
    <w:rsid w:val="00DC2302"/>
    <w:rPr>
      <w:rFonts w:asciiTheme="majorHAnsi" w:eastAsiaTheme="majorEastAsia" w:hAnsiTheme="majorHAnsi"/>
      <w:b/>
      <w:i/>
      <w:sz w:val="24"/>
      <w:szCs w:val="24"/>
    </w:rPr>
  </w:style>
  <w:style w:type="paragraph" w:styleId="EnvelopeAddress">
    <w:name w:val="envelope address"/>
    <w:basedOn w:val="Normal"/>
    <w:rsid w:val="00DC2302"/>
    <w:pPr>
      <w:framePr w:w="7920" w:h="1980" w:hRule="exact" w:hSpace="180" w:wrap="auto" w:hAnchor="page" w:xAlign="center" w:yAlign="bottom"/>
      <w:ind w:left="2880"/>
    </w:pPr>
  </w:style>
  <w:style w:type="paragraph" w:styleId="EnvelopeReturn">
    <w:name w:val="envelope return"/>
    <w:basedOn w:val="Normal"/>
    <w:rsid w:val="00DC2302"/>
  </w:style>
  <w:style w:type="paragraph" w:styleId="Footer">
    <w:name w:val="footer"/>
    <w:basedOn w:val="Normal"/>
    <w:link w:val="FooterChar"/>
    <w:rsid w:val="00DC2302"/>
    <w:pPr>
      <w:tabs>
        <w:tab w:val="center" w:pos="4320"/>
        <w:tab w:val="right" w:pos="8640"/>
      </w:tabs>
      <w:spacing w:line="520" w:lineRule="exact"/>
    </w:pPr>
  </w:style>
  <w:style w:type="character" w:customStyle="1" w:styleId="FooterChar">
    <w:name w:val="Footer Char"/>
    <w:basedOn w:val="DefaultParagraphFont"/>
    <w:link w:val="Footer"/>
    <w:rsid w:val="00DC2302"/>
    <w:rPr>
      <w:rFonts w:ascii="Times New Roman" w:eastAsia="Times New Roman" w:hAnsi="Times New Roman"/>
      <w:szCs w:val="20"/>
      <w:lang w:bidi="ar-SA"/>
    </w:rPr>
  </w:style>
  <w:style w:type="character" w:styleId="FootnoteReference">
    <w:name w:val="footnote reference"/>
    <w:basedOn w:val="DefaultParagraphFont"/>
    <w:rsid w:val="00FF4B75"/>
    <w:rPr>
      <w:rFonts w:ascii="Times New Roman" w:hAnsi="Times New Roman"/>
      <w:b w:val="0"/>
      <w:color w:val="auto"/>
      <w:position w:val="6"/>
      <w:sz w:val="26"/>
      <w:vertAlign w:val="superscript"/>
    </w:rPr>
  </w:style>
  <w:style w:type="paragraph" w:styleId="FootnoteText">
    <w:name w:val="footnote text"/>
    <w:basedOn w:val="Normal"/>
    <w:link w:val="FootnoteTextChar"/>
    <w:rsid w:val="00DC2302"/>
    <w:pPr>
      <w:keepLines/>
      <w:widowControl w:val="0"/>
    </w:pPr>
  </w:style>
  <w:style w:type="character" w:customStyle="1" w:styleId="FootnoteTextChar">
    <w:name w:val="Footnote Text Char"/>
    <w:basedOn w:val="DefaultParagraphFont"/>
    <w:link w:val="FootnoteText"/>
    <w:rsid w:val="00DC2302"/>
    <w:rPr>
      <w:rFonts w:ascii="Times New Roman" w:eastAsia="Times New Roman" w:hAnsi="Times New Roman"/>
      <w:szCs w:val="20"/>
      <w:lang w:bidi="ar-SA"/>
    </w:rPr>
  </w:style>
  <w:style w:type="paragraph" w:styleId="Header">
    <w:name w:val="header"/>
    <w:basedOn w:val="Normal"/>
    <w:link w:val="HeaderChar"/>
    <w:rsid w:val="00DC2302"/>
    <w:pPr>
      <w:tabs>
        <w:tab w:val="center" w:pos="4320"/>
        <w:tab w:val="right" w:pos="8640"/>
      </w:tabs>
    </w:pPr>
  </w:style>
  <w:style w:type="character" w:customStyle="1" w:styleId="HeaderChar">
    <w:name w:val="Header Char"/>
    <w:basedOn w:val="DefaultParagraphFont"/>
    <w:link w:val="Header"/>
    <w:rsid w:val="00DC2302"/>
    <w:rPr>
      <w:rFonts w:ascii="Times New Roman" w:eastAsia="Times New Roman" w:hAnsi="Times New Roman"/>
      <w:szCs w:val="20"/>
      <w:lang w:bidi="ar-SA"/>
    </w:rPr>
  </w:style>
  <w:style w:type="paragraph" w:customStyle="1" w:styleId="IndentedQuote">
    <w:name w:val="IndentedQuote"/>
    <w:basedOn w:val="Normal"/>
    <w:rsid w:val="00DC2302"/>
    <w:pPr>
      <w:spacing w:line="260" w:lineRule="exact"/>
      <w:ind w:left="1080" w:right="1080"/>
    </w:pPr>
  </w:style>
  <w:style w:type="paragraph" w:styleId="MacroText">
    <w:name w:val="macro"/>
    <w:link w:val="MacroTextChar"/>
    <w:semiHidden/>
    <w:rsid w:val="00DC230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semiHidden/>
    <w:rsid w:val="00DC2302"/>
    <w:rPr>
      <w:rFonts w:ascii="Times New Roman" w:eastAsia="Times New Roman" w:hAnsi="Times New Roman"/>
      <w:sz w:val="22"/>
      <w:szCs w:val="20"/>
      <w:lang w:bidi="ar-SA"/>
    </w:rPr>
  </w:style>
  <w:style w:type="character" w:styleId="PageNumber">
    <w:name w:val="page number"/>
    <w:basedOn w:val="DefaultParagraphFont"/>
    <w:rsid w:val="00DC2302"/>
  </w:style>
  <w:style w:type="paragraph" w:styleId="Revision">
    <w:name w:val="Revision"/>
    <w:hidden/>
    <w:uiPriority w:val="99"/>
    <w:semiHidden/>
    <w:rsid w:val="00FE22B0"/>
    <w:rPr>
      <w:rFonts w:ascii="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30C0381CA22408DFB9A80CD7113A4" ma:contentTypeVersion="6" ma:contentTypeDescription="Create a new document." ma:contentTypeScope="" ma:versionID="7f5d18cbc765d69816df5e1a6f34bbbb">
  <xsd:schema xmlns:xsd="http://www.w3.org/2001/XMLSchema" xmlns:xs="http://www.w3.org/2001/XMLSchema" xmlns:p="http://schemas.microsoft.com/office/2006/metadata/properties" xmlns:ns3="4727e700-1387-4503-a482-a2059e9ed99a" targetNamespace="http://schemas.microsoft.com/office/2006/metadata/properties" ma:root="true" ma:fieldsID="3f4413772e5801c9977ce8ec8873f6a9" ns3:_="">
    <xsd:import namespace="4727e700-1387-4503-a482-a2059e9ed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e700-1387-4503-a482-a2059e9e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069F9-C3FC-4A0A-9709-5A2D5B781741}">
  <ds:schemaRefs>
    <ds:schemaRef ds:uri="http://schemas.openxmlformats.org/officeDocument/2006/bibliography"/>
  </ds:schemaRefs>
</ds:datastoreItem>
</file>

<file path=customXml/itemProps2.xml><?xml version="1.0" encoding="utf-8"?>
<ds:datastoreItem xmlns:ds="http://schemas.openxmlformats.org/officeDocument/2006/customXml" ds:itemID="{7ADD098A-39B5-4906-83B1-DB1584FA9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D22D0-AF04-4D7D-89DE-283997D6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e700-1387-4503-a482-a2059e9e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5D65F-436B-4519-B6C6-F7BB25A38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15185</Words>
  <Characters>80515</Characters>
  <Application>Microsoft Office Word</Application>
  <DocSecurity>0</DocSecurity>
  <Lines>1247</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2022-06-24T16:06:00Z</dcterms:created>
  <dcterms:modified xsi:type="dcterms:W3CDTF">2022-06-24T16:06:00Z</dcterms:modified>
  <cp:category/>
</cp:coreProperties>
</file>