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DEB1" w14:textId="2E552C7E" w:rsidR="00D43FA7" w:rsidRPr="006011DC" w:rsidRDefault="00053863" w:rsidP="00302069">
      <w:pPr>
        <w:jc w:val="center"/>
        <w:rPr>
          <w:sz w:val="20"/>
        </w:rPr>
      </w:pPr>
      <w:r w:rsidRPr="006011DC">
        <w:rPr>
          <w:sz w:val="20"/>
        </w:rPr>
        <w:t>Filed 10/6/21</w:t>
      </w:r>
      <w:bookmarkStart w:id="0" w:name="_Hlk92454540"/>
      <w:r w:rsidR="00302069" w:rsidRPr="00EB3F12">
        <w:rPr>
          <w:sz w:val="20"/>
        </w:rPr>
        <w:t>; REVIEW GRANTED.  See Cal. Rules of Court, rules 8.1105 and 8.1115 (and corresponding Comment, par. 2, concerning rule 8.1115(e)(3)).</w:t>
      </w:r>
      <w:bookmarkEnd w:id="0"/>
    </w:p>
    <w:p w14:paraId="46534FC3" w14:textId="0527D797" w:rsidR="00387183" w:rsidRDefault="00387183" w:rsidP="00D43FA7"/>
    <w:p w14:paraId="648676F9" w14:textId="158F145D" w:rsidR="00387183" w:rsidRDefault="00387183" w:rsidP="00D43FA7"/>
    <w:p w14:paraId="2D0CE876" w14:textId="77777777" w:rsidR="00387183" w:rsidRDefault="00387183" w:rsidP="00D43FA7"/>
    <w:p w14:paraId="481E2250" w14:textId="77777777" w:rsidR="00D43FA7" w:rsidRDefault="00D43FA7" w:rsidP="00D43FA7"/>
    <w:p w14:paraId="47173420" w14:textId="77777777" w:rsidR="00D43FA7" w:rsidRDefault="00D43FA7" w:rsidP="00D43FA7"/>
    <w:p w14:paraId="60377A07" w14:textId="77777777" w:rsidR="00D43FA7" w:rsidRDefault="00D43FA7" w:rsidP="00D43FA7"/>
    <w:p w14:paraId="080C20D6" w14:textId="77777777" w:rsidR="00D43FA7" w:rsidRDefault="00D43FA7" w:rsidP="00D43FA7"/>
    <w:p w14:paraId="54545927" w14:textId="3A516C0D" w:rsidR="00D43FA7" w:rsidRDefault="00053863" w:rsidP="00D43FA7">
      <w:pPr>
        <w:jc w:val="center"/>
      </w:pPr>
      <w:r>
        <w:rPr>
          <w:b/>
        </w:rPr>
        <w:t>CERTIFIED FOR PUBLICATION</w:t>
      </w:r>
    </w:p>
    <w:p w14:paraId="42ED1BD6" w14:textId="77777777" w:rsidR="00D43FA7" w:rsidRDefault="00D43FA7" w:rsidP="00D43FA7">
      <w:pPr>
        <w:jc w:val="center"/>
      </w:pPr>
    </w:p>
    <w:p w14:paraId="45CD0702" w14:textId="77777777" w:rsidR="00D43FA7" w:rsidRDefault="00053863" w:rsidP="00D43FA7">
      <w:pPr>
        <w:jc w:val="center"/>
      </w:pPr>
      <w:r>
        <w:t>IN THE COURT OF APPEAL OF THE STATE OF CALIFORNIA</w:t>
      </w:r>
    </w:p>
    <w:p w14:paraId="6592B5E9" w14:textId="77777777" w:rsidR="00D43FA7" w:rsidRDefault="00D43FA7" w:rsidP="00D43FA7">
      <w:pPr>
        <w:jc w:val="center"/>
      </w:pPr>
    </w:p>
    <w:p w14:paraId="485991D9" w14:textId="77777777" w:rsidR="00D43FA7" w:rsidRDefault="00053863" w:rsidP="00D43FA7">
      <w:pPr>
        <w:jc w:val="center"/>
      </w:pPr>
      <w:r>
        <w:t>FOURTH APPELLATE DISTRICT</w:t>
      </w:r>
    </w:p>
    <w:p w14:paraId="2F3D0262" w14:textId="77777777" w:rsidR="00D43FA7" w:rsidRDefault="00D43FA7" w:rsidP="00D43FA7">
      <w:pPr>
        <w:jc w:val="center"/>
      </w:pPr>
    </w:p>
    <w:p w14:paraId="52912731" w14:textId="431ECA7B" w:rsidR="00D43FA7" w:rsidRDefault="00053863" w:rsidP="00D43FA7">
      <w:pPr>
        <w:jc w:val="center"/>
      </w:pPr>
      <w:r>
        <w:t>DIVISION THREE</w:t>
      </w:r>
    </w:p>
    <w:p w14:paraId="0F4A9CBD" w14:textId="77777777" w:rsidR="00082439" w:rsidRDefault="00082439" w:rsidP="00D43FA7">
      <w:pPr>
        <w:jc w:val="center"/>
      </w:pPr>
    </w:p>
    <w:p w14:paraId="3FFEF6A7" w14:textId="3349495F" w:rsidR="00082439" w:rsidRDefault="00082439" w:rsidP="00D43FA7">
      <w:pPr>
        <w:jc w:val="center"/>
      </w:pPr>
    </w:p>
    <w:tbl>
      <w:tblPr>
        <w:tblW w:w="0" w:type="auto"/>
        <w:tblLayout w:type="fixed"/>
        <w:tblLook w:val="0000" w:firstRow="0" w:lastRow="0" w:firstColumn="0" w:lastColumn="0" w:noHBand="0" w:noVBand="0"/>
      </w:tblPr>
      <w:tblGrid>
        <w:gridCol w:w="4680"/>
        <w:gridCol w:w="4680"/>
      </w:tblGrid>
      <w:tr w:rsidR="006A6B28" w14:paraId="4DD0EFF1" w14:textId="77777777" w:rsidTr="00F97A01">
        <w:tc>
          <w:tcPr>
            <w:tcW w:w="4680" w:type="dxa"/>
            <w:tcBorders>
              <w:bottom w:val="single" w:sz="4" w:space="0" w:color="auto"/>
              <w:right w:val="single" w:sz="4" w:space="0" w:color="auto"/>
            </w:tcBorders>
            <w:shd w:val="clear" w:color="auto" w:fill="auto"/>
          </w:tcPr>
          <w:p w14:paraId="505C9517" w14:textId="08E16337" w:rsidR="00082439" w:rsidRDefault="00053863" w:rsidP="00F97A01">
            <w:r>
              <w:t>MICHAEL G. et al.,</w:t>
            </w:r>
          </w:p>
          <w:p w14:paraId="0AD0718B" w14:textId="77777777" w:rsidR="00082439" w:rsidRDefault="00082439" w:rsidP="00F97A01"/>
          <w:p w14:paraId="79A0A155" w14:textId="1EB357DE" w:rsidR="00082439" w:rsidRDefault="00053863" w:rsidP="00F97A01">
            <w:r>
              <w:t xml:space="preserve">      Petitioners,</w:t>
            </w:r>
          </w:p>
          <w:p w14:paraId="225A30CB" w14:textId="77777777" w:rsidR="00082439" w:rsidRDefault="00082439" w:rsidP="00F97A01"/>
          <w:p w14:paraId="790E9969" w14:textId="77777777" w:rsidR="00082439" w:rsidRDefault="00053863" w:rsidP="00F97A01">
            <w:r>
              <w:tab/>
              <w:t>v.</w:t>
            </w:r>
          </w:p>
          <w:p w14:paraId="40203DCA" w14:textId="77777777" w:rsidR="00082439" w:rsidRDefault="00082439" w:rsidP="00F97A01"/>
          <w:p w14:paraId="2FEF56E9" w14:textId="2812C99A" w:rsidR="00082439" w:rsidRDefault="00053863" w:rsidP="00F97A01">
            <w:r>
              <w:t>THE SUPERIOR COURT OF ORANGE COUNTY,</w:t>
            </w:r>
          </w:p>
          <w:p w14:paraId="0BE5EB09" w14:textId="77777777" w:rsidR="00082439" w:rsidRDefault="00082439" w:rsidP="00F97A01"/>
          <w:p w14:paraId="0E766933" w14:textId="60E24375" w:rsidR="00082439" w:rsidRDefault="00053863" w:rsidP="00F97A01">
            <w:r>
              <w:t xml:space="preserve">      R</w:t>
            </w:r>
            <w:r w:rsidR="009B5D0B">
              <w:t>espondent;</w:t>
            </w:r>
          </w:p>
          <w:p w14:paraId="1CA601BC" w14:textId="77777777" w:rsidR="009B5D0B" w:rsidRDefault="009B5D0B" w:rsidP="009B5D0B"/>
          <w:p w14:paraId="1617453E" w14:textId="7A1635BA" w:rsidR="009B5D0B" w:rsidRDefault="00053863" w:rsidP="009B5D0B">
            <w:r>
              <w:t>ORANGE COUNTY SOCIAL SERVICES AGENCY et al.,</w:t>
            </w:r>
          </w:p>
          <w:p w14:paraId="15C80D34" w14:textId="77777777" w:rsidR="009B5D0B" w:rsidRDefault="009B5D0B" w:rsidP="009B5D0B"/>
          <w:p w14:paraId="36AF47C7" w14:textId="10D3B11F" w:rsidR="009B5D0B" w:rsidRDefault="00053863" w:rsidP="009B5D0B">
            <w:r>
              <w:t xml:space="preserve">      Real Parties in Interest.</w:t>
            </w:r>
          </w:p>
          <w:p w14:paraId="6342D5F7" w14:textId="77777777" w:rsidR="009B5D0B" w:rsidRDefault="009B5D0B" w:rsidP="00F97A01"/>
          <w:p w14:paraId="6FAE9474" w14:textId="77777777" w:rsidR="00082439" w:rsidRDefault="00082439" w:rsidP="00F97A01"/>
        </w:tc>
        <w:tc>
          <w:tcPr>
            <w:tcW w:w="4680" w:type="dxa"/>
            <w:tcBorders>
              <w:left w:val="single" w:sz="4" w:space="0" w:color="auto"/>
            </w:tcBorders>
            <w:shd w:val="clear" w:color="auto" w:fill="auto"/>
          </w:tcPr>
          <w:p w14:paraId="1782188F" w14:textId="77777777" w:rsidR="00082439" w:rsidRDefault="00082439" w:rsidP="00F97A01"/>
          <w:p w14:paraId="15EE2226" w14:textId="77777777" w:rsidR="009B5D0B" w:rsidRDefault="009B5D0B" w:rsidP="009B5D0B"/>
          <w:p w14:paraId="6BA0C0A0" w14:textId="77777777" w:rsidR="009B5D0B" w:rsidRDefault="00053863" w:rsidP="009B5D0B">
            <w:r>
              <w:t xml:space="preserve">         G060407</w:t>
            </w:r>
          </w:p>
          <w:p w14:paraId="110ABC81" w14:textId="77777777" w:rsidR="009B5D0B" w:rsidRDefault="009B5D0B" w:rsidP="009B5D0B"/>
          <w:p w14:paraId="63EE566F" w14:textId="77777777" w:rsidR="009B5D0B" w:rsidRDefault="00053863" w:rsidP="009B5D0B">
            <w:r>
              <w:t xml:space="preserve">         (Super. Ct. No. 19DP1381)</w:t>
            </w:r>
          </w:p>
          <w:p w14:paraId="4976DBA8" w14:textId="77777777" w:rsidR="009B5D0B" w:rsidRDefault="009B5D0B" w:rsidP="009B5D0B"/>
          <w:p w14:paraId="08C377A0" w14:textId="57C9F56C" w:rsidR="00082439" w:rsidRDefault="00053863" w:rsidP="009B5D0B">
            <w:r>
              <w:t xml:space="preserve">         </w:t>
            </w:r>
            <w:r w:rsidR="00387183">
              <w:t>O P I N I O N</w:t>
            </w:r>
          </w:p>
        </w:tc>
      </w:tr>
    </w:tbl>
    <w:p w14:paraId="1D90A026" w14:textId="77777777" w:rsidR="00082439" w:rsidRDefault="00082439" w:rsidP="00D43FA7">
      <w:pPr>
        <w:jc w:val="center"/>
      </w:pPr>
    </w:p>
    <w:p w14:paraId="2599687B" w14:textId="77777777" w:rsidR="00D43FA7" w:rsidRDefault="00D43FA7" w:rsidP="00D43FA7">
      <w:pPr>
        <w:jc w:val="center"/>
      </w:pPr>
    </w:p>
    <w:p w14:paraId="48CB11D1" w14:textId="1FA8659D" w:rsidR="00D43FA7" w:rsidRDefault="00053863" w:rsidP="00D43FA7">
      <w:pPr>
        <w:tabs>
          <w:tab w:val="left" w:pos="1440"/>
          <w:tab w:val="left" w:pos="2880"/>
          <w:tab w:val="left" w:pos="4320"/>
          <w:tab w:val="left" w:pos="5760"/>
          <w:tab w:val="left" w:pos="7200"/>
          <w:tab w:val="left" w:pos="8640"/>
        </w:tabs>
        <w:spacing w:line="480" w:lineRule="atLeast"/>
      </w:pPr>
      <w:r>
        <w:tab/>
      </w:r>
      <w:r w:rsidR="002D0FE4">
        <w:t>Petition</w:t>
      </w:r>
      <w:r w:rsidR="00AD7D16">
        <w:t>s</w:t>
      </w:r>
      <w:r w:rsidR="002D0FE4">
        <w:t xml:space="preserve"> for extraordinary writ relief</w:t>
      </w:r>
      <w:r>
        <w:t xml:space="preserve"> </w:t>
      </w:r>
      <w:r w:rsidR="002D0FE4">
        <w:t>challenging an order</w:t>
      </w:r>
      <w:r>
        <w:t xml:space="preserve"> of the Superior Court of Orange County, Antony C. Ufland, Judge.  </w:t>
      </w:r>
      <w:r w:rsidR="002D0FE4">
        <w:t>Petition</w:t>
      </w:r>
      <w:r w:rsidR="00BE53DD">
        <w:t>s</w:t>
      </w:r>
      <w:r w:rsidR="002D0FE4">
        <w:t xml:space="preserve"> denied</w:t>
      </w:r>
      <w:r>
        <w:t>.</w:t>
      </w:r>
    </w:p>
    <w:p w14:paraId="3177632E" w14:textId="37E0EA5A" w:rsidR="00D43FA7" w:rsidRDefault="00053863" w:rsidP="00D43FA7">
      <w:pPr>
        <w:tabs>
          <w:tab w:val="left" w:pos="1440"/>
          <w:tab w:val="left" w:pos="2880"/>
          <w:tab w:val="left" w:pos="4320"/>
          <w:tab w:val="left" w:pos="5760"/>
          <w:tab w:val="left" w:pos="7200"/>
          <w:tab w:val="left" w:pos="8640"/>
        </w:tabs>
        <w:spacing w:line="480" w:lineRule="atLeast"/>
      </w:pPr>
      <w:r>
        <w:tab/>
        <w:t xml:space="preserve">Martin Schwarz, </w:t>
      </w:r>
      <w:r w:rsidR="002D0FE4">
        <w:t xml:space="preserve">Public Defender, </w:t>
      </w:r>
      <w:r>
        <w:t xml:space="preserve">Seth Bank, </w:t>
      </w:r>
      <w:r w:rsidR="002D0FE4">
        <w:t xml:space="preserve">Assistant Public Defender, </w:t>
      </w:r>
      <w:r>
        <w:t>and Brian Okamoto</w:t>
      </w:r>
      <w:r w:rsidR="002D0FE4">
        <w:t xml:space="preserve">, Deputy Public Defender, </w:t>
      </w:r>
      <w:r>
        <w:t>for Petitioner Michael G.</w:t>
      </w:r>
    </w:p>
    <w:p w14:paraId="2E29F910" w14:textId="798DA221" w:rsidR="00D43FA7" w:rsidRDefault="00053863" w:rsidP="00D43FA7">
      <w:pPr>
        <w:tabs>
          <w:tab w:val="left" w:pos="1440"/>
          <w:tab w:val="left" w:pos="2880"/>
          <w:tab w:val="left" w:pos="4320"/>
          <w:tab w:val="left" w:pos="5760"/>
          <w:tab w:val="left" w:pos="7200"/>
          <w:tab w:val="left" w:pos="8640"/>
        </w:tabs>
        <w:spacing w:line="480" w:lineRule="atLeast"/>
      </w:pPr>
      <w:r>
        <w:lastRenderedPageBreak/>
        <w:tab/>
        <w:t xml:space="preserve">Juvenile Defenders and Donna </w:t>
      </w:r>
      <w:r>
        <w:t xml:space="preserve">P. Chirco for </w:t>
      </w:r>
      <w:r w:rsidR="002D0FE4">
        <w:t>Petitioner Kristie G.</w:t>
      </w:r>
    </w:p>
    <w:p w14:paraId="4C24B6E6" w14:textId="50DB74F5" w:rsidR="00D43FA7" w:rsidRDefault="00053863" w:rsidP="00D43FA7">
      <w:pPr>
        <w:tabs>
          <w:tab w:val="left" w:pos="1440"/>
          <w:tab w:val="left" w:pos="2880"/>
          <w:tab w:val="left" w:pos="4320"/>
          <w:tab w:val="left" w:pos="5760"/>
          <w:tab w:val="left" w:pos="7200"/>
          <w:tab w:val="left" w:pos="8640"/>
        </w:tabs>
        <w:spacing w:line="480" w:lineRule="atLeast"/>
      </w:pPr>
      <w:r>
        <w:tab/>
        <w:t xml:space="preserve">Leon J. Page, County Counsel, and </w:t>
      </w:r>
      <w:r w:rsidR="002D0FE4">
        <w:t>Karen L. Christensen and Jeannie Su</w:t>
      </w:r>
      <w:r>
        <w:t xml:space="preserve">, Deputy County Counsel, for </w:t>
      </w:r>
      <w:r w:rsidR="002D0FE4">
        <w:t>Real Party in Interest Orange County Social Services Agency.</w:t>
      </w:r>
    </w:p>
    <w:p w14:paraId="0E22C0C3" w14:textId="79D91F6D" w:rsidR="002D0FE4" w:rsidRDefault="00053863" w:rsidP="00D43FA7">
      <w:pPr>
        <w:tabs>
          <w:tab w:val="left" w:pos="1440"/>
          <w:tab w:val="left" w:pos="2880"/>
          <w:tab w:val="left" w:pos="4320"/>
          <w:tab w:val="left" w:pos="5760"/>
          <w:tab w:val="left" w:pos="7200"/>
          <w:tab w:val="left" w:pos="8640"/>
        </w:tabs>
        <w:spacing w:line="480" w:lineRule="atLeast"/>
      </w:pPr>
      <w:r>
        <w:tab/>
        <w:t xml:space="preserve">Law Office of Harold LaFlamme and Hannah Gardner for </w:t>
      </w:r>
      <w:r>
        <w:t>Real Party in Interest A.G.</w:t>
      </w:r>
    </w:p>
    <w:p w14:paraId="726F36A8" w14:textId="36515208" w:rsidR="00D43FA7" w:rsidRDefault="00053863" w:rsidP="002D0FE4">
      <w:pPr>
        <w:tabs>
          <w:tab w:val="left" w:pos="1440"/>
          <w:tab w:val="left" w:pos="2880"/>
          <w:tab w:val="left" w:pos="4320"/>
          <w:tab w:val="left" w:pos="5760"/>
          <w:tab w:val="left" w:pos="7200"/>
          <w:tab w:val="left" w:pos="8640"/>
        </w:tabs>
        <w:spacing w:line="480" w:lineRule="atLeast"/>
        <w:jc w:val="center"/>
      </w:pPr>
      <w:r>
        <w:t>*               *               *</w:t>
      </w:r>
    </w:p>
    <w:p w14:paraId="2F90B821" w14:textId="6FD49D38" w:rsidR="00D43FA7" w:rsidRPr="00197239" w:rsidRDefault="00053863" w:rsidP="00D43FA7">
      <w:pPr>
        <w:tabs>
          <w:tab w:val="left" w:pos="1440"/>
          <w:tab w:val="left" w:pos="2880"/>
          <w:tab w:val="left" w:pos="4320"/>
          <w:tab w:val="left" w:pos="5760"/>
          <w:tab w:val="left" w:pos="7200"/>
          <w:tab w:val="left" w:pos="8640"/>
        </w:tabs>
        <w:spacing w:line="480" w:lineRule="atLeast"/>
        <w:rPr>
          <w:b/>
        </w:rPr>
      </w:pPr>
      <w:r>
        <w:tab/>
      </w:r>
      <w:r w:rsidR="00C7210F">
        <w:t xml:space="preserve">In separate petitions for extraordinary writ relief, </w:t>
      </w:r>
      <w:r w:rsidR="002D0FE4">
        <w:t xml:space="preserve">Michael G. (Father) and Kristie G. (Mother) </w:t>
      </w:r>
      <w:r w:rsidR="00C7210F">
        <w:t>ask</w:t>
      </w:r>
      <w:r w:rsidR="008243F1">
        <w:t xml:space="preserve"> us to set aside</w:t>
      </w:r>
      <w:r w:rsidR="002D0FE4">
        <w:t xml:space="preserve"> the juvenile court’s order</w:t>
      </w:r>
      <w:r w:rsidR="002947C2">
        <w:t xml:space="preserve"> </w:t>
      </w:r>
      <w:r w:rsidR="00254444">
        <w:t xml:space="preserve">at the 18-month review hearing </w:t>
      </w:r>
      <w:r w:rsidR="002947C2">
        <w:t>terminating reunification services</w:t>
      </w:r>
      <w:r w:rsidR="009E0D79">
        <w:t xml:space="preserve"> </w:t>
      </w:r>
      <w:r w:rsidR="002947C2">
        <w:t>and</w:t>
      </w:r>
      <w:r w:rsidR="002D0FE4">
        <w:t xml:space="preserve"> setting a </w:t>
      </w:r>
      <w:r w:rsidR="002947C2">
        <w:t>permanency</w:t>
      </w:r>
      <w:r w:rsidR="00F85A82">
        <w:t xml:space="preserve"> planning</w:t>
      </w:r>
      <w:r w:rsidR="002D0FE4">
        <w:t xml:space="preserve"> hearing </w:t>
      </w:r>
      <w:r w:rsidR="002947C2">
        <w:t xml:space="preserve">under Welfare and Institutions </w:t>
      </w:r>
      <w:r w:rsidR="002D0FE4">
        <w:t>Code</w:t>
      </w:r>
      <w:r>
        <w:rPr>
          <w:rStyle w:val="FootnoteReference"/>
        </w:rPr>
        <w:footnoteReference w:id="1"/>
      </w:r>
      <w:r w:rsidR="002947C2">
        <w:t xml:space="preserve"> section</w:t>
      </w:r>
      <w:r w:rsidR="002D0FE4">
        <w:t xml:space="preserve"> 366.26</w:t>
      </w:r>
      <w:r w:rsidR="00865DF3" w:rsidRPr="00865DF3">
        <w:t xml:space="preserve"> </w:t>
      </w:r>
      <w:r w:rsidR="00865DF3">
        <w:t xml:space="preserve">as to their </w:t>
      </w:r>
      <w:r w:rsidR="00EC3913">
        <w:t>16</w:t>
      </w:r>
      <w:r w:rsidR="00387183">
        <w:noBreakHyphen/>
      </w:r>
      <w:r w:rsidR="00EC3913">
        <w:t>year</w:t>
      </w:r>
      <w:r w:rsidR="00387183">
        <w:noBreakHyphen/>
      </w:r>
      <w:r w:rsidR="00EC3913">
        <w:t>old</w:t>
      </w:r>
      <w:r w:rsidR="00865DF3">
        <w:t xml:space="preserve"> daughter, A.G</w:t>
      </w:r>
      <w:r w:rsidR="002947C2">
        <w:t>.</w:t>
      </w:r>
      <w:r w:rsidR="002D0FE4">
        <w:t xml:space="preserve">  </w:t>
      </w:r>
      <w:r w:rsidR="00EA7563">
        <w:t>According to the parents,</w:t>
      </w:r>
      <w:r w:rsidR="002D0FE4">
        <w:t xml:space="preserve"> the court </w:t>
      </w:r>
      <w:r w:rsidR="00A05A63">
        <w:t xml:space="preserve">should have continued services in light of its finding that </w:t>
      </w:r>
      <w:r w:rsidR="002D0FE4">
        <w:t xml:space="preserve">the Orange County Social Services Agency (SSA) </w:t>
      </w:r>
      <w:r w:rsidR="00C00FE5">
        <w:t xml:space="preserve">had </w:t>
      </w:r>
      <w:r w:rsidR="002D0FE4">
        <w:t xml:space="preserve">provided inadequate services during the most recent review period.  </w:t>
      </w:r>
      <w:r w:rsidR="006F1EB8">
        <w:rPr>
          <w:bCs/>
        </w:rPr>
        <w:t xml:space="preserve">Father further contends there </w:t>
      </w:r>
      <w:r w:rsidR="00A05A63">
        <w:rPr>
          <w:bCs/>
        </w:rPr>
        <w:t>i</w:t>
      </w:r>
      <w:r w:rsidR="006F1EB8">
        <w:rPr>
          <w:bCs/>
        </w:rPr>
        <w:t>s a substantial probability that A.G. could be returned to him with additional services, and the court should have granted a continuance under section</w:t>
      </w:r>
      <w:r w:rsidR="00387183">
        <w:rPr>
          <w:bCs/>
        </w:rPr>
        <w:t> </w:t>
      </w:r>
      <w:r w:rsidR="006F1EB8">
        <w:rPr>
          <w:bCs/>
        </w:rPr>
        <w:t>352.</w:t>
      </w:r>
      <w:r w:rsidR="009E0D79">
        <w:rPr>
          <w:bCs/>
        </w:rPr>
        <w:t xml:space="preserve">  Father also argues the court’s ruling denied him fundamental fairness and due process.</w:t>
      </w:r>
      <w:r w:rsidR="006F1EB8">
        <w:rPr>
          <w:bCs/>
        </w:rPr>
        <w:t xml:space="preserve">  </w:t>
      </w:r>
      <w:r w:rsidR="002D0FE4">
        <w:t xml:space="preserve">For the reasons </w:t>
      </w:r>
      <w:r w:rsidR="00387183">
        <w:t xml:space="preserve">set forth </w:t>
      </w:r>
      <w:r w:rsidR="002D0FE4">
        <w:t xml:space="preserve">below, we </w:t>
      </w:r>
      <w:r w:rsidR="00C00FE5">
        <w:t xml:space="preserve">disagree and </w:t>
      </w:r>
      <w:r w:rsidR="002D0FE4">
        <w:t>deny the writ petitions.</w:t>
      </w:r>
    </w:p>
    <w:p w14:paraId="5DF48F72" w14:textId="77777777" w:rsidR="00D43FA7" w:rsidRDefault="00053863" w:rsidP="00D43FA7">
      <w:pPr>
        <w:keepNext/>
        <w:tabs>
          <w:tab w:val="left" w:pos="1440"/>
          <w:tab w:val="left" w:pos="2880"/>
          <w:tab w:val="left" w:pos="4320"/>
          <w:tab w:val="left" w:pos="5760"/>
          <w:tab w:val="left" w:pos="7200"/>
          <w:tab w:val="left" w:pos="8640"/>
        </w:tabs>
        <w:spacing w:before="240" w:line="480" w:lineRule="atLeast"/>
        <w:jc w:val="center"/>
      </w:pPr>
      <w:r>
        <w:rPr>
          <w:b/>
        </w:rPr>
        <w:t>FACTS</w:t>
      </w:r>
    </w:p>
    <w:p w14:paraId="21537A7E" w14:textId="4AA05678" w:rsidR="0007716E" w:rsidRDefault="00053863" w:rsidP="00D65FB6">
      <w:pPr>
        <w:spacing w:line="480" w:lineRule="atLeast"/>
        <w:ind w:firstLine="1440"/>
        <w:rPr>
          <w:szCs w:val="26"/>
        </w:rPr>
      </w:pPr>
      <w:r>
        <w:rPr>
          <w:szCs w:val="26"/>
        </w:rPr>
        <w:t xml:space="preserve">As </w:t>
      </w:r>
      <w:r w:rsidR="00C00FE5">
        <w:rPr>
          <w:szCs w:val="26"/>
        </w:rPr>
        <w:t>detailed</w:t>
      </w:r>
      <w:r>
        <w:rPr>
          <w:szCs w:val="26"/>
        </w:rPr>
        <w:t xml:space="preserve"> in our previous opinion in this case</w:t>
      </w:r>
      <w:r w:rsidR="00C00FE5">
        <w:rPr>
          <w:szCs w:val="26"/>
        </w:rPr>
        <w:t xml:space="preserve"> (</w:t>
      </w:r>
      <w:r w:rsidR="00387183" w:rsidRPr="00387183">
        <w:rPr>
          <w:i/>
          <w:iCs/>
          <w:szCs w:val="26"/>
        </w:rPr>
        <w:t>Orange County Social Services Agency v. Michael G.</w:t>
      </w:r>
      <w:r w:rsidR="00387183">
        <w:rPr>
          <w:szCs w:val="26"/>
        </w:rPr>
        <w:t xml:space="preserve"> (Oct. 26, 2020, </w:t>
      </w:r>
      <w:r w:rsidR="00C00FE5">
        <w:rPr>
          <w:szCs w:val="26"/>
        </w:rPr>
        <w:t>G059045)</w:t>
      </w:r>
      <w:r w:rsidR="00387183">
        <w:rPr>
          <w:szCs w:val="26"/>
        </w:rPr>
        <w:t xml:space="preserve"> [nonpub. opn.])</w:t>
      </w:r>
      <w:r>
        <w:rPr>
          <w:szCs w:val="26"/>
        </w:rPr>
        <w:t xml:space="preserve">, A.G. left home </w:t>
      </w:r>
      <w:r w:rsidR="009F77FB">
        <w:rPr>
          <w:szCs w:val="26"/>
        </w:rPr>
        <w:t xml:space="preserve">in </w:t>
      </w:r>
      <w:r w:rsidR="00387183">
        <w:rPr>
          <w:szCs w:val="26"/>
        </w:rPr>
        <w:t xml:space="preserve">the </w:t>
      </w:r>
      <w:r w:rsidR="009F77FB">
        <w:rPr>
          <w:szCs w:val="26"/>
        </w:rPr>
        <w:t xml:space="preserve">fall </w:t>
      </w:r>
      <w:r w:rsidR="00387183">
        <w:rPr>
          <w:szCs w:val="26"/>
        </w:rPr>
        <w:t xml:space="preserve">of </w:t>
      </w:r>
      <w:r w:rsidR="009F77FB">
        <w:rPr>
          <w:szCs w:val="26"/>
        </w:rPr>
        <w:t xml:space="preserve">2019 </w:t>
      </w:r>
      <w:r w:rsidR="002D0FE4" w:rsidRPr="00A30374">
        <w:rPr>
          <w:szCs w:val="26"/>
        </w:rPr>
        <w:t xml:space="preserve">due to </w:t>
      </w:r>
      <w:r>
        <w:rPr>
          <w:szCs w:val="26"/>
        </w:rPr>
        <w:t>F</w:t>
      </w:r>
      <w:r w:rsidR="002D0FE4" w:rsidRPr="00A30374">
        <w:rPr>
          <w:szCs w:val="26"/>
        </w:rPr>
        <w:t>ather</w:t>
      </w:r>
      <w:r w:rsidR="002D0FE4">
        <w:rPr>
          <w:szCs w:val="26"/>
        </w:rPr>
        <w:t>’</w:t>
      </w:r>
      <w:r w:rsidR="002D0FE4" w:rsidRPr="00A30374">
        <w:rPr>
          <w:szCs w:val="26"/>
        </w:rPr>
        <w:t xml:space="preserve">s escalating mental health issues.  </w:t>
      </w:r>
      <w:r w:rsidR="00D52E90">
        <w:rPr>
          <w:szCs w:val="26"/>
        </w:rPr>
        <w:t>According to A.G., Father</w:t>
      </w:r>
      <w:r w:rsidR="00D52E90" w:rsidRPr="00A30374">
        <w:rPr>
          <w:szCs w:val="26"/>
        </w:rPr>
        <w:t xml:space="preserve"> heard voices</w:t>
      </w:r>
      <w:r w:rsidR="00D52E90">
        <w:rPr>
          <w:szCs w:val="26"/>
        </w:rPr>
        <w:t xml:space="preserve"> and</w:t>
      </w:r>
      <w:r w:rsidR="00D52E90" w:rsidRPr="00A30374">
        <w:rPr>
          <w:szCs w:val="26"/>
        </w:rPr>
        <w:t xml:space="preserve"> had delusions of persecution by demons, witches, and the government</w:t>
      </w:r>
      <w:r w:rsidR="00D52E90">
        <w:rPr>
          <w:szCs w:val="26"/>
        </w:rPr>
        <w:t>; he also</w:t>
      </w:r>
      <w:r w:rsidR="00D52E90" w:rsidRPr="00A30374">
        <w:rPr>
          <w:szCs w:val="26"/>
        </w:rPr>
        <w:t xml:space="preserve"> yelled, thr</w:t>
      </w:r>
      <w:r w:rsidR="00D52E90">
        <w:rPr>
          <w:szCs w:val="26"/>
        </w:rPr>
        <w:t>ew</w:t>
      </w:r>
      <w:r w:rsidR="00D52E90" w:rsidRPr="00A30374">
        <w:rPr>
          <w:szCs w:val="26"/>
        </w:rPr>
        <w:t xml:space="preserve"> things, and punched the walls in their home. </w:t>
      </w:r>
      <w:r w:rsidR="00D52E90">
        <w:rPr>
          <w:szCs w:val="26"/>
        </w:rPr>
        <w:t xml:space="preserve"> At the </w:t>
      </w:r>
      <w:r w:rsidR="00D52E90">
        <w:rPr>
          <w:szCs w:val="26"/>
        </w:rPr>
        <w:lastRenderedPageBreak/>
        <w:t xml:space="preserve">time, </w:t>
      </w:r>
      <w:r>
        <w:t>A.G. was not in contact with Mother, who lives in North Carolina, and who</w:t>
      </w:r>
      <w:r w:rsidR="004101EF">
        <w:t>se background includes</w:t>
      </w:r>
      <w:r>
        <w:t xml:space="preserve"> mental</w:t>
      </w:r>
      <w:r>
        <w:t xml:space="preserve"> health issues, psychiatric hospitalization, alcohol abuse, </w:t>
      </w:r>
      <w:r w:rsidR="004101EF">
        <w:t xml:space="preserve">attempted suicide, </w:t>
      </w:r>
      <w:r>
        <w:t xml:space="preserve">and a criminal history. </w:t>
      </w:r>
    </w:p>
    <w:p w14:paraId="75A091E1" w14:textId="5A814B3A" w:rsidR="002D0FE4" w:rsidRDefault="00053863" w:rsidP="00D65FB6">
      <w:pPr>
        <w:spacing w:line="480" w:lineRule="atLeast"/>
        <w:ind w:firstLine="1440"/>
        <w:rPr>
          <w:b/>
          <w:bCs/>
          <w:szCs w:val="26"/>
        </w:rPr>
      </w:pPr>
      <w:r w:rsidRPr="00A30374">
        <w:rPr>
          <w:szCs w:val="26"/>
        </w:rPr>
        <w:t xml:space="preserve">The juvenile court found </w:t>
      </w:r>
      <w:r w:rsidR="002947C2">
        <w:rPr>
          <w:szCs w:val="26"/>
        </w:rPr>
        <w:t>A.G.’s</w:t>
      </w:r>
      <w:r>
        <w:rPr>
          <w:szCs w:val="26"/>
        </w:rPr>
        <w:t xml:space="preserve"> reports were credible and concluded</w:t>
      </w:r>
      <w:r w:rsidR="002947C2">
        <w:rPr>
          <w:szCs w:val="26"/>
        </w:rPr>
        <w:t xml:space="preserve"> F</w:t>
      </w:r>
      <w:r>
        <w:rPr>
          <w:szCs w:val="26"/>
        </w:rPr>
        <w:t xml:space="preserve">ather’s mental health issues, coupled with </w:t>
      </w:r>
      <w:r w:rsidR="004101EF">
        <w:rPr>
          <w:szCs w:val="26"/>
        </w:rPr>
        <w:t>M</w:t>
      </w:r>
      <w:r>
        <w:rPr>
          <w:szCs w:val="26"/>
        </w:rPr>
        <w:t xml:space="preserve">other’s mental health issues, </w:t>
      </w:r>
      <w:r w:rsidR="001A4ADC">
        <w:rPr>
          <w:szCs w:val="26"/>
        </w:rPr>
        <w:t xml:space="preserve">criminal history, and </w:t>
      </w:r>
      <w:r>
        <w:rPr>
          <w:szCs w:val="26"/>
        </w:rPr>
        <w:t xml:space="preserve">failure to maintain a relationship with the child, put the child at risk of suffering serious physical harm. </w:t>
      </w:r>
      <w:r w:rsidRPr="00A30374">
        <w:rPr>
          <w:szCs w:val="26"/>
        </w:rPr>
        <w:t xml:space="preserve"> Based on these findings, the court assumed jurisdiction over </w:t>
      </w:r>
      <w:r>
        <w:rPr>
          <w:szCs w:val="26"/>
        </w:rPr>
        <w:t>the child</w:t>
      </w:r>
      <w:r w:rsidR="00D11570">
        <w:rPr>
          <w:szCs w:val="26"/>
        </w:rPr>
        <w:t xml:space="preserve"> in January 2020</w:t>
      </w:r>
      <w:r w:rsidR="00AE16E5">
        <w:rPr>
          <w:szCs w:val="26"/>
        </w:rPr>
        <w:t>,</w:t>
      </w:r>
      <w:r w:rsidRPr="00A30374">
        <w:rPr>
          <w:szCs w:val="26"/>
        </w:rPr>
        <w:t xml:space="preserve"> removed her fro</w:t>
      </w:r>
      <w:r w:rsidR="0040657F">
        <w:rPr>
          <w:szCs w:val="26"/>
        </w:rPr>
        <w:t>m her parents’</w:t>
      </w:r>
      <w:r w:rsidRPr="00201862">
        <w:rPr>
          <w:color w:val="FF0000"/>
          <w:szCs w:val="26"/>
        </w:rPr>
        <w:t xml:space="preserve"> </w:t>
      </w:r>
      <w:r w:rsidRPr="00A30374">
        <w:rPr>
          <w:szCs w:val="26"/>
        </w:rPr>
        <w:t>custody</w:t>
      </w:r>
      <w:r w:rsidR="0040657F">
        <w:rPr>
          <w:szCs w:val="26"/>
        </w:rPr>
        <w:t xml:space="preserve">, </w:t>
      </w:r>
      <w:r w:rsidR="00DA2EAE">
        <w:rPr>
          <w:szCs w:val="26"/>
        </w:rPr>
        <w:t>ordered both parents to undergo g</w:t>
      </w:r>
      <w:r w:rsidR="0040657F">
        <w:rPr>
          <w:szCs w:val="26"/>
        </w:rPr>
        <w:t>eneral counseling</w:t>
      </w:r>
      <w:r w:rsidR="007E7768">
        <w:rPr>
          <w:szCs w:val="26"/>
        </w:rPr>
        <w:t xml:space="preserve"> and other reunification services</w:t>
      </w:r>
      <w:r w:rsidR="00DA2EAE">
        <w:rPr>
          <w:szCs w:val="26"/>
        </w:rPr>
        <w:t xml:space="preserve">, </w:t>
      </w:r>
      <w:r w:rsidR="00D520CF">
        <w:rPr>
          <w:szCs w:val="26"/>
        </w:rPr>
        <w:t>and ordered a</w:t>
      </w:r>
      <w:r w:rsidR="00F35398">
        <w:rPr>
          <w:szCs w:val="26"/>
        </w:rPr>
        <w:t>n Evidence Code</w:t>
      </w:r>
      <w:r w:rsidR="00D520CF">
        <w:rPr>
          <w:szCs w:val="26"/>
        </w:rPr>
        <w:t xml:space="preserve"> section 730 evaluation of Father</w:t>
      </w:r>
      <w:r w:rsidRPr="00A30374">
        <w:rPr>
          <w:szCs w:val="26"/>
        </w:rPr>
        <w:t xml:space="preserve">. </w:t>
      </w:r>
    </w:p>
    <w:p w14:paraId="6C5454B8" w14:textId="34D95355" w:rsidR="00FC38F8" w:rsidRPr="005206DD" w:rsidRDefault="00053863" w:rsidP="00D65FB6">
      <w:pPr>
        <w:spacing w:line="480" w:lineRule="atLeast"/>
        <w:ind w:firstLine="1440"/>
        <w:rPr>
          <w:b/>
          <w:bCs/>
          <w:szCs w:val="26"/>
        </w:rPr>
      </w:pPr>
      <w:r w:rsidRPr="005206DD">
        <w:t>During the six</w:t>
      </w:r>
      <w:r w:rsidR="00387183">
        <w:noBreakHyphen/>
      </w:r>
      <w:r w:rsidRPr="005206DD">
        <w:t xml:space="preserve">month review period, Father </w:t>
      </w:r>
      <w:r w:rsidR="006C0257">
        <w:t>refused to sign</w:t>
      </w:r>
      <w:r w:rsidRPr="005206DD">
        <w:t xml:space="preserve"> his case plan</w:t>
      </w:r>
      <w:r w:rsidR="009E0D79">
        <w:t xml:space="preserve"> and</w:t>
      </w:r>
      <w:r w:rsidR="00E0584D" w:rsidRPr="005206DD">
        <w:t xml:space="preserve"> the</w:t>
      </w:r>
      <w:r w:rsidRPr="005206DD">
        <w:t xml:space="preserve"> </w:t>
      </w:r>
      <w:r w:rsidR="000F5DEB">
        <w:t xml:space="preserve">therapy </w:t>
      </w:r>
      <w:r w:rsidRPr="005206DD">
        <w:t>referral</w:t>
      </w:r>
      <w:r w:rsidR="00E0584D" w:rsidRPr="005206DD">
        <w:t xml:space="preserve">, </w:t>
      </w:r>
      <w:r w:rsidR="006C0257">
        <w:t>or</w:t>
      </w:r>
      <w:r w:rsidR="00E0584D" w:rsidRPr="005206DD">
        <w:t xml:space="preserve"> </w:t>
      </w:r>
      <w:r w:rsidR="00387183">
        <w:t xml:space="preserve">to </w:t>
      </w:r>
      <w:r w:rsidR="00E0584D" w:rsidRPr="005206DD">
        <w:t xml:space="preserve">participate in the section 730 evaluation. </w:t>
      </w:r>
      <w:r w:rsidR="00387183">
        <w:t xml:space="preserve"> </w:t>
      </w:r>
      <w:r w:rsidR="00B6735E" w:rsidRPr="005206DD">
        <w:t>Mother made even less progress and</w:t>
      </w:r>
      <w:r w:rsidR="00D70D33" w:rsidRPr="005206DD">
        <w:t xml:space="preserve"> was terminated from counseling due to non</w:t>
      </w:r>
      <w:r w:rsidR="00387183">
        <w:noBreakHyphen/>
      </w:r>
      <w:r w:rsidR="00D70D33" w:rsidRPr="005206DD">
        <w:t xml:space="preserve">attendance. </w:t>
      </w:r>
    </w:p>
    <w:p w14:paraId="0A2FF0DE" w14:textId="2A875298" w:rsidR="00D43FA7" w:rsidRDefault="00053863" w:rsidP="00827FC6">
      <w:pPr>
        <w:spacing w:line="480" w:lineRule="atLeast"/>
        <w:ind w:firstLine="1440"/>
        <w:rPr>
          <w:b/>
          <w:bCs/>
          <w:szCs w:val="26"/>
        </w:rPr>
      </w:pPr>
      <w:r w:rsidRPr="005206DD">
        <w:rPr>
          <w:szCs w:val="26"/>
        </w:rPr>
        <w:t>At the six</w:t>
      </w:r>
      <w:r w:rsidR="00387183">
        <w:rPr>
          <w:szCs w:val="26"/>
        </w:rPr>
        <w:noBreakHyphen/>
      </w:r>
      <w:r w:rsidRPr="005206DD">
        <w:rPr>
          <w:szCs w:val="26"/>
        </w:rPr>
        <w:t xml:space="preserve">month review hearing </w:t>
      </w:r>
      <w:r w:rsidR="00F937B8" w:rsidRPr="005206DD">
        <w:rPr>
          <w:szCs w:val="26"/>
        </w:rPr>
        <w:t>in September 2020</w:t>
      </w:r>
      <w:r w:rsidRPr="005206DD">
        <w:rPr>
          <w:szCs w:val="26"/>
        </w:rPr>
        <w:t xml:space="preserve">, </w:t>
      </w:r>
      <w:r w:rsidR="00E649DF" w:rsidRPr="005206DD">
        <w:rPr>
          <w:szCs w:val="26"/>
        </w:rPr>
        <w:t>the</w:t>
      </w:r>
      <w:r w:rsidRPr="005206DD">
        <w:rPr>
          <w:szCs w:val="26"/>
        </w:rPr>
        <w:t xml:space="preserve"> </w:t>
      </w:r>
      <w:r w:rsidRPr="00510B70">
        <w:rPr>
          <w:szCs w:val="26"/>
        </w:rPr>
        <w:t>juvenile court found that returning A</w:t>
      </w:r>
      <w:r w:rsidR="003D0B01">
        <w:rPr>
          <w:szCs w:val="26"/>
        </w:rPr>
        <w:t>.</w:t>
      </w:r>
      <w:r w:rsidRPr="00510B70">
        <w:rPr>
          <w:szCs w:val="26"/>
        </w:rPr>
        <w:t>G</w:t>
      </w:r>
      <w:r w:rsidR="003D0B01">
        <w:rPr>
          <w:szCs w:val="26"/>
        </w:rPr>
        <w:t>.</w:t>
      </w:r>
      <w:r w:rsidRPr="00510B70">
        <w:rPr>
          <w:szCs w:val="26"/>
        </w:rPr>
        <w:t xml:space="preserve"> to her parents </w:t>
      </w:r>
      <w:r w:rsidR="00387183">
        <w:rPr>
          <w:szCs w:val="26"/>
        </w:rPr>
        <w:t>“</w:t>
      </w:r>
      <w:r w:rsidRPr="00510B70">
        <w:rPr>
          <w:szCs w:val="26"/>
        </w:rPr>
        <w:t xml:space="preserve">would create </w:t>
      </w:r>
      <w:r w:rsidR="00387183">
        <w:rPr>
          <w:szCs w:val="26"/>
        </w:rPr>
        <w:t>[</w:t>
      </w:r>
      <w:r w:rsidRPr="00510B70">
        <w:rPr>
          <w:szCs w:val="26"/>
        </w:rPr>
        <w:t>a</w:t>
      </w:r>
      <w:r w:rsidR="00387183">
        <w:rPr>
          <w:szCs w:val="26"/>
        </w:rPr>
        <w:t>]</w:t>
      </w:r>
      <w:r w:rsidRPr="00510B70">
        <w:rPr>
          <w:szCs w:val="26"/>
        </w:rPr>
        <w:t xml:space="preserve"> substantial risk of detriment to </w:t>
      </w:r>
      <w:r w:rsidR="00387183">
        <w:rPr>
          <w:szCs w:val="26"/>
        </w:rPr>
        <w:t>[</w:t>
      </w:r>
      <w:r w:rsidRPr="00510B70">
        <w:rPr>
          <w:szCs w:val="26"/>
        </w:rPr>
        <w:t>her</w:t>
      </w:r>
      <w:r w:rsidR="00387183">
        <w:rPr>
          <w:szCs w:val="26"/>
        </w:rPr>
        <w:t>]</w:t>
      </w:r>
      <w:r w:rsidRPr="00510B70">
        <w:rPr>
          <w:szCs w:val="26"/>
        </w:rPr>
        <w:t xml:space="preserve"> safety, protection, or physical or</w:t>
      </w:r>
      <w:r w:rsidR="00D9583E" w:rsidRPr="00510B70">
        <w:rPr>
          <w:szCs w:val="26"/>
        </w:rPr>
        <w:t xml:space="preserve"> emotional </w:t>
      </w:r>
      <w:r w:rsidR="00F300F7" w:rsidRPr="00510B70">
        <w:rPr>
          <w:szCs w:val="26"/>
        </w:rPr>
        <w:t>well-being</w:t>
      </w:r>
      <w:r w:rsidR="00387183">
        <w:rPr>
          <w:szCs w:val="26"/>
        </w:rPr>
        <w:t>”</w:t>
      </w:r>
      <w:r w:rsidR="00A91982" w:rsidRPr="00510B70">
        <w:rPr>
          <w:szCs w:val="26"/>
        </w:rPr>
        <w:t xml:space="preserve">; that </w:t>
      </w:r>
      <w:r w:rsidR="00D9583E" w:rsidRPr="00510B70">
        <w:rPr>
          <w:szCs w:val="26"/>
        </w:rPr>
        <w:t>reasonable</w:t>
      </w:r>
      <w:r w:rsidR="00E649DF">
        <w:rPr>
          <w:szCs w:val="26"/>
        </w:rPr>
        <w:t xml:space="preserve"> reunification</w:t>
      </w:r>
      <w:r w:rsidR="00D9583E" w:rsidRPr="00510B70">
        <w:rPr>
          <w:szCs w:val="26"/>
        </w:rPr>
        <w:t xml:space="preserve"> services had been provided or offered to the parents</w:t>
      </w:r>
      <w:r w:rsidR="00510B70" w:rsidRPr="00510B70">
        <w:rPr>
          <w:szCs w:val="26"/>
        </w:rPr>
        <w:t>, wh</w:t>
      </w:r>
      <w:r w:rsidR="00BD0C85">
        <w:rPr>
          <w:szCs w:val="26"/>
        </w:rPr>
        <w:t xml:space="preserve">o </w:t>
      </w:r>
      <w:r w:rsidR="003613A4">
        <w:rPr>
          <w:szCs w:val="26"/>
        </w:rPr>
        <w:t xml:space="preserve">each </w:t>
      </w:r>
      <w:r w:rsidR="00BD0C85">
        <w:rPr>
          <w:szCs w:val="26"/>
        </w:rPr>
        <w:t>had made only “minimal”</w:t>
      </w:r>
      <w:r w:rsidR="00510B70" w:rsidRPr="00510B70">
        <w:rPr>
          <w:szCs w:val="26"/>
        </w:rPr>
        <w:t xml:space="preserve"> </w:t>
      </w:r>
      <w:r w:rsidR="00D9583E" w:rsidRPr="00510B70">
        <w:rPr>
          <w:szCs w:val="26"/>
        </w:rPr>
        <w:t>progress toward alleviating or mitigating the causes necessitating placement</w:t>
      </w:r>
      <w:r w:rsidR="00510B70" w:rsidRPr="00510B70">
        <w:rPr>
          <w:szCs w:val="26"/>
        </w:rPr>
        <w:t xml:space="preserve">; </w:t>
      </w:r>
      <w:r w:rsidR="00815A5A">
        <w:rPr>
          <w:szCs w:val="26"/>
        </w:rPr>
        <w:t>and</w:t>
      </w:r>
      <w:r w:rsidR="00510B70" w:rsidRPr="00510B70">
        <w:rPr>
          <w:szCs w:val="26"/>
        </w:rPr>
        <w:t xml:space="preserve"> that</w:t>
      </w:r>
      <w:r w:rsidR="00D9583E" w:rsidRPr="00510B70">
        <w:rPr>
          <w:szCs w:val="26"/>
        </w:rPr>
        <w:t xml:space="preserve"> there was a substantial probability A</w:t>
      </w:r>
      <w:r w:rsidR="003D0B01">
        <w:rPr>
          <w:szCs w:val="26"/>
        </w:rPr>
        <w:t>.</w:t>
      </w:r>
      <w:r w:rsidR="00D9583E" w:rsidRPr="00510B70">
        <w:rPr>
          <w:szCs w:val="26"/>
        </w:rPr>
        <w:t>G</w:t>
      </w:r>
      <w:r w:rsidR="003D0B01">
        <w:rPr>
          <w:szCs w:val="26"/>
        </w:rPr>
        <w:t>.</w:t>
      </w:r>
      <w:r w:rsidR="00D9583E" w:rsidRPr="00510B70">
        <w:rPr>
          <w:szCs w:val="26"/>
        </w:rPr>
        <w:t xml:space="preserve"> may be returned to their custody within six months</w:t>
      </w:r>
      <w:r w:rsidR="00510B70" w:rsidRPr="00510B70">
        <w:rPr>
          <w:szCs w:val="26"/>
        </w:rPr>
        <w:t xml:space="preserve">.  </w:t>
      </w:r>
      <w:r w:rsidR="00E649DF">
        <w:rPr>
          <w:szCs w:val="26"/>
        </w:rPr>
        <w:t>The court</w:t>
      </w:r>
      <w:r w:rsidR="00510B70" w:rsidRPr="00510B70">
        <w:rPr>
          <w:szCs w:val="26"/>
        </w:rPr>
        <w:t xml:space="preserve"> </w:t>
      </w:r>
      <w:r w:rsidR="00D9583E" w:rsidRPr="00510B70">
        <w:rPr>
          <w:szCs w:val="26"/>
        </w:rPr>
        <w:t>scheduled the 12</w:t>
      </w:r>
      <w:r w:rsidR="00387183">
        <w:rPr>
          <w:szCs w:val="26"/>
        </w:rPr>
        <w:noBreakHyphen/>
      </w:r>
      <w:r w:rsidR="00D9583E" w:rsidRPr="00510B70">
        <w:rPr>
          <w:szCs w:val="26"/>
        </w:rPr>
        <w:t>month review hearing for December 2020</w:t>
      </w:r>
      <w:r w:rsidR="007B0A04">
        <w:rPr>
          <w:szCs w:val="26"/>
        </w:rPr>
        <w:t xml:space="preserve"> and continued reunification services</w:t>
      </w:r>
      <w:r w:rsidR="00220D7D">
        <w:rPr>
          <w:szCs w:val="26"/>
        </w:rPr>
        <w:t>, as recommended by SSA</w:t>
      </w:r>
      <w:r w:rsidR="00D9583E" w:rsidRPr="00510B70">
        <w:rPr>
          <w:szCs w:val="26"/>
        </w:rPr>
        <w:t xml:space="preserve">. </w:t>
      </w:r>
    </w:p>
    <w:p w14:paraId="231F95D3" w14:textId="065691F7" w:rsidR="00F667A0" w:rsidRPr="00982CBA" w:rsidRDefault="00053863" w:rsidP="00982CBA">
      <w:pPr>
        <w:spacing w:line="480" w:lineRule="atLeast"/>
        <w:ind w:firstLine="1440"/>
      </w:pPr>
      <w:r>
        <w:t>During t</w:t>
      </w:r>
      <w:r w:rsidRPr="00F12FE4">
        <w:t>he 12</w:t>
      </w:r>
      <w:r w:rsidR="00387183">
        <w:noBreakHyphen/>
      </w:r>
      <w:r w:rsidRPr="00F12FE4">
        <w:t xml:space="preserve">month review period, </w:t>
      </w:r>
      <w:r w:rsidR="00BF294A" w:rsidRPr="00F12FE4">
        <w:t xml:space="preserve">Father </w:t>
      </w:r>
      <w:r w:rsidR="00B114A4" w:rsidRPr="00F12FE4">
        <w:t>signed the c</w:t>
      </w:r>
      <w:r w:rsidR="0008344E">
        <w:t>ase</w:t>
      </w:r>
      <w:r w:rsidR="00B114A4" w:rsidRPr="00F12FE4">
        <w:t xml:space="preserve"> plan and engaged in </w:t>
      </w:r>
      <w:r w:rsidR="00DA791B">
        <w:t xml:space="preserve">some </w:t>
      </w:r>
      <w:r w:rsidR="00B114A4" w:rsidRPr="00F12FE4">
        <w:t xml:space="preserve">recommended services, including counseling </w:t>
      </w:r>
      <w:r w:rsidR="00B114A4" w:rsidRPr="00D24FF2">
        <w:t xml:space="preserve">and the parenting class. </w:t>
      </w:r>
      <w:r w:rsidR="00387183">
        <w:t xml:space="preserve"> </w:t>
      </w:r>
      <w:r w:rsidR="004C5668">
        <w:t>He</w:t>
      </w:r>
      <w:r w:rsidR="00B114A4" w:rsidRPr="00D24FF2">
        <w:t xml:space="preserve"> </w:t>
      </w:r>
      <w:r w:rsidR="00BF294A" w:rsidRPr="00F12FE4">
        <w:t>continued to</w:t>
      </w:r>
      <w:r w:rsidRPr="00F12FE4">
        <w:t xml:space="preserve"> refuse to participate in the </w:t>
      </w:r>
      <w:r w:rsidR="00BF294A" w:rsidRPr="00F12FE4">
        <w:t xml:space="preserve">section </w:t>
      </w:r>
      <w:r w:rsidRPr="00F12FE4">
        <w:t>730 evaluation</w:t>
      </w:r>
      <w:r w:rsidR="00BF294A" w:rsidRPr="00F12FE4">
        <w:t xml:space="preserve">, </w:t>
      </w:r>
      <w:r w:rsidR="00815A5A">
        <w:t xml:space="preserve">however, </w:t>
      </w:r>
      <w:r w:rsidR="00BF294A" w:rsidRPr="00F12FE4">
        <w:t xml:space="preserve">relenting only after </w:t>
      </w:r>
      <w:r w:rsidR="00982CBA">
        <w:t xml:space="preserve">we </w:t>
      </w:r>
      <w:r w:rsidR="00982CBA">
        <w:rPr>
          <w:szCs w:val="26"/>
        </w:rPr>
        <w:t xml:space="preserve">affirmed the </w:t>
      </w:r>
      <w:r w:rsidR="0008344E">
        <w:rPr>
          <w:szCs w:val="26"/>
        </w:rPr>
        <w:t xml:space="preserve">juvenile </w:t>
      </w:r>
      <w:r w:rsidR="00982CBA">
        <w:rPr>
          <w:szCs w:val="26"/>
        </w:rPr>
        <w:t xml:space="preserve">court’s </w:t>
      </w:r>
      <w:r w:rsidR="00982CBA" w:rsidRPr="00F26B52">
        <w:rPr>
          <w:szCs w:val="26"/>
        </w:rPr>
        <w:t xml:space="preserve">jurisdictional finding and </w:t>
      </w:r>
      <w:r w:rsidR="00982CBA" w:rsidRPr="00F937B8">
        <w:rPr>
          <w:szCs w:val="26"/>
        </w:rPr>
        <w:t>disposition order</w:t>
      </w:r>
      <w:r w:rsidR="00982CBA">
        <w:rPr>
          <w:szCs w:val="26"/>
        </w:rPr>
        <w:t xml:space="preserve"> in October 2020</w:t>
      </w:r>
      <w:r w:rsidR="00982CBA" w:rsidRPr="00F937B8">
        <w:rPr>
          <w:szCs w:val="26"/>
        </w:rPr>
        <w:t>.  (</w:t>
      </w:r>
      <w:r w:rsidR="00387183" w:rsidRPr="00387183">
        <w:rPr>
          <w:i/>
          <w:iCs/>
          <w:szCs w:val="26"/>
        </w:rPr>
        <w:t>Orange County Social Services Agency v. Michael G., supra</w:t>
      </w:r>
      <w:r w:rsidR="00387183">
        <w:rPr>
          <w:szCs w:val="26"/>
        </w:rPr>
        <w:t>,</w:t>
      </w:r>
      <w:r w:rsidR="00982CBA" w:rsidRPr="00F937B8">
        <w:rPr>
          <w:szCs w:val="26"/>
        </w:rPr>
        <w:t xml:space="preserve"> G059045.)</w:t>
      </w:r>
      <w:r w:rsidR="000339D6" w:rsidRPr="00F12FE4">
        <w:t xml:space="preserve"> </w:t>
      </w:r>
      <w:r w:rsidR="00A345C3">
        <w:t>The section</w:t>
      </w:r>
      <w:r w:rsidR="00387183">
        <w:t> </w:t>
      </w:r>
      <w:r w:rsidR="00A345C3">
        <w:t>730</w:t>
      </w:r>
      <w:r w:rsidR="00721B77">
        <w:t xml:space="preserve"> evaluator, Dr.</w:t>
      </w:r>
      <w:r w:rsidR="00387183">
        <w:t> </w:t>
      </w:r>
      <w:r w:rsidR="00721B77">
        <w:t xml:space="preserve">Gerardo Canul, </w:t>
      </w:r>
      <w:r w:rsidR="00EE017E">
        <w:t xml:space="preserve">conducted </w:t>
      </w:r>
      <w:r w:rsidR="00B114A4">
        <w:t xml:space="preserve">his </w:t>
      </w:r>
      <w:r w:rsidR="00EE017E">
        <w:t xml:space="preserve">evaluation </w:t>
      </w:r>
      <w:r w:rsidR="00B114A4">
        <w:t xml:space="preserve">of Father </w:t>
      </w:r>
      <w:r w:rsidR="00F40027">
        <w:t xml:space="preserve">in </w:t>
      </w:r>
      <w:r w:rsidR="00EE017E">
        <w:lastRenderedPageBreak/>
        <w:t xml:space="preserve">November </w:t>
      </w:r>
      <w:r w:rsidR="00F40027">
        <w:t xml:space="preserve">and issued his report in December, </w:t>
      </w:r>
      <w:r w:rsidR="003A14CC">
        <w:t>concluding</w:t>
      </w:r>
      <w:r w:rsidR="00FE620C">
        <w:t xml:space="preserve"> Father’s </w:t>
      </w:r>
      <w:r w:rsidR="00A85AAD">
        <w:t>“</w:t>
      </w:r>
      <w:r w:rsidR="00FE620C">
        <w:t>psychological an</w:t>
      </w:r>
      <w:r w:rsidR="00A85AAD">
        <w:t>d psychiatric problems are significant</w:t>
      </w:r>
      <w:r w:rsidR="006E2B58">
        <w:t>.</w:t>
      </w:r>
      <w:r w:rsidR="00A85AAD">
        <w:t>”</w:t>
      </w:r>
    </w:p>
    <w:p w14:paraId="3BD163A1" w14:textId="1B8FC841" w:rsidR="00F575F5" w:rsidRPr="00220D7D" w:rsidRDefault="00053863" w:rsidP="00827FC6">
      <w:pPr>
        <w:spacing w:line="480" w:lineRule="atLeast"/>
        <w:ind w:firstLine="1440"/>
        <w:rPr>
          <w:b/>
          <w:bCs/>
          <w:szCs w:val="26"/>
        </w:rPr>
      </w:pPr>
      <w:r w:rsidRPr="003F4116">
        <w:rPr>
          <w:szCs w:val="26"/>
        </w:rPr>
        <w:t xml:space="preserve">At </w:t>
      </w:r>
      <w:r w:rsidR="00DF0072" w:rsidRPr="003F4116">
        <w:rPr>
          <w:szCs w:val="26"/>
        </w:rPr>
        <w:t xml:space="preserve">the </w:t>
      </w:r>
      <w:r w:rsidRPr="003F4116">
        <w:rPr>
          <w:szCs w:val="26"/>
        </w:rPr>
        <w:t>12</w:t>
      </w:r>
      <w:r w:rsidR="00387183">
        <w:rPr>
          <w:szCs w:val="26"/>
        </w:rPr>
        <w:noBreakHyphen/>
      </w:r>
      <w:r w:rsidRPr="003F4116">
        <w:rPr>
          <w:szCs w:val="26"/>
        </w:rPr>
        <w:t xml:space="preserve">month </w:t>
      </w:r>
      <w:r w:rsidR="00DF0072" w:rsidRPr="003F4116">
        <w:rPr>
          <w:szCs w:val="26"/>
        </w:rPr>
        <w:t xml:space="preserve">review </w:t>
      </w:r>
      <w:r w:rsidRPr="003F4116">
        <w:rPr>
          <w:szCs w:val="26"/>
        </w:rPr>
        <w:t>hearing</w:t>
      </w:r>
      <w:r w:rsidR="007C2CD2">
        <w:rPr>
          <w:szCs w:val="26"/>
        </w:rPr>
        <w:t xml:space="preserve"> in December</w:t>
      </w:r>
      <w:r>
        <w:rPr>
          <w:szCs w:val="26"/>
        </w:rPr>
        <w:t>,</w:t>
      </w:r>
      <w:r w:rsidRPr="00510B70">
        <w:rPr>
          <w:szCs w:val="26"/>
        </w:rPr>
        <w:t xml:space="preserve"> </w:t>
      </w:r>
      <w:r>
        <w:rPr>
          <w:szCs w:val="26"/>
        </w:rPr>
        <w:t>the</w:t>
      </w:r>
      <w:r w:rsidRPr="00510B70">
        <w:rPr>
          <w:szCs w:val="26"/>
        </w:rPr>
        <w:t xml:space="preserve"> juvenile court </w:t>
      </w:r>
      <w:r w:rsidR="00984FBD">
        <w:rPr>
          <w:szCs w:val="26"/>
        </w:rPr>
        <w:t xml:space="preserve">again </w:t>
      </w:r>
      <w:r w:rsidRPr="00510B70">
        <w:rPr>
          <w:szCs w:val="26"/>
        </w:rPr>
        <w:t>found that returning A</w:t>
      </w:r>
      <w:r w:rsidR="003D0B01">
        <w:rPr>
          <w:szCs w:val="26"/>
        </w:rPr>
        <w:t>.</w:t>
      </w:r>
      <w:r w:rsidRPr="00510B70">
        <w:rPr>
          <w:szCs w:val="26"/>
        </w:rPr>
        <w:t>G</w:t>
      </w:r>
      <w:r w:rsidR="003D0B01">
        <w:rPr>
          <w:szCs w:val="26"/>
        </w:rPr>
        <w:t>.</w:t>
      </w:r>
      <w:r w:rsidRPr="00510B70">
        <w:rPr>
          <w:szCs w:val="26"/>
        </w:rPr>
        <w:t xml:space="preserve"> to her parents </w:t>
      </w:r>
      <w:r w:rsidR="0098418B">
        <w:rPr>
          <w:szCs w:val="26"/>
        </w:rPr>
        <w:t>“</w:t>
      </w:r>
      <w:r w:rsidRPr="00510B70">
        <w:rPr>
          <w:szCs w:val="26"/>
        </w:rPr>
        <w:t xml:space="preserve">would create </w:t>
      </w:r>
      <w:r w:rsidR="0098418B">
        <w:rPr>
          <w:szCs w:val="26"/>
        </w:rPr>
        <w:t>[</w:t>
      </w:r>
      <w:r w:rsidRPr="00510B70">
        <w:rPr>
          <w:szCs w:val="26"/>
        </w:rPr>
        <w:t>a</w:t>
      </w:r>
      <w:r w:rsidR="0098418B">
        <w:rPr>
          <w:szCs w:val="26"/>
        </w:rPr>
        <w:t>]</w:t>
      </w:r>
      <w:r w:rsidRPr="00510B70">
        <w:rPr>
          <w:szCs w:val="26"/>
        </w:rPr>
        <w:t xml:space="preserve"> substantial risk of detriment to </w:t>
      </w:r>
      <w:r w:rsidR="0098418B">
        <w:rPr>
          <w:szCs w:val="26"/>
        </w:rPr>
        <w:t>[</w:t>
      </w:r>
      <w:r w:rsidRPr="00510B70">
        <w:rPr>
          <w:szCs w:val="26"/>
        </w:rPr>
        <w:t>her</w:t>
      </w:r>
      <w:r w:rsidR="0098418B">
        <w:rPr>
          <w:szCs w:val="26"/>
        </w:rPr>
        <w:t>]</w:t>
      </w:r>
      <w:r w:rsidRPr="00510B70">
        <w:rPr>
          <w:szCs w:val="26"/>
        </w:rPr>
        <w:t xml:space="preserve"> safety, protection, or physical or emotional well-being</w:t>
      </w:r>
      <w:r w:rsidR="0098418B">
        <w:rPr>
          <w:szCs w:val="26"/>
        </w:rPr>
        <w:t>”</w:t>
      </w:r>
      <w:r w:rsidRPr="00510B70">
        <w:rPr>
          <w:szCs w:val="26"/>
        </w:rPr>
        <w:t>; that reasonable</w:t>
      </w:r>
      <w:r>
        <w:rPr>
          <w:szCs w:val="26"/>
        </w:rPr>
        <w:t xml:space="preserve"> reunification</w:t>
      </w:r>
      <w:r w:rsidRPr="00510B70">
        <w:rPr>
          <w:szCs w:val="26"/>
        </w:rPr>
        <w:t xml:space="preserve"> services had been provided or offered to the par</w:t>
      </w:r>
      <w:r w:rsidRPr="00510B70">
        <w:rPr>
          <w:szCs w:val="26"/>
        </w:rPr>
        <w:t>ents</w:t>
      </w:r>
      <w:r w:rsidR="00074726">
        <w:rPr>
          <w:szCs w:val="26"/>
        </w:rPr>
        <w:t>; that Father’s progress</w:t>
      </w:r>
      <w:r w:rsidRPr="00510B70">
        <w:rPr>
          <w:szCs w:val="26"/>
        </w:rPr>
        <w:t xml:space="preserve"> toward alleviating or mitigating the causes necessitating placement </w:t>
      </w:r>
      <w:r w:rsidR="00074726">
        <w:rPr>
          <w:szCs w:val="26"/>
        </w:rPr>
        <w:t xml:space="preserve">was </w:t>
      </w:r>
      <w:r w:rsidR="005D532E">
        <w:rPr>
          <w:szCs w:val="26"/>
        </w:rPr>
        <w:t>“</w:t>
      </w:r>
      <w:r w:rsidR="00074726">
        <w:rPr>
          <w:szCs w:val="26"/>
        </w:rPr>
        <w:t>moderate</w:t>
      </w:r>
      <w:r w:rsidR="00984FBD">
        <w:rPr>
          <w:szCs w:val="26"/>
        </w:rPr>
        <w:t>,</w:t>
      </w:r>
      <w:r w:rsidR="005D532E">
        <w:rPr>
          <w:szCs w:val="26"/>
        </w:rPr>
        <w:t>”</w:t>
      </w:r>
      <w:r w:rsidR="00074726">
        <w:rPr>
          <w:szCs w:val="26"/>
        </w:rPr>
        <w:t xml:space="preserve"> </w:t>
      </w:r>
      <w:r w:rsidR="003A14CC">
        <w:rPr>
          <w:szCs w:val="26"/>
        </w:rPr>
        <w:t>while</w:t>
      </w:r>
      <w:r w:rsidR="00074726">
        <w:rPr>
          <w:szCs w:val="26"/>
        </w:rPr>
        <w:t xml:space="preserve"> Mother’s progress was</w:t>
      </w:r>
      <w:r w:rsidRPr="00510B70">
        <w:rPr>
          <w:szCs w:val="26"/>
        </w:rPr>
        <w:t xml:space="preserve"> </w:t>
      </w:r>
      <w:r w:rsidR="005D532E">
        <w:rPr>
          <w:szCs w:val="26"/>
        </w:rPr>
        <w:t>“</w:t>
      </w:r>
      <w:r w:rsidRPr="00510B70">
        <w:rPr>
          <w:szCs w:val="26"/>
        </w:rPr>
        <w:t>minimal</w:t>
      </w:r>
      <w:r w:rsidR="005D532E">
        <w:rPr>
          <w:szCs w:val="26"/>
        </w:rPr>
        <w:t>”</w:t>
      </w:r>
      <w:r w:rsidRPr="00510B70">
        <w:rPr>
          <w:szCs w:val="26"/>
        </w:rPr>
        <w:t>; and that there was a substantial probability A</w:t>
      </w:r>
      <w:r w:rsidR="003D0B01">
        <w:rPr>
          <w:szCs w:val="26"/>
        </w:rPr>
        <w:t>.</w:t>
      </w:r>
      <w:r w:rsidRPr="00510B70">
        <w:rPr>
          <w:szCs w:val="26"/>
        </w:rPr>
        <w:t>G</w:t>
      </w:r>
      <w:r w:rsidR="003D0B01">
        <w:rPr>
          <w:szCs w:val="26"/>
        </w:rPr>
        <w:t>.</w:t>
      </w:r>
      <w:r w:rsidRPr="00510B70">
        <w:rPr>
          <w:szCs w:val="26"/>
        </w:rPr>
        <w:t xml:space="preserve"> may be returned to their custody within six months. </w:t>
      </w:r>
      <w:r w:rsidR="00387183">
        <w:rPr>
          <w:szCs w:val="26"/>
        </w:rPr>
        <w:t xml:space="preserve"> </w:t>
      </w:r>
      <w:r>
        <w:rPr>
          <w:szCs w:val="26"/>
        </w:rPr>
        <w:t>T</w:t>
      </w:r>
      <w:r>
        <w:rPr>
          <w:szCs w:val="26"/>
        </w:rPr>
        <w:t>he court</w:t>
      </w:r>
      <w:r w:rsidRPr="00510B70">
        <w:rPr>
          <w:szCs w:val="26"/>
        </w:rPr>
        <w:t xml:space="preserve"> scheduled the 1</w:t>
      </w:r>
      <w:r w:rsidR="008E31CF">
        <w:rPr>
          <w:szCs w:val="26"/>
        </w:rPr>
        <w:t>8</w:t>
      </w:r>
      <w:r w:rsidR="00387183">
        <w:rPr>
          <w:szCs w:val="26"/>
        </w:rPr>
        <w:noBreakHyphen/>
      </w:r>
      <w:r w:rsidRPr="00510B70">
        <w:rPr>
          <w:szCs w:val="26"/>
        </w:rPr>
        <w:t xml:space="preserve">month </w:t>
      </w:r>
      <w:r w:rsidR="003B68C3">
        <w:rPr>
          <w:szCs w:val="26"/>
        </w:rPr>
        <w:t xml:space="preserve">review </w:t>
      </w:r>
      <w:r w:rsidRPr="00510B70">
        <w:rPr>
          <w:szCs w:val="26"/>
        </w:rPr>
        <w:t xml:space="preserve">hearing for </w:t>
      </w:r>
      <w:r w:rsidR="008E31CF">
        <w:rPr>
          <w:szCs w:val="26"/>
        </w:rPr>
        <w:t>April</w:t>
      </w:r>
      <w:r>
        <w:rPr>
          <w:szCs w:val="26"/>
        </w:rPr>
        <w:t xml:space="preserve"> </w:t>
      </w:r>
      <w:r w:rsidR="00D9024A">
        <w:rPr>
          <w:szCs w:val="26"/>
        </w:rPr>
        <w:t xml:space="preserve">2021 </w:t>
      </w:r>
      <w:r>
        <w:rPr>
          <w:szCs w:val="26"/>
        </w:rPr>
        <w:t>and continued reunification</w:t>
      </w:r>
      <w:r w:rsidR="00220D7D" w:rsidRPr="00220D7D">
        <w:rPr>
          <w:szCs w:val="26"/>
        </w:rPr>
        <w:t xml:space="preserve"> </w:t>
      </w:r>
      <w:r w:rsidR="00220D7D">
        <w:rPr>
          <w:szCs w:val="26"/>
        </w:rPr>
        <w:t>services, as recommended by SSA</w:t>
      </w:r>
      <w:r w:rsidRPr="00510B70">
        <w:rPr>
          <w:szCs w:val="26"/>
        </w:rPr>
        <w:t>.</w:t>
      </w:r>
      <w:r w:rsidR="00220D7D">
        <w:rPr>
          <w:szCs w:val="26"/>
        </w:rPr>
        <w:t xml:space="preserve"> </w:t>
      </w:r>
    </w:p>
    <w:p w14:paraId="4C4F4DF2" w14:textId="39EF25BE" w:rsidR="00D9583E" w:rsidRDefault="00053863" w:rsidP="00827FC6">
      <w:pPr>
        <w:spacing w:line="480" w:lineRule="atLeast"/>
        <w:ind w:firstLine="1440"/>
        <w:rPr>
          <w:szCs w:val="26"/>
        </w:rPr>
      </w:pPr>
      <w:r w:rsidRPr="00E32534">
        <w:rPr>
          <w:szCs w:val="26"/>
        </w:rPr>
        <w:t>At</w:t>
      </w:r>
      <w:r w:rsidR="00105281" w:rsidRPr="00E32534">
        <w:rPr>
          <w:szCs w:val="26"/>
        </w:rPr>
        <w:t xml:space="preserve"> the</w:t>
      </w:r>
      <w:r w:rsidRPr="00E32534">
        <w:rPr>
          <w:szCs w:val="26"/>
        </w:rPr>
        <w:t xml:space="preserve"> 18</w:t>
      </w:r>
      <w:r w:rsidR="00105281" w:rsidRPr="00E32534">
        <w:rPr>
          <w:szCs w:val="26"/>
        </w:rPr>
        <w:t>-</w:t>
      </w:r>
      <w:r w:rsidRPr="00E32534">
        <w:rPr>
          <w:szCs w:val="26"/>
        </w:rPr>
        <w:t xml:space="preserve">month </w:t>
      </w:r>
      <w:r w:rsidR="0066766A">
        <w:rPr>
          <w:szCs w:val="26"/>
        </w:rPr>
        <w:t xml:space="preserve">review </w:t>
      </w:r>
      <w:r w:rsidR="0022102C">
        <w:rPr>
          <w:szCs w:val="26"/>
        </w:rPr>
        <w:t xml:space="preserve">hearing, </w:t>
      </w:r>
      <w:r w:rsidR="002F7E83">
        <w:rPr>
          <w:szCs w:val="26"/>
        </w:rPr>
        <w:t>which was continued to June 2021</w:t>
      </w:r>
      <w:r w:rsidRPr="00E32534">
        <w:rPr>
          <w:szCs w:val="26"/>
        </w:rPr>
        <w:t xml:space="preserve">, SSA recommended terminating services and </w:t>
      </w:r>
      <w:r w:rsidR="00984FBD">
        <w:rPr>
          <w:szCs w:val="26"/>
        </w:rPr>
        <w:t>setting a</w:t>
      </w:r>
      <w:r w:rsidR="00105281" w:rsidRPr="00E32534">
        <w:rPr>
          <w:szCs w:val="26"/>
        </w:rPr>
        <w:t xml:space="preserve"> </w:t>
      </w:r>
      <w:r w:rsidR="00182774">
        <w:rPr>
          <w:szCs w:val="26"/>
        </w:rPr>
        <w:t xml:space="preserve">section </w:t>
      </w:r>
      <w:r w:rsidRPr="00E32534">
        <w:rPr>
          <w:szCs w:val="26"/>
        </w:rPr>
        <w:t>366.26</w:t>
      </w:r>
      <w:r w:rsidR="00182774">
        <w:rPr>
          <w:szCs w:val="26"/>
        </w:rPr>
        <w:t xml:space="preserve"> </w:t>
      </w:r>
      <w:r w:rsidRPr="00E32534">
        <w:rPr>
          <w:szCs w:val="26"/>
        </w:rPr>
        <w:t>hearing</w:t>
      </w:r>
      <w:r w:rsidR="00984FBD">
        <w:rPr>
          <w:szCs w:val="26"/>
        </w:rPr>
        <w:t xml:space="preserve">. </w:t>
      </w:r>
      <w:r w:rsidR="00E61262" w:rsidRPr="00E32534">
        <w:rPr>
          <w:szCs w:val="26"/>
        </w:rPr>
        <w:t xml:space="preserve"> A.G.’s counsel joined in these</w:t>
      </w:r>
      <w:r w:rsidR="00E32534" w:rsidRPr="00E32534">
        <w:rPr>
          <w:szCs w:val="26"/>
        </w:rPr>
        <w:t xml:space="preserve"> requests</w:t>
      </w:r>
      <w:r w:rsidRPr="00E32534">
        <w:rPr>
          <w:szCs w:val="26"/>
        </w:rPr>
        <w:t>.</w:t>
      </w:r>
      <w:r w:rsidR="001720BB" w:rsidRPr="00E32534">
        <w:rPr>
          <w:szCs w:val="26"/>
        </w:rPr>
        <w:t xml:space="preserve"> </w:t>
      </w:r>
      <w:r w:rsidR="00387183">
        <w:rPr>
          <w:szCs w:val="26"/>
        </w:rPr>
        <w:t xml:space="preserve"> </w:t>
      </w:r>
      <w:r w:rsidR="003A7C4A">
        <w:rPr>
          <w:szCs w:val="26"/>
        </w:rPr>
        <w:t xml:space="preserve">Counsel for Mother and Father both objected and asked the </w:t>
      </w:r>
      <w:r w:rsidR="00B25A4F">
        <w:rPr>
          <w:szCs w:val="26"/>
        </w:rPr>
        <w:t xml:space="preserve">juvenile </w:t>
      </w:r>
      <w:r w:rsidR="003A7C4A">
        <w:rPr>
          <w:szCs w:val="26"/>
        </w:rPr>
        <w:t>court to continue services</w:t>
      </w:r>
      <w:r w:rsidR="004B02B6">
        <w:rPr>
          <w:szCs w:val="26"/>
        </w:rPr>
        <w:t xml:space="preserve"> under sections</w:t>
      </w:r>
      <w:r w:rsidR="00387183">
        <w:rPr>
          <w:szCs w:val="26"/>
        </w:rPr>
        <w:t> </w:t>
      </w:r>
      <w:r w:rsidR="00A67B4D">
        <w:rPr>
          <w:szCs w:val="26"/>
        </w:rPr>
        <w:t xml:space="preserve">352 </w:t>
      </w:r>
      <w:r w:rsidR="004B02B6">
        <w:rPr>
          <w:szCs w:val="26"/>
        </w:rPr>
        <w:t>and</w:t>
      </w:r>
      <w:r w:rsidR="00387183">
        <w:rPr>
          <w:szCs w:val="26"/>
        </w:rPr>
        <w:t> </w:t>
      </w:r>
      <w:r w:rsidR="004B02B6">
        <w:rPr>
          <w:szCs w:val="26"/>
        </w:rPr>
        <w:t xml:space="preserve">366.22 </w:t>
      </w:r>
      <w:r w:rsidR="00A67B4D">
        <w:rPr>
          <w:szCs w:val="26"/>
        </w:rPr>
        <w:t xml:space="preserve">and in accordance with </w:t>
      </w:r>
      <w:r w:rsidR="00954C10">
        <w:rPr>
          <w:szCs w:val="26"/>
        </w:rPr>
        <w:t xml:space="preserve">principles of </w:t>
      </w:r>
      <w:r w:rsidR="00A67B4D">
        <w:rPr>
          <w:szCs w:val="26"/>
        </w:rPr>
        <w:t>due process</w:t>
      </w:r>
      <w:r w:rsidR="003A7C4A">
        <w:rPr>
          <w:szCs w:val="26"/>
        </w:rPr>
        <w:t xml:space="preserve">. </w:t>
      </w:r>
    </w:p>
    <w:p w14:paraId="48FC00C4" w14:textId="49232C9A" w:rsidR="00AD3272" w:rsidRDefault="00053863" w:rsidP="005624E8">
      <w:pPr>
        <w:spacing w:line="480" w:lineRule="atLeast"/>
        <w:ind w:firstLine="1440"/>
        <w:rPr>
          <w:b/>
          <w:bCs/>
          <w:szCs w:val="26"/>
        </w:rPr>
      </w:pPr>
      <w:r>
        <w:rPr>
          <w:szCs w:val="26"/>
        </w:rPr>
        <w:t xml:space="preserve">After </w:t>
      </w:r>
      <w:r w:rsidR="00652DA1">
        <w:rPr>
          <w:szCs w:val="26"/>
        </w:rPr>
        <w:t>taking the matter under submission</w:t>
      </w:r>
      <w:r>
        <w:rPr>
          <w:szCs w:val="26"/>
        </w:rPr>
        <w:t xml:space="preserve">, </w:t>
      </w:r>
      <w:r w:rsidR="00AD4383">
        <w:rPr>
          <w:szCs w:val="26"/>
        </w:rPr>
        <w:t>the juvenile</w:t>
      </w:r>
      <w:r w:rsidR="00AF7B00">
        <w:rPr>
          <w:szCs w:val="26"/>
        </w:rPr>
        <w:t xml:space="preserve"> court terminated reunification services and ordered a section 366.26 hearing </w:t>
      </w:r>
      <w:r w:rsidR="00A11B0D">
        <w:rPr>
          <w:szCs w:val="26"/>
        </w:rPr>
        <w:t xml:space="preserve">to </w:t>
      </w:r>
      <w:r w:rsidR="00AF7B00">
        <w:rPr>
          <w:szCs w:val="26"/>
        </w:rPr>
        <w:t>be held within 120 days.</w:t>
      </w:r>
      <w:r w:rsidR="00387183">
        <w:rPr>
          <w:szCs w:val="26"/>
        </w:rPr>
        <w:t xml:space="preserve"> </w:t>
      </w:r>
      <w:r w:rsidR="00AF7B00">
        <w:rPr>
          <w:szCs w:val="26"/>
        </w:rPr>
        <w:t xml:space="preserve"> </w:t>
      </w:r>
      <w:r w:rsidR="00677B58">
        <w:rPr>
          <w:szCs w:val="26"/>
        </w:rPr>
        <w:t xml:space="preserve">Citing section 366.22, subdivision (a), </w:t>
      </w:r>
      <w:r w:rsidR="00954C10">
        <w:rPr>
          <w:szCs w:val="26"/>
        </w:rPr>
        <w:t xml:space="preserve">which we discuss below, </w:t>
      </w:r>
      <w:r w:rsidR="00984FBD">
        <w:rPr>
          <w:szCs w:val="26"/>
        </w:rPr>
        <w:t xml:space="preserve">the court </w:t>
      </w:r>
      <w:r w:rsidR="00677B58">
        <w:rPr>
          <w:szCs w:val="26"/>
        </w:rPr>
        <w:t>found by a preponderance of the evidence that returning A.G. to her parents would create a substantial risk of detriment</w:t>
      </w:r>
      <w:r w:rsidR="00352919">
        <w:rPr>
          <w:szCs w:val="26"/>
        </w:rPr>
        <w:t xml:space="preserve"> to her safety, protection, or physical or emotional well</w:t>
      </w:r>
      <w:r w:rsidR="00387183">
        <w:rPr>
          <w:szCs w:val="26"/>
        </w:rPr>
        <w:noBreakHyphen/>
      </w:r>
      <w:r w:rsidR="00352919">
        <w:rPr>
          <w:szCs w:val="26"/>
        </w:rPr>
        <w:t xml:space="preserve">being. </w:t>
      </w:r>
      <w:r w:rsidR="00387183">
        <w:rPr>
          <w:szCs w:val="26"/>
        </w:rPr>
        <w:t xml:space="preserve"> </w:t>
      </w:r>
      <w:r w:rsidR="009D62C9">
        <w:rPr>
          <w:szCs w:val="26"/>
        </w:rPr>
        <w:t>(See</w:t>
      </w:r>
      <w:r w:rsidR="00387183">
        <w:rPr>
          <w:szCs w:val="26"/>
        </w:rPr>
        <w:t> </w:t>
      </w:r>
      <w:r w:rsidR="009D62C9">
        <w:rPr>
          <w:szCs w:val="26"/>
        </w:rPr>
        <w:t>§</w:t>
      </w:r>
      <w:r w:rsidR="00387183">
        <w:rPr>
          <w:szCs w:val="26"/>
        </w:rPr>
        <w:t> </w:t>
      </w:r>
      <w:r w:rsidR="009D62C9">
        <w:rPr>
          <w:szCs w:val="26"/>
        </w:rPr>
        <w:t>366.22, subd.</w:t>
      </w:r>
      <w:r w:rsidR="00387183">
        <w:rPr>
          <w:szCs w:val="26"/>
        </w:rPr>
        <w:t> </w:t>
      </w:r>
      <w:r w:rsidR="009D62C9">
        <w:rPr>
          <w:szCs w:val="26"/>
        </w:rPr>
        <w:t xml:space="preserve">(a)(1).)  </w:t>
      </w:r>
      <w:r w:rsidR="0002480F">
        <w:rPr>
          <w:szCs w:val="26"/>
        </w:rPr>
        <w:t>The court</w:t>
      </w:r>
      <w:r w:rsidR="00AF7B00">
        <w:rPr>
          <w:szCs w:val="26"/>
        </w:rPr>
        <w:t xml:space="preserve"> </w:t>
      </w:r>
      <w:r w:rsidR="00A778F4">
        <w:rPr>
          <w:szCs w:val="26"/>
        </w:rPr>
        <w:t xml:space="preserve">also </w:t>
      </w:r>
      <w:r w:rsidR="00AD4383">
        <w:rPr>
          <w:szCs w:val="26"/>
        </w:rPr>
        <w:t>found that</w:t>
      </w:r>
      <w:r w:rsidR="004C5668">
        <w:rPr>
          <w:szCs w:val="26"/>
        </w:rPr>
        <w:t>,</w:t>
      </w:r>
      <w:r w:rsidR="00AD4383">
        <w:rPr>
          <w:szCs w:val="26"/>
        </w:rPr>
        <w:t xml:space="preserve"> </w:t>
      </w:r>
      <w:r w:rsidR="00563E0D">
        <w:rPr>
          <w:szCs w:val="26"/>
        </w:rPr>
        <w:t>notwithstanding its</w:t>
      </w:r>
      <w:r w:rsidR="00AD4383">
        <w:rPr>
          <w:szCs w:val="26"/>
        </w:rPr>
        <w:t xml:space="preserve"> reasonable services findings at the </w:t>
      </w:r>
      <w:r w:rsidR="000D2108">
        <w:rPr>
          <w:szCs w:val="26"/>
        </w:rPr>
        <w:t>six and 12</w:t>
      </w:r>
      <w:r w:rsidR="000C6C14">
        <w:rPr>
          <w:szCs w:val="26"/>
        </w:rPr>
        <w:noBreakHyphen/>
      </w:r>
      <w:r w:rsidR="000D2108">
        <w:rPr>
          <w:szCs w:val="26"/>
        </w:rPr>
        <w:t xml:space="preserve">month </w:t>
      </w:r>
      <w:r w:rsidR="00AD4383">
        <w:rPr>
          <w:szCs w:val="26"/>
        </w:rPr>
        <w:t>hearings</w:t>
      </w:r>
      <w:r w:rsidR="0074239E">
        <w:rPr>
          <w:szCs w:val="26"/>
        </w:rPr>
        <w:t xml:space="preserve"> (</w:t>
      </w:r>
      <w:r w:rsidR="00563E0D">
        <w:rPr>
          <w:szCs w:val="26"/>
        </w:rPr>
        <w:t>which the court</w:t>
      </w:r>
      <w:r w:rsidR="0074239E">
        <w:rPr>
          <w:szCs w:val="26"/>
        </w:rPr>
        <w:t xml:space="preserve"> </w:t>
      </w:r>
      <w:r w:rsidR="00627BCD">
        <w:rPr>
          <w:szCs w:val="26"/>
        </w:rPr>
        <w:t>“firmly believe[d]” were the “</w:t>
      </w:r>
      <w:r w:rsidR="0074239E">
        <w:rPr>
          <w:szCs w:val="26"/>
        </w:rPr>
        <w:t>right call, given the involvement or lack thereof of the parents at that time”)</w:t>
      </w:r>
      <w:r w:rsidR="00AD4383">
        <w:rPr>
          <w:szCs w:val="26"/>
        </w:rPr>
        <w:t>, SSA had not provided reasonable services in the most recent review period</w:t>
      </w:r>
      <w:r w:rsidR="000167A0">
        <w:rPr>
          <w:szCs w:val="26"/>
        </w:rPr>
        <w:t>.</w:t>
      </w:r>
      <w:r>
        <w:rPr>
          <w:rStyle w:val="FootnoteReference"/>
          <w:szCs w:val="26"/>
        </w:rPr>
        <w:footnoteReference w:id="2"/>
      </w:r>
      <w:r w:rsidR="000167A0">
        <w:rPr>
          <w:szCs w:val="26"/>
        </w:rPr>
        <w:t xml:space="preserve">  </w:t>
      </w:r>
    </w:p>
    <w:p w14:paraId="706F83FF" w14:textId="444BD62D" w:rsidR="00D9583E" w:rsidRPr="005624E8" w:rsidRDefault="00053863" w:rsidP="005624E8">
      <w:pPr>
        <w:spacing w:line="480" w:lineRule="atLeast"/>
        <w:ind w:firstLine="1440"/>
      </w:pPr>
      <w:r>
        <w:rPr>
          <w:szCs w:val="26"/>
        </w:rPr>
        <w:lastRenderedPageBreak/>
        <w:t>Even so, t</w:t>
      </w:r>
      <w:r w:rsidR="00627BCD">
        <w:rPr>
          <w:szCs w:val="26"/>
        </w:rPr>
        <w:t xml:space="preserve">he </w:t>
      </w:r>
      <w:r w:rsidR="000167A0">
        <w:rPr>
          <w:szCs w:val="26"/>
        </w:rPr>
        <w:t>juvenile c</w:t>
      </w:r>
      <w:r w:rsidR="00627BCD">
        <w:rPr>
          <w:szCs w:val="26"/>
        </w:rPr>
        <w:t xml:space="preserve">ourt </w:t>
      </w:r>
      <w:r w:rsidR="007B6683">
        <w:rPr>
          <w:szCs w:val="26"/>
        </w:rPr>
        <w:t xml:space="preserve">decided to terminate </w:t>
      </w:r>
      <w:r w:rsidR="00203942">
        <w:rPr>
          <w:szCs w:val="26"/>
        </w:rPr>
        <w:t xml:space="preserve">reunification </w:t>
      </w:r>
      <w:r w:rsidR="007B6683">
        <w:rPr>
          <w:szCs w:val="26"/>
        </w:rPr>
        <w:t xml:space="preserve">services, finding the lack </w:t>
      </w:r>
      <w:r w:rsidR="00AF7B00">
        <w:rPr>
          <w:szCs w:val="26"/>
        </w:rPr>
        <w:t>of reasonable services in the most recent review period</w:t>
      </w:r>
      <w:r w:rsidR="00820044">
        <w:rPr>
          <w:szCs w:val="26"/>
        </w:rPr>
        <w:t xml:space="preserve"> did</w:t>
      </w:r>
      <w:r w:rsidR="002D0C93">
        <w:rPr>
          <w:szCs w:val="26"/>
        </w:rPr>
        <w:t xml:space="preserve"> “not automatically require the court to extend services</w:t>
      </w:r>
      <w:r w:rsidR="0074381F">
        <w:rPr>
          <w:szCs w:val="26"/>
        </w:rPr>
        <w:t>.</w:t>
      </w:r>
      <w:r w:rsidR="0090422C">
        <w:rPr>
          <w:szCs w:val="26"/>
        </w:rPr>
        <w:t>”</w:t>
      </w:r>
      <w:r w:rsidR="000C6C14">
        <w:rPr>
          <w:szCs w:val="26"/>
        </w:rPr>
        <w:t xml:space="preserve">  </w:t>
      </w:r>
      <w:r w:rsidR="009E1D99">
        <w:rPr>
          <w:szCs w:val="26"/>
        </w:rPr>
        <w:t>C</w:t>
      </w:r>
      <w:r w:rsidR="00820044">
        <w:rPr>
          <w:szCs w:val="26"/>
        </w:rPr>
        <w:t>iting</w:t>
      </w:r>
      <w:r w:rsidR="00AF7B00">
        <w:rPr>
          <w:szCs w:val="26"/>
        </w:rPr>
        <w:t xml:space="preserve"> section</w:t>
      </w:r>
      <w:r w:rsidR="000C6C14">
        <w:rPr>
          <w:szCs w:val="26"/>
        </w:rPr>
        <w:t> </w:t>
      </w:r>
      <w:r w:rsidR="00AF7B00">
        <w:rPr>
          <w:szCs w:val="26"/>
        </w:rPr>
        <w:t>366.22, subdivision</w:t>
      </w:r>
      <w:r w:rsidR="000C6C14">
        <w:rPr>
          <w:szCs w:val="26"/>
        </w:rPr>
        <w:t> </w:t>
      </w:r>
      <w:r w:rsidR="00AF7B00">
        <w:rPr>
          <w:szCs w:val="26"/>
        </w:rPr>
        <w:t>(b)</w:t>
      </w:r>
      <w:r w:rsidR="000C6C14">
        <w:rPr>
          <w:szCs w:val="26"/>
        </w:rPr>
        <w:t>,</w:t>
      </w:r>
      <w:r w:rsidR="00C04257">
        <w:rPr>
          <w:szCs w:val="26"/>
        </w:rPr>
        <w:t xml:space="preserve"> </w:t>
      </w:r>
      <w:r w:rsidR="00CC293C">
        <w:rPr>
          <w:szCs w:val="26"/>
        </w:rPr>
        <w:t xml:space="preserve">and </w:t>
      </w:r>
      <w:r w:rsidR="00C04257">
        <w:rPr>
          <w:szCs w:val="26"/>
        </w:rPr>
        <w:t xml:space="preserve">the parents’ “lack of </w:t>
      </w:r>
      <w:r w:rsidR="007B051B">
        <w:rPr>
          <w:szCs w:val="26"/>
        </w:rPr>
        <w:t>significant and consistent progress in this case to date</w:t>
      </w:r>
      <w:r w:rsidR="00AF7B00">
        <w:rPr>
          <w:szCs w:val="26"/>
        </w:rPr>
        <w:t>,</w:t>
      </w:r>
      <w:r w:rsidR="007B051B">
        <w:rPr>
          <w:szCs w:val="26"/>
        </w:rPr>
        <w:t xml:space="preserve">” the court </w:t>
      </w:r>
      <w:r w:rsidR="007B6683">
        <w:rPr>
          <w:szCs w:val="26"/>
        </w:rPr>
        <w:t>concluded</w:t>
      </w:r>
      <w:r w:rsidR="00203942">
        <w:rPr>
          <w:szCs w:val="26"/>
        </w:rPr>
        <w:t xml:space="preserve"> the provision of</w:t>
      </w:r>
      <w:r w:rsidR="007B051B">
        <w:rPr>
          <w:szCs w:val="26"/>
        </w:rPr>
        <w:t xml:space="preserve"> additional services would not be in A.G.’s best interes</w:t>
      </w:r>
      <w:r w:rsidR="0047231C">
        <w:rPr>
          <w:szCs w:val="26"/>
        </w:rPr>
        <w:t xml:space="preserve">t </w:t>
      </w:r>
      <w:r w:rsidR="00D21484">
        <w:rPr>
          <w:szCs w:val="26"/>
        </w:rPr>
        <w:t>and</w:t>
      </w:r>
      <w:r w:rsidR="0047231C">
        <w:rPr>
          <w:szCs w:val="26"/>
        </w:rPr>
        <w:t xml:space="preserve"> that further services </w:t>
      </w:r>
      <w:r w:rsidR="00D21484">
        <w:rPr>
          <w:szCs w:val="26"/>
        </w:rPr>
        <w:t>were not</w:t>
      </w:r>
      <w:r w:rsidR="0047231C">
        <w:rPr>
          <w:szCs w:val="26"/>
        </w:rPr>
        <w:t xml:space="preserve"> likely to positively impact reunification.</w:t>
      </w:r>
      <w:r w:rsidR="000C6C14">
        <w:rPr>
          <w:szCs w:val="26"/>
        </w:rPr>
        <w:t xml:space="preserve"> </w:t>
      </w:r>
      <w:r w:rsidR="0047231C">
        <w:rPr>
          <w:szCs w:val="26"/>
        </w:rPr>
        <w:t xml:space="preserve"> </w:t>
      </w:r>
      <w:r w:rsidR="00642AF3">
        <w:rPr>
          <w:szCs w:val="26"/>
        </w:rPr>
        <w:t>Accordingly, the court ordered a section 366.26 hearing to occur within 120</w:t>
      </w:r>
      <w:r w:rsidR="000C6C14">
        <w:rPr>
          <w:szCs w:val="26"/>
        </w:rPr>
        <w:t> </w:t>
      </w:r>
      <w:r w:rsidR="00642AF3">
        <w:rPr>
          <w:szCs w:val="26"/>
        </w:rPr>
        <w:t>days</w:t>
      </w:r>
      <w:r w:rsidR="009D62C9">
        <w:rPr>
          <w:szCs w:val="26"/>
        </w:rPr>
        <w:t xml:space="preserve"> and ordered the termination of services.</w:t>
      </w:r>
      <w:r w:rsidR="000C6C14">
        <w:rPr>
          <w:szCs w:val="26"/>
        </w:rPr>
        <w:t xml:space="preserve"> </w:t>
      </w:r>
      <w:r w:rsidR="009D62C9">
        <w:rPr>
          <w:szCs w:val="26"/>
        </w:rPr>
        <w:t xml:space="preserve"> (See §</w:t>
      </w:r>
      <w:r w:rsidR="000C6C14">
        <w:rPr>
          <w:szCs w:val="26"/>
        </w:rPr>
        <w:t> </w:t>
      </w:r>
      <w:r w:rsidR="009D62C9">
        <w:rPr>
          <w:szCs w:val="26"/>
        </w:rPr>
        <w:t>366.22, subd.</w:t>
      </w:r>
      <w:r w:rsidR="000C6C14">
        <w:rPr>
          <w:szCs w:val="26"/>
        </w:rPr>
        <w:t> </w:t>
      </w:r>
      <w:r w:rsidR="009D62C9">
        <w:rPr>
          <w:szCs w:val="26"/>
        </w:rPr>
        <w:t>(a)(3</w:t>
      </w:r>
      <w:r w:rsidR="00272EDB">
        <w:rPr>
          <w:szCs w:val="26"/>
        </w:rPr>
        <w:t>).</w:t>
      </w:r>
      <w:r w:rsidR="009D62C9">
        <w:rPr>
          <w:szCs w:val="26"/>
        </w:rPr>
        <w:t xml:space="preserve">)  </w:t>
      </w:r>
      <w:r w:rsidR="005A6C76" w:rsidRPr="005624E8">
        <w:rPr>
          <w:szCs w:val="26"/>
        </w:rPr>
        <w:t xml:space="preserve">Father </w:t>
      </w:r>
      <w:r w:rsidR="005624E8" w:rsidRPr="005624E8">
        <w:rPr>
          <w:szCs w:val="26"/>
        </w:rPr>
        <w:t xml:space="preserve">and Mother each </w:t>
      </w:r>
      <w:r w:rsidR="005A6C76" w:rsidRPr="005624E8">
        <w:rPr>
          <w:szCs w:val="26"/>
        </w:rPr>
        <w:t>filed notice</w:t>
      </w:r>
      <w:r w:rsidR="005624E8" w:rsidRPr="005624E8">
        <w:rPr>
          <w:szCs w:val="26"/>
        </w:rPr>
        <w:t>s</w:t>
      </w:r>
      <w:r w:rsidR="005A6C76" w:rsidRPr="005624E8">
        <w:rPr>
          <w:szCs w:val="26"/>
        </w:rPr>
        <w:t xml:space="preserve"> of intent to file writ petition</w:t>
      </w:r>
      <w:r w:rsidR="00017F9F">
        <w:rPr>
          <w:szCs w:val="26"/>
        </w:rPr>
        <w:t>s</w:t>
      </w:r>
      <w:r w:rsidR="005A6C76" w:rsidRPr="005624E8">
        <w:rPr>
          <w:szCs w:val="26"/>
        </w:rPr>
        <w:t>.</w:t>
      </w:r>
      <w:r w:rsidR="00CA35D4" w:rsidRPr="005624E8">
        <w:rPr>
          <w:b/>
          <w:bCs/>
          <w:szCs w:val="26"/>
        </w:rPr>
        <w:t xml:space="preserve"> </w:t>
      </w:r>
    </w:p>
    <w:p w14:paraId="6C383010" w14:textId="539BBA29" w:rsidR="00D43FA7" w:rsidRDefault="00053863" w:rsidP="00D43FA7">
      <w:pPr>
        <w:keepNext/>
        <w:tabs>
          <w:tab w:val="left" w:pos="1440"/>
          <w:tab w:val="left" w:pos="2880"/>
          <w:tab w:val="left" w:pos="4320"/>
          <w:tab w:val="left" w:pos="5760"/>
          <w:tab w:val="left" w:pos="7200"/>
          <w:tab w:val="left" w:pos="8640"/>
        </w:tabs>
        <w:spacing w:before="240" w:line="480" w:lineRule="atLeast"/>
        <w:jc w:val="center"/>
        <w:rPr>
          <w:b/>
        </w:rPr>
      </w:pPr>
      <w:r>
        <w:rPr>
          <w:b/>
        </w:rPr>
        <w:t>DISCUSSION</w:t>
      </w:r>
    </w:p>
    <w:p w14:paraId="53A63104" w14:textId="5E11ED7A" w:rsidR="00D32BC5" w:rsidRDefault="00053863" w:rsidP="00055EB9">
      <w:pPr>
        <w:tabs>
          <w:tab w:val="left" w:pos="1440"/>
          <w:tab w:val="left" w:pos="2880"/>
          <w:tab w:val="left" w:pos="4320"/>
          <w:tab w:val="left" w:pos="5760"/>
          <w:tab w:val="left" w:pos="7200"/>
          <w:tab w:val="left" w:pos="8640"/>
        </w:tabs>
        <w:spacing w:line="480" w:lineRule="atLeast"/>
        <w:rPr>
          <w:b/>
        </w:rPr>
      </w:pPr>
      <w:r>
        <w:tab/>
        <w:t>Father and Mother challenge the juvenile court’s order terminating reunification services at the 18</w:t>
      </w:r>
      <w:r w:rsidR="000C6C14">
        <w:noBreakHyphen/>
      </w:r>
      <w:r>
        <w:t xml:space="preserve">month review hearing and setting a permanency hearing under </w:t>
      </w:r>
      <w:r>
        <w:t>section 366.26</w:t>
      </w:r>
      <w:r w:rsidR="00E61A9E">
        <w:t xml:space="preserve">.  </w:t>
      </w:r>
      <w:r w:rsidR="00E90D9B">
        <w:rPr>
          <w:bCs/>
        </w:rPr>
        <w:t>T</w:t>
      </w:r>
      <w:r w:rsidR="00ED1BFF">
        <w:rPr>
          <w:bCs/>
        </w:rPr>
        <w:t xml:space="preserve">hey assert they should have received additional </w:t>
      </w:r>
      <w:r w:rsidR="004A4671">
        <w:rPr>
          <w:bCs/>
        </w:rPr>
        <w:t xml:space="preserve">reunification </w:t>
      </w:r>
      <w:r w:rsidR="00ED1BFF">
        <w:rPr>
          <w:bCs/>
        </w:rPr>
        <w:t>services</w:t>
      </w:r>
      <w:r w:rsidR="00E90D9B">
        <w:rPr>
          <w:bCs/>
        </w:rPr>
        <w:t xml:space="preserve"> because they did not receive reasonable services in the most recent review period</w:t>
      </w:r>
      <w:r w:rsidR="00737036">
        <w:rPr>
          <w:bCs/>
        </w:rPr>
        <w:t>.</w:t>
      </w:r>
      <w:r w:rsidR="000C6C14">
        <w:rPr>
          <w:bCs/>
        </w:rPr>
        <w:t xml:space="preserve"> </w:t>
      </w:r>
      <w:r w:rsidR="00737036">
        <w:rPr>
          <w:bCs/>
        </w:rPr>
        <w:t xml:space="preserve"> </w:t>
      </w:r>
      <w:r w:rsidR="00736CC9">
        <w:rPr>
          <w:bCs/>
        </w:rPr>
        <w:t>Father further contends</w:t>
      </w:r>
      <w:r w:rsidR="000A24E9">
        <w:rPr>
          <w:bCs/>
        </w:rPr>
        <w:t xml:space="preserve"> there was a </w:t>
      </w:r>
      <w:r w:rsidR="00037558">
        <w:rPr>
          <w:bCs/>
        </w:rPr>
        <w:t xml:space="preserve">substantial probability that A.G. could be returned to </w:t>
      </w:r>
      <w:r w:rsidR="000A24E9">
        <w:rPr>
          <w:bCs/>
        </w:rPr>
        <w:t>him</w:t>
      </w:r>
      <w:r w:rsidR="00037558">
        <w:rPr>
          <w:bCs/>
        </w:rPr>
        <w:t xml:space="preserve"> with additional</w:t>
      </w:r>
      <w:r w:rsidR="000A24E9">
        <w:rPr>
          <w:bCs/>
        </w:rPr>
        <w:t xml:space="preserve"> services, and the court should have granted a continuance under section 352</w:t>
      </w:r>
      <w:r w:rsidR="00037558">
        <w:rPr>
          <w:bCs/>
        </w:rPr>
        <w:t>.</w:t>
      </w:r>
      <w:r w:rsidR="00254444">
        <w:rPr>
          <w:bCs/>
        </w:rPr>
        <w:t xml:space="preserve">  He also asserts he was denied due process.</w:t>
      </w:r>
    </w:p>
    <w:p w14:paraId="7CD10331" w14:textId="66011569" w:rsidR="00E50F49" w:rsidRPr="006947CF" w:rsidRDefault="00053863" w:rsidP="00055EB9">
      <w:pPr>
        <w:tabs>
          <w:tab w:val="left" w:pos="1440"/>
          <w:tab w:val="left" w:pos="2880"/>
          <w:tab w:val="left" w:pos="4320"/>
          <w:tab w:val="left" w:pos="5760"/>
          <w:tab w:val="left" w:pos="7200"/>
          <w:tab w:val="left" w:pos="8640"/>
        </w:tabs>
        <w:spacing w:line="480" w:lineRule="atLeast"/>
        <w:rPr>
          <w:bCs/>
        </w:rPr>
      </w:pPr>
      <w:r>
        <w:rPr>
          <w:bCs/>
        </w:rPr>
        <w:tab/>
      </w:r>
      <w:r w:rsidR="00523C77">
        <w:rPr>
          <w:bCs/>
        </w:rPr>
        <w:t xml:space="preserve">Although we normally </w:t>
      </w:r>
      <w:r w:rsidR="0036229E">
        <w:rPr>
          <w:bCs/>
        </w:rPr>
        <w:t xml:space="preserve">review </w:t>
      </w:r>
      <w:r w:rsidR="00523C77">
        <w:rPr>
          <w:bCs/>
        </w:rPr>
        <w:t>an</w:t>
      </w:r>
      <w:r w:rsidR="0036229E">
        <w:rPr>
          <w:bCs/>
        </w:rPr>
        <w:t xml:space="preserve"> o</w:t>
      </w:r>
      <w:r w:rsidR="0036229E" w:rsidRPr="006947CF">
        <w:rPr>
          <w:bCs/>
        </w:rPr>
        <w:t xml:space="preserve">rder </w:t>
      </w:r>
      <w:r w:rsidR="004A4671">
        <w:rPr>
          <w:bCs/>
        </w:rPr>
        <w:t>terminat</w:t>
      </w:r>
      <w:r w:rsidR="0036229E" w:rsidRPr="006947CF">
        <w:rPr>
          <w:bCs/>
        </w:rPr>
        <w:t>ing reunification services for substantial evidence</w:t>
      </w:r>
      <w:r w:rsidR="0036229E">
        <w:rPr>
          <w:bCs/>
        </w:rPr>
        <w:t xml:space="preserve"> (</w:t>
      </w:r>
      <w:bookmarkStart w:id="1" w:name="dabmci_a2c1d9cd66954548affc105cd73c9952"/>
      <w:r w:rsidR="0036229E" w:rsidRPr="00CC293C">
        <w:rPr>
          <w:bCs/>
          <w:i/>
          <w:iCs/>
        </w:rPr>
        <w:t>In re M.S.</w:t>
      </w:r>
      <w:r w:rsidR="0036229E" w:rsidRPr="006947CF">
        <w:rPr>
          <w:bCs/>
        </w:rPr>
        <w:t xml:space="preserve"> (2019) 41 Cal.App.5th 568, 580</w:t>
      </w:r>
      <w:bookmarkEnd w:id="1"/>
      <w:r w:rsidR="00523C77">
        <w:rPr>
          <w:bCs/>
        </w:rPr>
        <w:t>), w</w:t>
      </w:r>
      <w:r w:rsidR="00895EC3">
        <w:rPr>
          <w:bCs/>
        </w:rPr>
        <w:t>e review the interpretation and application of the dependency statutes de novo</w:t>
      </w:r>
      <w:r w:rsidR="000C6C14">
        <w:rPr>
          <w:bCs/>
        </w:rPr>
        <w:t xml:space="preserve"> </w:t>
      </w:r>
      <w:r w:rsidR="00895EC3">
        <w:rPr>
          <w:bCs/>
        </w:rPr>
        <w:t>(</w:t>
      </w:r>
      <w:bookmarkStart w:id="2" w:name="dabmci_db4fdf5299d14f88bb0f721ff24b4ca9"/>
      <w:r w:rsidR="00895EC3" w:rsidRPr="00CC293C">
        <w:rPr>
          <w:bCs/>
          <w:i/>
          <w:iCs/>
        </w:rPr>
        <w:t>In re M.F.</w:t>
      </w:r>
      <w:r w:rsidR="00895EC3" w:rsidRPr="00CC293C">
        <w:rPr>
          <w:bCs/>
        </w:rPr>
        <w:t xml:space="preserve"> (2019) </w:t>
      </w:r>
      <w:r w:rsidR="00895EC3" w:rsidRPr="00CC293C">
        <w:rPr>
          <w:bCs/>
        </w:rPr>
        <w:lastRenderedPageBreak/>
        <w:t>32</w:t>
      </w:r>
      <w:r w:rsidR="000C6C14">
        <w:rPr>
          <w:bCs/>
        </w:rPr>
        <w:t> </w:t>
      </w:r>
      <w:r w:rsidR="00895EC3" w:rsidRPr="00CC293C">
        <w:rPr>
          <w:bCs/>
        </w:rPr>
        <w:t>Cal.App.5th 1, 18</w:t>
      </w:r>
      <w:r w:rsidR="00800B8A">
        <w:rPr>
          <w:bCs/>
        </w:rPr>
        <w:t xml:space="preserve"> (</w:t>
      </w:r>
      <w:r w:rsidR="00800B8A">
        <w:rPr>
          <w:bCs/>
          <w:i/>
          <w:iCs/>
        </w:rPr>
        <w:t>M.F.</w:t>
      </w:r>
      <w:r w:rsidR="00800B8A">
        <w:rPr>
          <w:bCs/>
        </w:rPr>
        <w:t>)</w:t>
      </w:r>
      <w:bookmarkEnd w:id="2"/>
      <w:r w:rsidR="00895EC3">
        <w:rPr>
          <w:bCs/>
        </w:rPr>
        <w:t>)</w:t>
      </w:r>
      <w:r w:rsidR="000C6C14">
        <w:rPr>
          <w:bCs/>
        </w:rPr>
        <w:t>.</w:t>
      </w:r>
      <w:r w:rsidR="00895EC3">
        <w:rPr>
          <w:bCs/>
        </w:rPr>
        <w:t xml:space="preserve">  </w:t>
      </w:r>
      <w:r w:rsidR="00D96479">
        <w:rPr>
          <w:bCs/>
        </w:rPr>
        <w:t>W</w:t>
      </w:r>
      <w:r w:rsidR="00B3040A">
        <w:rPr>
          <w:bCs/>
        </w:rPr>
        <w:t xml:space="preserve">e review the denial of a continuance request for abuse of discretion.  (See </w:t>
      </w:r>
      <w:bookmarkStart w:id="3" w:name="dabmci_8432aaa5232440fe81f336cc5a02cdcc"/>
      <w:r w:rsidR="00B3040A" w:rsidRPr="00B3040A">
        <w:rPr>
          <w:bCs/>
          <w:i/>
          <w:iCs/>
        </w:rPr>
        <w:t>In re J.E</w:t>
      </w:r>
      <w:r w:rsidR="00B3040A" w:rsidRPr="00B3040A">
        <w:rPr>
          <w:bCs/>
        </w:rPr>
        <w:t>. (2016) 3 Cal.App.5th 557, 567</w:t>
      </w:r>
      <w:bookmarkEnd w:id="3"/>
      <w:r w:rsidR="00B3040A">
        <w:rPr>
          <w:bCs/>
        </w:rPr>
        <w:t>.)</w:t>
      </w:r>
    </w:p>
    <w:p w14:paraId="727DA59F" w14:textId="70D04D24" w:rsidR="000C6A38" w:rsidRPr="002866F0" w:rsidRDefault="00053863" w:rsidP="00055EB9">
      <w:pPr>
        <w:tabs>
          <w:tab w:val="left" w:pos="1440"/>
          <w:tab w:val="left" w:pos="2880"/>
          <w:tab w:val="left" w:pos="4320"/>
          <w:tab w:val="left" w:pos="5760"/>
          <w:tab w:val="left" w:pos="7200"/>
          <w:tab w:val="left" w:pos="8640"/>
        </w:tabs>
        <w:spacing w:line="480" w:lineRule="atLeast"/>
        <w:rPr>
          <w:szCs w:val="26"/>
        </w:rPr>
      </w:pPr>
      <w:r>
        <w:rPr>
          <w:bCs/>
        </w:rPr>
        <w:tab/>
      </w:r>
      <w:r w:rsidR="00EC59EA">
        <w:rPr>
          <w:szCs w:val="26"/>
        </w:rPr>
        <w:t>Before addressing th</w:t>
      </w:r>
      <w:r>
        <w:rPr>
          <w:szCs w:val="26"/>
        </w:rPr>
        <w:t>e issues</w:t>
      </w:r>
      <w:r w:rsidR="00CC293C">
        <w:rPr>
          <w:szCs w:val="26"/>
        </w:rPr>
        <w:t xml:space="preserve"> raised on appeal</w:t>
      </w:r>
      <w:r w:rsidR="00EC59EA">
        <w:rPr>
          <w:szCs w:val="26"/>
        </w:rPr>
        <w:t xml:space="preserve">, we begin with a brief overview of the statutory </w:t>
      </w:r>
      <w:r w:rsidR="0074381F">
        <w:rPr>
          <w:szCs w:val="26"/>
        </w:rPr>
        <w:t>provisions governing</w:t>
      </w:r>
      <w:r w:rsidR="00EC59EA">
        <w:rPr>
          <w:szCs w:val="26"/>
        </w:rPr>
        <w:t xml:space="preserve"> </w:t>
      </w:r>
      <w:r>
        <w:rPr>
          <w:szCs w:val="26"/>
        </w:rPr>
        <w:t xml:space="preserve">the </w:t>
      </w:r>
      <w:r w:rsidR="00521797">
        <w:rPr>
          <w:szCs w:val="26"/>
        </w:rPr>
        <w:t xml:space="preserve">duration </w:t>
      </w:r>
      <w:r w:rsidR="00CB0281">
        <w:rPr>
          <w:szCs w:val="26"/>
        </w:rPr>
        <w:t xml:space="preserve">of </w:t>
      </w:r>
      <w:r w:rsidR="004C3467">
        <w:rPr>
          <w:szCs w:val="26"/>
        </w:rPr>
        <w:t xml:space="preserve">reunification services and </w:t>
      </w:r>
      <w:r w:rsidR="00521797">
        <w:rPr>
          <w:szCs w:val="26"/>
        </w:rPr>
        <w:t xml:space="preserve">the time for setting section 366.26 </w:t>
      </w:r>
      <w:r w:rsidR="00AB7372">
        <w:rPr>
          <w:szCs w:val="26"/>
        </w:rPr>
        <w:t xml:space="preserve">hearings.  </w:t>
      </w:r>
      <w:r w:rsidRPr="002866F0">
        <w:rPr>
          <w:szCs w:val="26"/>
        </w:rPr>
        <w:t>“As a general rule, when a child is removed from parental custody under the dependency statutes, the juvenile court is required to provide reunification services pursuant to section 361.</w:t>
      </w:r>
      <w:r w:rsidRPr="002866F0">
        <w:rPr>
          <w:szCs w:val="26"/>
        </w:rPr>
        <w:t xml:space="preserve">5 to ‘the child and the child’s mother and statutorily presumed father.’ </w:t>
      </w:r>
      <w:r w:rsidR="00254444">
        <w:rPr>
          <w:szCs w:val="26"/>
        </w:rPr>
        <w:t xml:space="preserve"> </w:t>
      </w:r>
      <w:r w:rsidRPr="002866F0">
        <w:rPr>
          <w:szCs w:val="26"/>
        </w:rPr>
        <w:t>(§</w:t>
      </w:r>
      <w:r w:rsidR="000C6C14">
        <w:rPr>
          <w:szCs w:val="26"/>
        </w:rPr>
        <w:t> </w:t>
      </w:r>
      <w:r w:rsidRPr="002866F0">
        <w:rPr>
          <w:szCs w:val="26"/>
        </w:rPr>
        <w:t>361.5, subd.</w:t>
      </w:r>
      <w:r w:rsidR="000C6C14">
        <w:rPr>
          <w:szCs w:val="26"/>
        </w:rPr>
        <w:t> </w:t>
      </w:r>
      <w:r w:rsidRPr="002866F0">
        <w:rPr>
          <w:szCs w:val="26"/>
        </w:rPr>
        <w:t xml:space="preserve">(a).)  The purpose of these reunification services is ‘to facilitate the return of a dependent child to parental custody.’ </w:t>
      </w:r>
      <w:r w:rsidR="00C16AF7">
        <w:rPr>
          <w:szCs w:val="26"/>
        </w:rPr>
        <w:t xml:space="preserve"> </w:t>
      </w:r>
      <w:r w:rsidRPr="002866F0">
        <w:rPr>
          <w:szCs w:val="26"/>
        </w:rPr>
        <w:t xml:space="preserve">[Citations.]  Unless an express exemption </w:t>
      </w:r>
      <w:r w:rsidRPr="002866F0">
        <w:rPr>
          <w:szCs w:val="26"/>
        </w:rPr>
        <w:t>exists, reunification services provided pursuant to section</w:t>
      </w:r>
      <w:r w:rsidR="000C6C14">
        <w:rPr>
          <w:szCs w:val="26"/>
        </w:rPr>
        <w:t> </w:t>
      </w:r>
      <w:r w:rsidRPr="002866F0">
        <w:rPr>
          <w:szCs w:val="26"/>
        </w:rPr>
        <w:t xml:space="preserve">361.5 are mandatory, subject to strict timelines, and monitored through periodic court reviews at which parents are admonished that failure to participate successfully in </w:t>
      </w:r>
      <w:r w:rsidRPr="002866F0">
        <w:rPr>
          <w:szCs w:val="26"/>
        </w:rPr>
        <w:t>reunification efforts could lead to the termination of their parental rights.  (§§</w:t>
      </w:r>
      <w:r w:rsidR="000C6C14">
        <w:rPr>
          <w:szCs w:val="26"/>
        </w:rPr>
        <w:t> </w:t>
      </w:r>
      <w:r w:rsidRPr="002866F0">
        <w:rPr>
          <w:szCs w:val="26"/>
        </w:rPr>
        <w:t>361.5, 366.21, 366.22.)”  (</w:t>
      </w:r>
      <w:bookmarkStart w:id="4" w:name="dabmci_9876d8cd8c8043028c03dba0ec74e388"/>
      <w:r w:rsidRPr="002866F0">
        <w:rPr>
          <w:i/>
          <w:iCs/>
          <w:szCs w:val="26"/>
        </w:rPr>
        <w:t>In re Jaden E.</w:t>
      </w:r>
      <w:r w:rsidRPr="002866F0">
        <w:rPr>
          <w:szCs w:val="26"/>
        </w:rPr>
        <w:t xml:space="preserve"> (2014) 229 Cal.App.4th 1277, 1281</w:t>
      </w:r>
      <w:bookmarkEnd w:id="4"/>
      <w:r w:rsidRPr="002866F0">
        <w:rPr>
          <w:szCs w:val="26"/>
        </w:rPr>
        <w:t xml:space="preserve">.)  </w:t>
      </w:r>
    </w:p>
    <w:p w14:paraId="4177876F" w14:textId="545C5B18" w:rsidR="00F229EB" w:rsidRDefault="00053863" w:rsidP="00055EB9">
      <w:pPr>
        <w:tabs>
          <w:tab w:val="left" w:pos="1440"/>
          <w:tab w:val="left" w:pos="2880"/>
          <w:tab w:val="left" w:pos="4320"/>
          <w:tab w:val="left" w:pos="5760"/>
          <w:tab w:val="left" w:pos="7200"/>
          <w:tab w:val="left" w:pos="8640"/>
        </w:tabs>
        <w:spacing w:line="480" w:lineRule="atLeast"/>
        <w:rPr>
          <w:bCs/>
        </w:rPr>
      </w:pPr>
      <w:r>
        <w:rPr>
          <w:b/>
        </w:rPr>
        <w:tab/>
      </w:r>
      <w:r w:rsidR="00B2191D" w:rsidRPr="00B2191D">
        <w:rPr>
          <w:bCs/>
        </w:rPr>
        <w:t>T</w:t>
      </w:r>
      <w:r w:rsidR="00250346" w:rsidRPr="00B2191D">
        <w:rPr>
          <w:bCs/>
        </w:rPr>
        <w:t>he</w:t>
      </w:r>
      <w:r w:rsidR="00250346">
        <w:rPr>
          <w:bCs/>
        </w:rPr>
        <w:t xml:space="preserve"> parent and child </w:t>
      </w:r>
      <w:r w:rsidR="00B2191D">
        <w:rPr>
          <w:bCs/>
        </w:rPr>
        <w:t xml:space="preserve">typically receive </w:t>
      </w:r>
      <w:r w:rsidR="008960F4">
        <w:rPr>
          <w:szCs w:val="26"/>
        </w:rPr>
        <w:t>up to</w:t>
      </w:r>
      <w:r w:rsidR="000B28F0">
        <w:rPr>
          <w:szCs w:val="26"/>
        </w:rPr>
        <w:t xml:space="preserve"> </w:t>
      </w:r>
      <w:r w:rsidR="00590E34" w:rsidRPr="002866F0">
        <w:rPr>
          <w:szCs w:val="26"/>
        </w:rPr>
        <w:t>12 months of reunification services</w:t>
      </w:r>
      <w:r w:rsidR="00250346">
        <w:rPr>
          <w:szCs w:val="26"/>
        </w:rPr>
        <w:t xml:space="preserve">.  </w:t>
      </w:r>
      <w:r w:rsidR="001322CA" w:rsidRPr="00350F70">
        <w:rPr>
          <w:bCs/>
        </w:rPr>
        <w:t>(§</w:t>
      </w:r>
      <w:r w:rsidR="000C6C14">
        <w:rPr>
          <w:bCs/>
        </w:rPr>
        <w:t> </w:t>
      </w:r>
      <w:r w:rsidR="001322CA" w:rsidRPr="00350F70">
        <w:rPr>
          <w:bCs/>
        </w:rPr>
        <w:t xml:space="preserve">361.5, subd. </w:t>
      </w:r>
      <w:r w:rsidR="001322CA" w:rsidRPr="00141192">
        <w:rPr>
          <w:bCs/>
        </w:rPr>
        <w:t>(a)(1)(A)</w:t>
      </w:r>
      <w:r w:rsidR="003756A6">
        <w:rPr>
          <w:bCs/>
        </w:rPr>
        <w:t xml:space="preserve"> [</w:t>
      </w:r>
      <w:r w:rsidR="00D64527">
        <w:rPr>
          <w:bCs/>
        </w:rPr>
        <w:t xml:space="preserve">for </w:t>
      </w:r>
      <w:r w:rsidR="000C0BBC">
        <w:rPr>
          <w:bCs/>
        </w:rPr>
        <w:t xml:space="preserve">a </w:t>
      </w:r>
      <w:r w:rsidR="00D64527">
        <w:rPr>
          <w:bCs/>
        </w:rPr>
        <w:t xml:space="preserve">child age </w:t>
      </w:r>
      <w:r w:rsidR="000C6C14">
        <w:rPr>
          <w:bCs/>
        </w:rPr>
        <w:t>three</w:t>
      </w:r>
      <w:r w:rsidR="00D64527">
        <w:rPr>
          <w:bCs/>
        </w:rPr>
        <w:t xml:space="preserve"> or older, “</w:t>
      </w:r>
      <w:r w:rsidR="003756A6" w:rsidRPr="003756A6">
        <w:rPr>
          <w:bCs/>
        </w:rPr>
        <w:t>court-ordered services shall be provided beginning with the dispositional hearing and ending 12 months after the date the child entered foster care as provided in Section 361.49, unless the child is returned to the home of the parent or guardian</w:t>
      </w:r>
      <w:r w:rsidR="00D64527">
        <w:rPr>
          <w:bCs/>
        </w:rPr>
        <w:t>”].</w:t>
      </w:r>
      <w:r w:rsidR="001322CA" w:rsidRPr="00141192">
        <w:rPr>
          <w:bCs/>
        </w:rPr>
        <w:t xml:space="preserve">)  </w:t>
      </w:r>
      <w:r w:rsidR="00452166">
        <w:rPr>
          <w:bCs/>
        </w:rPr>
        <w:t>The juvenile court may extend s</w:t>
      </w:r>
      <w:r w:rsidR="00452166" w:rsidRPr="00141192">
        <w:rPr>
          <w:bCs/>
        </w:rPr>
        <w:t>ervices</w:t>
      </w:r>
      <w:r w:rsidR="00452166">
        <w:rPr>
          <w:bCs/>
        </w:rPr>
        <w:t xml:space="preserve"> up to 18 months, however, </w:t>
      </w:r>
      <w:r w:rsidR="00452166" w:rsidRPr="00141192">
        <w:rPr>
          <w:bCs/>
        </w:rPr>
        <w:t xml:space="preserve">if </w:t>
      </w:r>
      <w:r w:rsidR="00452166">
        <w:rPr>
          <w:bCs/>
        </w:rPr>
        <w:t xml:space="preserve">it </w:t>
      </w:r>
      <w:r w:rsidR="00452166" w:rsidRPr="00141192">
        <w:rPr>
          <w:bCs/>
        </w:rPr>
        <w:t>finds there is a substantial probability the child will be returned to the parent’s custody within the extended time period</w:t>
      </w:r>
      <w:r w:rsidR="00452166">
        <w:rPr>
          <w:bCs/>
        </w:rPr>
        <w:t>,</w:t>
      </w:r>
      <w:r w:rsidR="00452166" w:rsidRPr="00141192">
        <w:rPr>
          <w:bCs/>
        </w:rPr>
        <w:t xml:space="preserve"> or </w:t>
      </w:r>
      <w:r w:rsidR="00452166">
        <w:rPr>
          <w:bCs/>
        </w:rPr>
        <w:t>if it finds</w:t>
      </w:r>
      <w:r w:rsidR="00452166" w:rsidRPr="00141192">
        <w:rPr>
          <w:bCs/>
        </w:rPr>
        <w:t xml:space="preserve"> reasonable services </w:t>
      </w:r>
      <w:r w:rsidR="00452166">
        <w:rPr>
          <w:bCs/>
        </w:rPr>
        <w:t>were not</w:t>
      </w:r>
      <w:r w:rsidR="00452166" w:rsidRPr="00141192">
        <w:rPr>
          <w:bCs/>
        </w:rPr>
        <w:t xml:space="preserve"> provided.  (§ 361.5, subd. (a)(3)(A)</w:t>
      </w:r>
      <w:r w:rsidR="00452166">
        <w:rPr>
          <w:bCs/>
        </w:rPr>
        <w:t>; see also §§ 366.21, subd. (g)(1), 366.22, subd. (a)(1)</w:t>
      </w:r>
      <w:r w:rsidR="00452166" w:rsidRPr="00141192">
        <w:rPr>
          <w:bCs/>
        </w:rPr>
        <w:t>.)</w:t>
      </w:r>
      <w:r w:rsidR="00452166">
        <w:rPr>
          <w:bCs/>
        </w:rPr>
        <w:t xml:space="preserve">  </w:t>
      </w:r>
    </w:p>
    <w:p w14:paraId="15886CCD" w14:textId="0D478920" w:rsidR="003D3D89" w:rsidRDefault="00053863" w:rsidP="00055EB9">
      <w:pPr>
        <w:tabs>
          <w:tab w:val="left" w:pos="1440"/>
          <w:tab w:val="left" w:pos="2880"/>
          <w:tab w:val="left" w:pos="4320"/>
          <w:tab w:val="left" w:pos="5760"/>
          <w:tab w:val="left" w:pos="7200"/>
          <w:tab w:val="left" w:pos="8640"/>
        </w:tabs>
        <w:spacing w:line="480" w:lineRule="atLeast"/>
        <w:rPr>
          <w:bCs/>
        </w:rPr>
      </w:pPr>
      <w:r>
        <w:rPr>
          <w:bCs/>
        </w:rPr>
        <w:tab/>
        <w:t>I</w:t>
      </w:r>
      <w:r w:rsidR="00312DD6">
        <w:rPr>
          <w:bCs/>
        </w:rPr>
        <w:t xml:space="preserve">f the case is so </w:t>
      </w:r>
      <w:r w:rsidR="00312DD6" w:rsidRPr="00312DD6">
        <w:rPr>
          <w:bCs/>
        </w:rPr>
        <w:t>continued,</w:t>
      </w:r>
      <w:r w:rsidR="00C06FB3">
        <w:rPr>
          <w:bCs/>
        </w:rPr>
        <w:t xml:space="preserve"> </w:t>
      </w:r>
      <w:r w:rsidR="00F4523A">
        <w:rPr>
          <w:bCs/>
        </w:rPr>
        <w:t xml:space="preserve">at </w:t>
      </w:r>
      <w:r w:rsidR="00312DD6" w:rsidRPr="00312DD6">
        <w:rPr>
          <w:bCs/>
        </w:rPr>
        <w:t>the 18</w:t>
      </w:r>
      <w:r w:rsidR="00C06FB3">
        <w:rPr>
          <w:bCs/>
        </w:rPr>
        <w:t>-</w:t>
      </w:r>
      <w:r w:rsidR="00312DD6" w:rsidRPr="00312DD6">
        <w:rPr>
          <w:bCs/>
        </w:rPr>
        <w:t xml:space="preserve">month permanency review </w:t>
      </w:r>
      <w:r w:rsidR="00A57B81" w:rsidRPr="00A57B81">
        <w:rPr>
          <w:bCs/>
        </w:rPr>
        <w:t>hearing,</w:t>
      </w:r>
      <w:r w:rsidR="006B3848">
        <w:rPr>
          <w:bCs/>
        </w:rPr>
        <w:t xml:space="preserve"> th</w:t>
      </w:r>
      <w:r w:rsidR="00493439">
        <w:rPr>
          <w:bCs/>
        </w:rPr>
        <w:t>e</w:t>
      </w:r>
      <w:r w:rsidR="00A57B81" w:rsidRPr="00A57B81">
        <w:rPr>
          <w:bCs/>
        </w:rPr>
        <w:t xml:space="preserve"> </w:t>
      </w:r>
      <w:r w:rsidR="0097645F">
        <w:rPr>
          <w:bCs/>
        </w:rPr>
        <w:t xml:space="preserve">juvenile </w:t>
      </w:r>
      <w:r w:rsidR="00A57B81" w:rsidRPr="00A57B81">
        <w:rPr>
          <w:bCs/>
        </w:rPr>
        <w:t xml:space="preserve">court </w:t>
      </w:r>
      <w:r w:rsidR="0097645F">
        <w:rPr>
          <w:bCs/>
        </w:rPr>
        <w:t>must “</w:t>
      </w:r>
      <w:r w:rsidR="00A57B81" w:rsidRPr="00A57B81">
        <w:rPr>
          <w:bCs/>
        </w:rPr>
        <w:t>order the return of the child to the physical custody of his or her parent .</w:t>
      </w:r>
      <w:r w:rsidR="00493439">
        <w:rPr>
          <w:bCs/>
        </w:rPr>
        <w:t xml:space="preserve"> </w:t>
      </w:r>
      <w:r w:rsidR="00A57B81" w:rsidRPr="00A57B81">
        <w:rPr>
          <w:bCs/>
        </w:rPr>
        <w:t>.</w:t>
      </w:r>
      <w:r w:rsidR="00493439">
        <w:rPr>
          <w:bCs/>
        </w:rPr>
        <w:t xml:space="preserve"> </w:t>
      </w:r>
      <w:r w:rsidR="00A57B81" w:rsidRPr="00A57B81">
        <w:rPr>
          <w:bCs/>
        </w:rPr>
        <w:t>. unless the court finds, by a preponderance of the evidence, that the return of the child to his or her parent .</w:t>
      </w:r>
      <w:r w:rsidR="006B3848">
        <w:rPr>
          <w:bCs/>
        </w:rPr>
        <w:t xml:space="preserve"> </w:t>
      </w:r>
      <w:r w:rsidR="00A57B81" w:rsidRPr="00A57B81">
        <w:rPr>
          <w:bCs/>
        </w:rPr>
        <w:t>.</w:t>
      </w:r>
      <w:r w:rsidR="006B3848">
        <w:rPr>
          <w:bCs/>
        </w:rPr>
        <w:t xml:space="preserve"> </w:t>
      </w:r>
      <w:r w:rsidR="00A57B81" w:rsidRPr="00A57B81">
        <w:rPr>
          <w:bCs/>
        </w:rPr>
        <w:t xml:space="preserve">. would create a substantial risk of detriment to the safety, </w:t>
      </w:r>
      <w:r w:rsidR="00A57B81" w:rsidRPr="00A57B81">
        <w:rPr>
          <w:bCs/>
        </w:rPr>
        <w:lastRenderedPageBreak/>
        <w:t>protection, or physical or emotional well-being of the child.</w:t>
      </w:r>
      <w:r w:rsidR="00493439">
        <w:rPr>
          <w:bCs/>
        </w:rPr>
        <w:t xml:space="preserve">”  </w:t>
      </w:r>
      <w:r w:rsidR="00A57B81" w:rsidRPr="00A57B81">
        <w:rPr>
          <w:bCs/>
        </w:rPr>
        <w:t>(§ 366.22, subd. (a)(1).)</w:t>
      </w:r>
      <w:r w:rsidR="00312DD6" w:rsidRPr="00312DD6">
        <w:rPr>
          <w:bCs/>
        </w:rPr>
        <w:t xml:space="preserve"> </w:t>
      </w:r>
      <w:r w:rsidR="00705E40">
        <w:rPr>
          <w:bCs/>
        </w:rPr>
        <w:t xml:space="preserve"> </w:t>
      </w:r>
      <w:r w:rsidR="008E0A99">
        <w:rPr>
          <w:bCs/>
        </w:rPr>
        <w:t>I</w:t>
      </w:r>
      <w:r w:rsidR="00705E40">
        <w:rPr>
          <w:bCs/>
        </w:rPr>
        <w:t xml:space="preserve">f the child is not returned to the parent’s custody </w:t>
      </w:r>
      <w:r w:rsidR="00705E40" w:rsidRPr="00312DD6">
        <w:rPr>
          <w:bCs/>
        </w:rPr>
        <w:t>at</w:t>
      </w:r>
      <w:r w:rsidR="0097645F">
        <w:rPr>
          <w:bCs/>
        </w:rPr>
        <w:t xml:space="preserve"> that </w:t>
      </w:r>
      <w:r w:rsidR="00705E40">
        <w:rPr>
          <w:bCs/>
        </w:rPr>
        <w:t xml:space="preserve">hearing, the court </w:t>
      </w:r>
      <w:r w:rsidR="008E0A99">
        <w:rPr>
          <w:bCs/>
        </w:rPr>
        <w:t>must</w:t>
      </w:r>
      <w:r w:rsidR="00705E40">
        <w:rPr>
          <w:bCs/>
          <w:szCs w:val="26"/>
        </w:rPr>
        <w:t xml:space="preserve"> terminate reunification services and set</w:t>
      </w:r>
      <w:r w:rsidR="00705E40" w:rsidRPr="00776B42">
        <w:rPr>
          <w:bCs/>
          <w:szCs w:val="26"/>
        </w:rPr>
        <w:t xml:space="preserve"> a section 366.26 hearing.  </w:t>
      </w:r>
      <w:r w:rsidR="00665054">
        <w:rPr>
          <w:bCs/>
          <w:szCs w:val="26"/>
        </w:rPr>
        <w:t>(</w:t>
      </w:r>
      <w:bookmarkStart w:id="5" w:name="dabmci_b68e4f17d32c4f41a1dcfa81358bdcf4"/>
      <w:r w:rsidR="00665054">
        <w:rPr>
          <w:bCs/>
          <w:i/>
          <w:iCs/>
          <w:szCs w:val="26"/>
        </w:rPr>
        <w:t>Id.</w:t>
      </w:r>
      <w:r w:rsidR="00705E40" w:rsidRPr="00776B42">
        <w:rPr>
          <w:bCs/>
          <w:szCs w:val="26"/>
        </w:rPr>
        <w:t>,</w:t>
      </w:r>
      <w:bookmarkEnd w:id="5"/>
      <w:r w:rsidR="00705E40" w:rsidRPr="00776B42">
        <w:rPr>
          <w:bCs/>
          <w:szCs w:val="26"/>
        </w:rPr>
        <w:t xml:space="preserve"> subd. (a)(3)</w:t>
      </w:r>
      <w:r w:rsidR="00705E40">
        <w:rPr>
          <w:bCs/>
          <w:szCs w:val="26"/>
        </w:rPr>
        <w:t xml:space="preserve">.)  </w:t>
      </w:r>
    </w:p>
    <w:p w14:paraId="2733CAA7" w14:textId="59FAFCDB" w:rsidR="00F57DFF" w:rsidRPr="00B934B1" w:rsidRDefault="00053863" w:rsidP="00055EB9">
      <w:pPr>
        <w:tabs>
          <w:tab w:val="left" w:pos="1440"/>
          <w:tab w:val="left" w:pos="2880"/>
          <w:tab w:val="left" w:pos="4320"/>
          <w:tab w:val="left" w:pos="5760"/>
          <w:tab w:val="left" w:pos="7200"/>
          <w:tab w:val="left" w:pos="8640"/>
        </w:tabs>
        <w:spacing w:line="480" w:lineRule="atLeast"/>
        <w:rPr>
          <w:bCs/>
        </w:rPr>
      </w:pPr>
      <w:r>
        <w:rPr>
          <w:bCs/>
        </w:rPr>
        <w:tab/>
      </w:r>
      <w:r w:rsidR="0074381F">
        <w:rPr>
          <w:bCs/>
        </w:rPr>
        <w:t>However,</w:t>
      </w:r>
      <w:r w:rsidR="0012120D">
        <w:rPr>
          <w:bCs/>
        </w:rPr>
        <w:t xml:space="preserve"> a</w:t>
      </w:r>
      <w:r w:rsidR="008E0A99">
        <w:rPr>
          <w:bCs/>
        </w:rPr>
        <w:t xml:space="preserve"> </w:t>
      </w:r>
      <w:r w:rsidR="00442B73">
        <w:rPr>
          <w:bCs/>
        </w:rPr>
        <w:t>narrow</w:t>
      </w:r>
      <w:r w:rsidR="008E0A99">
        <w:rPr>
          <w:bCs/>
        </w:rPr>
        <w:t xml:space="preserve"> exception </w:t>
      </w:r>
      <w:r w:rsidR="0074381F">
        <w:rPr>
          <w:bCs/>
        </w:rPr>
        <w:t>a</w:t>
      </w:r>
      <w:r w:rsidR="0012120D">
        <w:rPr>
          <w:bCs/>
        </w:rPr>
        <w:t>llows the continuation of services</w:t>
      </w:r>
      <w:r w:rsidR="00387E61">
        <w:rPr>
          <w:bCs/>
        </w:rPr>
        <w:t xml:space="preserve"> </w:t>
      </w:r>
      <w:r w:rsidR="000C6C14">
        <w:rPr>
          <w:bCs/>
        </w:rPr>
        <w:t>under</w:t>
      </w:r>
      <w:r w:rsidR="00387E61">
        <w:rPr>
          <w:bCs/>
        </w:rPr>
        <w:t xml:space="preserve"> </w:t>
      </w:r>
      <w:r w:rsidR="0074381F">
        <w:rPr>
          <w:bCs/>
        </w:rPr>
        <w:t xml:space="preserve">certain </w:t>
      </w:r>
      <w:r w:rsidR="00471E97">
        <w:rPr>
          <w:bCs/>
        </w:rPr>
        <w:t xml:space="preserve">exceptional </w:t>
      </w:r>
      <w:r w:rsidR="00387E61">
        <w:rPr>
          <w:bCs/>
        </w:rPr>
        <w:t>circumstances</w:t>
      </w:r>
      <w:r w:rsidR="00E92125">
        <w:rPr>
          <w:bCs/>
        </w:rPr>
        <w:t xml:space="preserve">: </w:t>
      </w:r>
      <w:r w:rsidR="00387E61">
        <w:rPr>
          <w:bCs/>
        </w:rPr>
        <w:t xml:space="preserve"> </w:t>
      </w:r>
      <w:r w:rsidR="000C6C14">
        <w:rPr>
          <w:bCs/>
        </w:rPr>
        <w:t>pursuant to</w:t>
      </w:r>
      <w:r w:rsidR="00387E61">
        <w:rPr>
          <w:bCs/>
        </w:rPr>
        <w:t xml:space="preserve"> </w:t>
      </w:r>
      <w:r w:rsidR="00387E61" w:rsidRPr="00B934B1">
        <w:rPr>
          <w:bCs/>
        </w:rPr>
        <w:t>subdivision (b) of section 366.22</w:t>
      </w:r>
      <w:r w:rsidR="00387E61">
        <w:rPr>
          <w:bCs/>
        </w:rPr>
        <w:t>,</w:t>
      </w:r>
      <w:r w:rsidR="00387E61" w:rsidRPr="00B934B1">
        <w:rPr>
          <w:bCs/>
        </w:rPr>
        <w:t xml:space="preserve"> </w:t>
      </w:r>
      <w:r w:rsidR="00442B73">
        <w:rPr>
          <w:bCs/>
        </w:rPr>
        <w:t>i</w:t>
      </w:r>
      <w:r w:rsidRPr="00B934B1">
        <w:rPr>
          <w:bCs/>
        </w:rPr>
        <w:t>f</w:t>
      </w:r>
      <w:r w:rsidR="00BD7A63" w:rsidRPr="00B934B1">
        <w:rPr>
          <w:bCs/>
        </w:rPr>
        <w:t xml:space="preserve"> </w:t>
      </w:r>
      <w:r w:rsidR="00DE4885" w:rsidRPr="00B934B1">
        <w:rPr>
          <w:bCs/>
        </w:rPr>
        <w:t xml:space="preserve">the juvenile court </w:t>
      </w:r>
      <w:r w:rsidR="0075454A" w:rsidRPr="00B934B1">
        <w:rPr>
          <w:bCs/>
        </w:rPr>
        <w:t>determine</w:t>
      </w:r>
      <w:r w:rsidR="00DE47C9" w:rsidRPr="00B934B1">
        <w:rPr>
          <w:bCs/>
        </w:rPr>
        <w:t>s</w:t>
      </w:r>
      <w:r w:rsidR="0075454A" w:rsidRPr="00B934B1">
        <w:rPr>
          <w:bCs/>
        </w:rPr>
        <w:t xml:space="preserve"> </w:t>
      </w:r>
      <w:r w:rsidR="00E850E8" w:rsidRPr="00B934B1">
        <w:rPr>
          <w:bCs/>
        </w:rPr>
        <w:t>at the 18</w:t>
      </w:r>
      <w:r w:rsidR="000C6C14">
        <w:rPr>
          <w:bCs/>
        </w:rPr>
        <w:noBreakHyphen/>
      </w:r>
      <w:r w:rsidR="00E850E8" w:rsidRPr="00B934B1">
        <w:rPr>
          <w:bCs/>
        </w:rPr>
        <w:t xml:space="preserve">month permanency review hearing </w:t>
      </w:r>
      <w:r w:rsidR="0075454A" w:rsidRPr="00B934B1">
        <w:rPr>
          <w:bCs/>
        </w:rPr>
        <w:t>that the best interests of the child would be met by the provision of additional reunification services</w:t>
      </w:r>
      <w:r w:rsidRPr="00B934B1">
        <w:rPr>
          <w:bCs/>
        </w:rPr>
        <w:t>,</w:t>
      </w:r>
      <w:r w:rsidR="00E850E8">
        <w:rPr>
          <w:bCs/>
        </w:rPr>
        <w:t xml:space="preserve"> </w:t>
      </w:r>
      <w:r w:rsidR="00CB5937">
        <w:rPr>
          <w:bCs/>
        </w:rPr>
        <w:t xml:space="preserve">and </w:t>
      </w:r>
      <w:r w:rsidR="00254444">
        <w:rPr>
          <w:bCs/>
        </w:rPr>
        <w:t xml:space="preserve">if the court concludes </w:t>
      </w:r>
      <w:r w:rsidR="00CB5937">
        <w:rPr>
          <w:bCs/>
        </w:rPr>
        <w:t xml:space="preserve">that </w:t>
      </w:r>
      <w:r w:rsidR="00CB5937" w:rsidRPr="00B934B1">
        <w:rPr>
          <w:szCs w:val="26"/>
        </w:rPr>
        <w:t>reasonable services were not provided to the parent</w:t>
      </w:r>
      <w:r w:rsidR="00254444">
        <w:rPr>
          <w:szCs w:val="26"/>
        </w:rPr>
        <w:t xml:space="preserve"> or</w:t>
      </w:r>
      <w:r w:rsidR="000C6C14">
        <w:rPr>
          <w:szCs w:val="26"/>
        </w:rPr>
        <w:t xml:space="preserve"> </w:t>
      </w:r>
      <w:r w:rsidR="00CB5937" w:rsidRPr="00B934B1">
        <w:rPr>
          <w:szCs w:val="26"/>
        </w:rPr>
        <w:t>there is a substantial probability the child will be returned to the parent’s physical custody and safely maintained in the home within the extended period of time</w:t>
      </w:r>
      <w:r w:rsidR="00CB5937">
        <w:rPr>
          <w:szCs w:val="26"/>
        </w:rPr>
        <w:t xml:space="preserve">, </w:t>
      </w:r>
      <w:r w:rsidR="00C33B04" w:rsidRPr="00B934B1">
        <w:rPr>
          <w:bCs/>
        </w:rPr>
        <w:t xml:space="preserve">the court </w:t>
      </w:r>
      <w:r w:rsidR="000A7567">
        <w:rPr>
          <w:bCs/>
        </w:rPr>
        <w:t>may</w:t>
      </w:r>
      <w:r w:rsidR="00C33B04" w:rsidRPr="00B934B1">
        <w:rPr>
          <w:bCs/>
        </w:rPr>
        <w:t xml:space="preserve"> continue the matter</w:t>
      </w:r>
      <w:r w:rsidRPr="00B934B1">
        <w:rPr>
          <w:bCs/>
        </w:rPr>
        <w:t xml:space="preserve"> </w:t>
      </w:r>
      <w:r w:rsidR="000C6C14">
        <w:rPr>
          <w:bCs/>
        </w:rPr>
        <w:t xml:space="preserve">for </w:t>
      </w:r>
      <w:r w:rsidRPr="00B934B1">
        <w:rPr>
          <w:bCs/>
        </w:rPr>
        <w:t>up to six months</w:t>
      </w:r>
      <w:r w:rsidR="00C33B04" w:rsidRPr="00B934B1">
        <w:rPr>
          <w:bCs/>
        </w:rPr>
        <w:t xml:space="preserve"> </w:t>
      </w:r>
      <w:r w:rsidR="003B4C25" w:rsidRPr="00B934B1">
        <w:rPr>
          <w:szCs w:val="26"/>
        </w:rPr>
        <w:t>so that additional reunification services may be provided</w:t>
      </w:r>
      <w:r w:rsidR="000C6C14">
        <w:rPr>
          <w:szCs w:val="26"/>
        </w:rPr>
        <w:t xml:space="preserve">. </w:t>
      </w:r>
      <w:r w:rsidR="00F812C5" w:rsidRPr="00B934B1">
        <w:rPr>
          <w:szCs w:val="26"/>
        </w:rPr>
        <w:t xml:space="preserve"> </w:t>
      </w:r>
      <w:r w:rsidR="000C6C14">
        <w:rPr>
          <w:szCs w:val="26"/>
        </w:rPr>
        <w:t>This exception applies</w:t>
      </w:r>
      <w:r w:rsidR="00F812C5" w:rsidRPr="00B934B1">
        <w:rPr>
          <w:szCs w:val="26"/>
        </w:rPr>
        <w:t xml:space="preserve"> </w:t>
      </w:r>
      <w:r w:rsidR="00F812C5" w:rsidRPr="000C6C14">
        <w:rPr>
          <w:szCs w:val="26"/>
        </w:rPr>
        <w:t>only i</w:t>
      </w:r>
      <w:r w:rsidR="00CB5937" w:rsidRPr="000C6C14">
        <w:rPr>
          <w:szCs w:val="26"/>
        </w:rPr>
        <w:t>f the parent is</w:t>
      </w:r>
      <w:r w:rsidR="00F812C5" w:rsidRPr="00D20B2A">
        <w:rPr>
          <w:i/>
          <w:iCs/>
          <w:szCs w:val="26"/>
        </w:rPr>
        <w:t xml:space="preserve"> </w:t>
      </w:r>
      <w:r w:rsidR="00BF34E3" w:rsidRPr="00B934B1">
        <w:rPr>
          <w:szCs w:val="26"/>
        </w:rPr>
        <w:t>(</w:t>
      </w:r>
      <w:r w:rsidR="00CB5937">
        <w:rPr>
          <w:szCs w:val="26"/>
        </w:rPr>
        <w:t>1</w:t>
      </w:r>
      <w:r w:rsidR="00BF34E3" w:rsidRPr="00B934B1">
        <w:rPr>
          <w:szCs w:val="26"/>
        </w:rPr>
        <w:t>) a parent mak</w:t>
      </w:r>
      <w:r w:rsidR="00D618D7" w:rsidRPr="00B934B1">
        <w:rPr>
          <w:bCs/>
        </w:rPr>
        <w:t>ing significant and consistent progress in a court</w:t>
      </w:r>
      <w:r w:rsidR="000C6C14">
        <w:rPr>
          <w:bCs/>
        </w:rPr>
        <w:noBreakHyphen/>
      </w:r>
      <w:r w:rsidR="00D618D7" w:rsidRPr="00B934B1">
        <w:rPr>
          <w:bCs/>
        </w:rPr>
        <w:t xml:space="preserve">ordered residential substance abuse treatment program, </w:t>
      </w:r>
      <w:r w:rsidR="00313499" w:rsidRPr="00B934B1">
        <w:rPr>
          <w:bCs/>
        </w:rPr>
        <w:t>(</w:t>
      </w:r>
      <w:r w:rsidR="00CB5937">
        <w:rPr>
          <w:bCs/>
        </w:rPr>
        <w:t>2</w:t>
      </w:r>
      <w:r w:rsidR="00313499" w:rsidRPr="00B934B1">
        <w:rPr>
          <w:bCs/>
        </w:rPr>
        <w:t>)</w:t>
      </w:r>
      <w:r w:rsidR="00254444">
        <w:rPr>
          <w:bCs/>
        </w:rPr>
        <w:t> </w:t>
      </w:r>
      <w:r w:rsidR="00D618D7" w:rsidRPr="00B934B1">
        <w:rPr>
          <w:bCs/>
        </w:rPr>
        <w:t xml:space="preserve">a minor </w:t>
      </w:r>
      <w:r w:rsidR="00B931A9" w:rsidRPr="00B934B1">
        <w:rPr>
          <w:bCs/>
        </w:rPr>
        <w:t xml:space="preserve">or a dependent </w:t>
      </w:r>
      <w:r w:rsidR="00D618D7" w:rsidRPr="00B934B1">
        <w:rPr>
          <w:bCs/>
        </w:rPr>
        <w:t xml:space="preserve">parent at the time of the initial hearing </w:t>
      </w:r>
      <w:r w:rsidR="00BF34E3" w:rsidRPr="00B934B1">
        <w:rPr>
          <w:bCs/>
        </w:rPr>
        <w:t xml:space="preserve">who </w:t>
      </w:r>
      <w:r w:rsidR="00B931A9" w:rsidRPr="00B934B1">
        <w:rPr>
          <w:bCs/>
        </w:rPr>
        <w:t xml:space="preserve">is </w:t>
      </w:r>
      <w:r w:rsidR="00D618D7" w:rsidRPr="00B934B1">
        <w:rPr>
          <w:bCs/>
        </w:rPr>
        <w:t xml:space="preserve">making significant and consistent progress in establishing a safe home for the child’s return, or </w:t>
      </w:r>
      <w:r w:rsidR="00B931A9" w:rsidRPr="00B934B1">
        <w:rPr>
          <w:bCs/>
        </w:rPr>
        <w:t>(</w:t>
      </w:r>
      <w:r w:rsidR="00CB5937">
        <w:rPr>
          <w:bCs/>
        </w:rPr>
        <w:t>3</w:t>
      </w:r>
      <w:r w:rsidR="00B931A9" w:rsidRPr="00B934B1">
        <w:rPr>
          <w:bCs/>
        </w:rPr>
        <w:t xml:space="preserve">) </w:t>
      </w:r>
      <w:r w:rsidR="00BF34E3" w:rsidRPr="00B934B1">
        <w:rPr>
          <w:bCs/>
        </w:rPr>
        <w:t>a parent who was recently</w:t>
      </w:r>
      <w:r w:rsidR="00D618D7" w:rsidRPr="00B934B1">
        <w:rPr>
          <w:bCs/>
        </w:rPr>
        <w:t xml:space="preserve"> discharged from incarceration, institutionalization, or the custody of the Department of Homeland Security </w:t>
      </w:r>
      <w:r w:rsidR="00EB672F">
        <w:rPr>
          <w:bCs/>
        </w:rPr>
        <w:t xml:space="preserve">(DHS) </w:t>
      </w:r>
      <w:r w:rsidR="00D618D7" w:rsidRPr="00B934B1">
        <w:rPr>
          <w:bCs/>
        </w:rPr>
        <w:t xml:space="preserve">and </w:t>
      </w:r>
      <w:r w:rsidR="00BF34E3" w:rsidRPr="00B934B1">
        <w:rPr>
          <w:bCs/>
        </w:rPr>
        <w:t xml:space="preserve">who </w:t>
      </w:r>
      <w:r w:rsidR="00B931A9" w:rsidRPr="00B934B1">
        <w:rPr>
          <w:bCs/>
        </w:rPr>
        <w:t xml:space="preserve">is </w:t>
      </w:r>
      <w:r w:rsidR="00D618D7" w:rsidRPr="00B934B1">
        <w:rPr>
          <w:bCs/>
        </w:rPr>
        <w:t>making significant and consistent progress in establishing a safe home for the child’s return</w:t>
      </w:r>
      <w:r w:rsidR="00670E79" w:rsidRPr="00B934B1">
        <w:rPr>
          <w:bCs/>
        </w:rPr>
        <w:t>.</w:t>
      </w:r>
      <w:r w:rsidR="00D618D7" w:rsidRPr="00B934B1">
        <w:rPr>
          <w:bCs/>
        </w:rPr>
        <w:t xml:space="preserve">  (</w:t>
      </w:r>
      <w:r w:rsidR="005D1DEC" w:rsidRPr="00B934B1">
        <w:rPr>
          <w:szCs w:val="26"/>
        </w:rPr>
        <w:t>§ 366.22, subd.</w:t>
      </w:r>
      <w:r w:rsidR="00254444">
        <w:rPr>
          <w:szCs w:val="26"/>
        </w:rPr>
        <w:t> </w:t>
      </w:r>
      <w:r w:rsidR="005D1DEC" w:rsidRPr="00B934B1">
        <w:rPr>
          <w:szCs w:val="26"/>
        </w:rPr>
        <w:t>(b</w:t>
      </w:r>
      <w:r w:rsidR="00F57359" w:rsidRPr="00B934B1">
        <w:rPr>
          <w:szCs w:val="26"/>
        </w:rPr>
        <w:t>)</w:t>
      </w:r>
      <w:r w:rsidR="003D374F" w:rsidRPr="00B934B1">
        <w:rPr>
          <w:szCs w:val="26"/>
        </w:rPr>
        <w:t>; see also § 361.5, subd. (</w:t>
      </w:r>
      <w:r w:rsidR="00235FE5" w:rsidRPr="00B934B1">
        <w:rPr>
          <w:szCs w:val="26"/>
        </w:rPr>
        <w:t>a</w:t>
      </w:r>
      <w:r w:rsidR="003D374F" w:rsidRPr="00B934B1">
        <w:rPr>
          <w:szCs w:val="26"/>
        </w:rPr>
        <w:t>)(4)(A) [</w:t>
      </w:r>
      <w:r w:rsidR="001F2E83" w:rsidRPr="00B934B1">
        <w:rPr>
          <w:szCs w:val="26"/>
        </w:rPr>
        <w:t>similar</w:t>
      </w:r>
      <w:r w:rsidR="003D374F" w:rsidRPr="00B934B1">
        <w:rPr>
          <w:szCs w:val="26"/>
        </w:rPr>
        <w:t>].</w:t>
      </w:r>
      <w:r w:rsidR="001218A2" w:rsidRPr="00B934B1">
        <w:rPr>
          <w:szCs w:val="26"/>
        </w:rPr>
        <w:t>)</w:t>
      </w:r>
      <w:r>
        <w:rPr>
          <w:rStyle w:val="FootnoteReference"/>
          <w:szCs w:val="26"/>
        </w:rPr>
        <w:footnoteReference w:id="3"/>
      </w:r>
      <w:r>
        <w:rPr>
          <w:szCs w:val="26"/>
        </w:rPr>
        <w:t xml:space="preserve">  </w:t>
      </w:r>
    </w:p>
    <w:p w14:paraId="372D61A3" w14:textId="39980702" w:rsidR="00B845D7" w:rsidRPr="00CD72FD" w:rsidRDefault="00053863" w:rsidP="00055EB9">
      <w:pPr>
        <w:tabs>
          <w:tab w:val="left" w:pos="1440"/>
          <w:tab w:val="left" w:pos="2880"/>
          <w:tab w:val="left" w:pos="4320"/>
          <w:tab w:val="left" w:pos="5760"/>
          <w:tab w:val="left" w:pos="7200"/>
          <w:tab w:val="left" w:pos="8640"/>
        </w:tabs>
        <w:spacing w:line="480" w:lineRule="atLeast"/>
        <w:rPr>
          <w:color w:val="333333"/>
          <w:szCs w:val="26"/>
          <w:shd w:val="clear" w:color="auto" w:fill="FFFFFF"/>
        </w:rPr>
      </w:pPr>
      <w:r>
        <w:rPr>
          <w:bCs/>
        </w:rPr>
        <w:tab/>
      </w:r>
      <w:r w:rsidR="000C6C14">
        <w:rPr>
          <w:bCs/>
        </w:rPr>
        <w:t>Except</w:t>
      </w:r>
      <w:r w:rsidR="00426E68">
        <w:rPr>
          <w:bCs/>
        </w:rPr>
        <w:t xml:space="preserve"> f</w:t>
      </w:r>
      <w:r w:rsidR="000C6C14">
        <w:rPr>
          <w:bCs/>
        </w:rPr>
        <w:t>or</w:t>
      </w:r>
      <w:r>
        <w:rPr>
          <w:bCs/>
        </w:rPr>
        <w:t xml:space="preserve"> those limited circumstances</w:t>
      </w:r>
      <w:r w:rsidR="00F57DFF">
        <w:rPr>
          <w:bCs/>
        </w:rPr>
        <w:t xml:space="preserve">, </w:t>
      </w:r>
      <w:r w:rsidR="00776B42">
        <w:rPr>
          <w:bCs/>
        </w:rPr>
        <w:t xml:space="preserve">if the child is not returned to the parent’s custody </w:t>
      </w:r>
      <w:r w:rsidR="00312DD6" w:rsidRPr="00312DD6">
        <w:rPr>
          <w:bCs/>
        </w:rPr>
        <w:t>at the 18</w:t>
      </w:r>
      <w:r w:rsidR="000C6C14">
        <w:rPr>
          <w:bCs/>
        </w:rPr>
        <w:noBreakHyphen/>
      </w:r>
      <w:r w:rsidR="00312DD6" w:rsidRPr="00312DD6">
        <w:rPr>
          <w:bCs/>
        </w:rPr>
        <w:t>month permanency review</w:t>
      </w:r>
      <w:r w:rsidR="00D618D7">
        <w:rPr>
          <w:bCs/>
        </w:rPr>
        <w:t xml:space="preserve"> hearing, </w:t>
      </w:r>
      <w:r w:rsidR="00776B42">
        <w:rPr>
          <w:bCs/>
        </w:rPr>
        <w:t xml:space="preserve">the juvenile court </w:t>
      </w:r>
      <w:r w:rsidR="000C6C14">
        <w:rPr>
          <w:bCs/>
        </w:rPr>
        <w:t>must</w:t>
      </w:r>
      <w:r w:rsidR="004E66FD">
        <w:rPr>
          <w:bCs/>
          <w:szCs w:val="26"/>
        </w:rPr>
        <w:t xml:space="preserve"> terminate reunification services and set</w:t>
      </w:r>
      <w:r w:rsidR="00312DD6" w:rsidRPr="00776B42">
        <w:rPr>
          <w:bCs/>
          <w:szCs w:val="26"/>
        </w:rPr>
        <w:t xml:space="preserve"> a </w:t>
      </w:r>
      <w:r w:rsidR="00776B42" w:rsidRPr="00776B42">
        <w:rPr>
          <w:bCs/>
          <w:szCs w:val="26"/>
        </w:rPr>
        <w:t>section</w:t>
      </w:r>
      <w:r w:rsidR="000C6C14">
        <w:rPr>
          <w:bCs/>
          <w:szCs w:val="26"/>
        </w:rPr>
        <w:t> </w:t>
      </w:r>
      <w:r w:rsidR="00776B42" w:rsidRPr="00776B42">
        <w:rPr>
          <w:bCs/>
          <w:szCs w:val="26"/>
        </w:rPr>
        <w:t xml:space="preserve">366.26 </w:t>
      </w:r>
      <w:r w:rsidR="00312DD6" w:rsidRPr="00776B42">
        <w:rPr>
          <w:bCs/>
          <w:szCs w:val="26"/>
        </w:rPr>
        <w:t>hearing</w:t>
      </w:r>
      <w:r w:rsidR="00776B42" w:rsidRPr="00776B42">
        <w:rPr>
          <w:bCs/>
          <w:szCs w:val="26"/>
        </w:rPr>
        <w:t xml:space="preserve">.  </w:t>
      </w:r>
      <w:r w:rsidR="00550980" w:rsidRPr="00776B42">
        <w:rPr>
          <w:bCs/>
          <w:szCs w:val="26"/>
        </w:rPr>
        <w:t>(§</w:t>
      </w:r>
      <w:r w:rsidR="000C6C14">
        <w:rPr>
          <w:bCs/>
          <w:szCs w:val="26"/>
        </w:rPr>
        <w:t> </w:t>
      </w:r>
      <w:r w:rsidR="00550980" w:rsidRPr="00776B42">
        <w:rPr>
          <w:bCs/>
          <w:szCs w:val="26"/>
        </w:rPr>
        <w:t>366.22, subd.</w:t>
      </w:r>
      <w:r w:rsidR="000C6C14">
        <w:rPr>
          <w:bCs/>
          <w:szCs w:val="26"/>
        </w:rPr>
        <w:t> </w:t>
      </w:r>
      <w:r w:rsidR="00550980" w:rsidRPr="00776B42">
        <w:rPr>
          <w:bCs/>
          <w:szCs w:val="26"/>
        </w:rPr>
        <w:t>(a)(3)</w:t>
      </w:r>
      <w:r w:rsidR="004E66FD">
        <w:rPr>
          <w:bCs/>
          <w:szCs w:val="26"/>
        </w:rPr>
        <w:t>.)  To quote the statute,</w:t>
      </w:r>
      <w:r w:rsidR="00776B42" w:rsidRPr="00776B42">
        <w:rPr>
          <w:bCs/>
          <w:szCs w:val="26"/>
        </w:rPr>
        <w:t xml:space="preserve"> “</w:t>
      </w:r>
      <w:r w:rsidR="00776B42" w:rsidRPr="00776B42">
        <w:rPr>
          <w:color w:val="333333"/>
          <w:szCs w:val="26"/>
          <w:shd w:val="clear" w:color="auto" w:fill="FFFFFF"/>
        </w:rPr>
        <w:t xml:space="preserve">Unless the conditions in subdivision (b) are met and the child is not returned to a parent or legal guardian at the permanency review hearing, </w:t>
      </w:r>
      <w:r w:rsidR="00776B42" w:rsidRPr="00776B42">
        <w:rPr>
          <w:color w:val="333333"/>
          <w:szCs w:val="26"/>
          <w:shd w:val="clear" w:color="auto" w:fill="FFFFFF"/>
        </w:rPr>
        <w:lastRenderedPageBreak/>
        <w:t>the court shall order that a hearing be held pursuant to Section 366.26 in order to determine whether adoption</w:t>
      </w:r>
      <w:r w:rsidR="0055795F">
        <w:rPr>
          <w:color w:val="333333"/>
          <w:szCs w:val="26"/>
          <w:shd w:val="clear" w:color="auto" w:fill="FFFFFF"/>
        </w:rPr>
        <w:t xml:space="preserve">, . . . guardianship, </w:t>
      </w:r>
      <w:r w:rsidR="00776B42" w:rsidRPr="00776B42">
        <w:rPr>
          <w:color w:val="333333"/>
          <w:szCs w:val="26"/>
          <w:shd w:val="clear" w:color="auto" w:fill="FFFFFF"/>
        </w:rPr>
        <w:t>or continued placement in foster care is the most appropriate plan for the child</w:t>
      </w:r>
      <w:r w:rsidR="00C14984">
        <w:rPr>
          <w:color w:val="333333"/>
          <w:szCs w:val="26"/>
          <w:shd w:val="clear" w:color="auto" w:fill="FFFFFF"/>
        </w:rPr>
        <w:t>.  . . .  T</w:t>
      </w:r>
      <w:r w:rsidR="00D4662B" w:rsidRPr="00D4662B">
        <w:rPr>
          <w:color w:val="333333"/>
          <w:szCs w:val="26"/>
          <w:shd w:val="clear" w:color="auto" w:fill="FFFFFF"/>
        </w:rPr>
        <w:t xml:space="preserve">he court shall also order termination of reunification services to the parent or legal guardian. </w:t>
      </w:r>
      <w:r w:rsidR="00C14984">
        <w:rPr>
          <w:color w:val="333333"/>
          <w:szCs w:val="26"/>
          <w:shd w:val="clear" w:color="auto" w:fill="FFFFFF"/>
        </w:rPr>
        <w:t xml:space="preserve">. . . </w:t>
      </w:r>
      <w:r w:rsidR="00D4662B" w:rsidRPr="00D4662B">
        <w:rPr>
          <w:color w:val="333333"/>
          <w:szCs w:val="26"/>
          <w:shd w:val="clear" w:color="auto" w:fill="FFFFFF"/>
        </w:rPr>
        <w:t xml:space="preserve"> The court shall determine whether reasonable services have been offered or provided to the parent or legal guardian.</w:t>
      </w:r>
      <w:r w:rsidR="00C14984">
        <w:rPr>
          <w:color w:val="333333"/>
          <w:szCs w:val="26"/>
          <w:shd w:val="clear" w:color="auto" w:fill="FFFFFF"/>
        </w:rPr>
        <w:t>”  (</w:t>
      </w:r>
      <w:bookmarkStart w:id="7" w:name="dabmci_7c6269d5ae614d70a854f5d5f09836de"/>
      <w:r w:rsidR="00C14984">
        <w:rPr>
          <w:i/>
          <w:iCs/>
          <w:color w:val="333333"/>
          <w:szCs w:val="26"/>
          <w:shd w:val="clear" w:color="auto" w:fill="FFFFFF"/>
        </w:rPr>
        <w:t>Ibid.</w:t>
      </w:r>
      <w:bookmarkEnd w:id="7"/>
      <w:r w:rsidR="00C14984">
        <w:rPr>
          <w:color w:val="333333"/>
          <w:szCs w:val="26"/>
          <w:shd w:val="clear" w:color="auto" w:fill="FFFFFF"/>
        </w:rPr>
        <w:t>)</w:t>
      </w:r>
      <w:r w:rsidR="00CF1251">
        <w:rPr>
          <w:color w:val="333333"/>
          <w:szCs w:val="26"/>
          <w:shd w:val="clear" w:color="auto" w:fill="FFFFFF"/>
        </w:rPr>
        <w:t xml:space="preserve"> </w:t>
      </w:r>
      <w:r w:rsidR="00E064D2">
        <w:rPr>
          <w:color w:val="333333"/>
          <w:szCs w:val="26"/>
          <w:shd w:val="clear" w:color="auto" w:fill="FFFFFF"/>
        </w:rPr>
        <w:t xml:space="preserve"> </w:t>
      </w:r>
      <w:r w:rsidR="001534C0">
        <w:rPr>
          <w:color w:val="333333"/>
          <w:szCs w:val="26"/>
          <w:shd w:val="clear" w:color="auto" w:fill="FFFFFF"/>
        </w:rPr>
        <w:t xml:space="preserve">Thus, </w:t>
      </w:r>
      <w:r>
        <w:rPr>
          <w:color w:val="333333"/>
          <w:szCs w:val="26"/>
          <w:shd w:val="clear" w:color="auto" w:fill="FFFFFF"/>
        </w:rPr>
        <w:t>“</w:t>
      </w:r>
      <w:r w:rsidR="001534C0">
        <w:rPr>
          <w:color w:val="333333"/>
          <w:szCs w:val="26"/>
          <w:shd w:val="clear" w:color="auto" w:fill="FFFFFF"/>
        </w:rPr>
        <w:t>[a]</w:t>
      </w:r>
      <w:r w:rsidRPr="00B845D7">
        <w:rPr>
          <w:color w:val="333333"/>
          <w:szCs w:val="26"/>
          <w:shd w:val="clear" w:color="auto" w:fill="FFFFFF"/>
        </w:rPr>
        <w:t>lthough the ju</w:t>
      </w:r>
      <w:r w:rsidRPr="00B845D7">
        <w:rPr>
          <w:color w:val="333333"/>
          <w:szCs w:val="26"/>
          <w:shd w:val="clear" w:color="auto" w:fill="FFFFFF"/>
        </w:rPr>
        <w:t>venile court still must make a finding regarding whether reasonable services have been offered in such circumstances, its authority to set a section 366.26 hearing ‘</w:t>
      </w:r>
      <w:r>
        <w:rPr>
          <w:color w:val="333333"/>
          <w:szCs w:val="26"/>
          <w:shd w:val="clear" w:color="auto" w:fill="FFFFFF"/>
        </w:rPr>
        <w:t>“</w:t>
      </w:r>
      <w:r w:rsidRPr="00B845D7">
        <w:rPr>
          <w:color w:val="333333"/>
          <w:szCs w:val="26"/>
          <w:shd w:val="clear" w:color="auto" w:fill="FFFFFF"/>
        </w:rPr>
        <w:t xml:space="preserve">is </w:t>
      </w:r>
      <w:r w:rsidRPr="00B845D7">
        <w:rPr>
          <w:i/>
          <w:iCs/>
          <w:color w:val="333333"/>
          <w:szCs w:val="26"/>
          <w:shd w:val="clear" w:color="auto" w:fill="FFFFFF"/>
        </w:rPr>
        <w:t>not</w:t>
      </w:r>
      <w:r w:rsidRPr="00B845D7">
        <w:rPr>
          <w:color w:val="333333"/>
          <w:szCs w:val="26"/>
          <w:shd w:val="clear" w:color="auto" w:fill="FFFFFF"/>
        </w:rPr>
        <w:t xml:space="preserve"> conditioned on a reasonable services finding.</w:t>
      </w:r>
      <w:r w:rsidR="00CD72FD">
        <w:rPr>
          <w:color w:val="333333"/>
          <w:szCs w:val="26"/>
          <w:shd w:val="clear" w:color="auto" w:fill="FFFFFF"/>
        </w:rPr>
        <w:t>”</w:t>
      </w:r>
      <w:r w:rsidRPr="00B845D7">
        <w:rPr>
          <w:color w:val="333333"/>
          <w:szCs w:val="26"/>
          <w:shd w:val="clear" w:color="auto" w:fill="FFFFFF"/>
        </w:rPr>
        <w:t>’”</w:t>
      </w:r>
      <w:r w:rsidR="00CD72FD">
        <w:rPr>
          <w:color w:val="333333"/>
          <w:szCs w:val="26"/>
          <w:shd w:val="clear" w:color="auto" w:fill="FFFFFF"/>
        </w:rPr>
        <w:t xml:space="preserve">  (</w:t>
      </w:r>
      <w:bookmarkStart w:id="8" w:name="dabmci_95e7008fa5f04f8cb279fd644a6fcd12"/>
      <w:r w:rsidRPr="00CD72FD">
        <w:rPr>
          <w:i/>
          <w:iCs/>
          <w:color w:val="333333"/>
          <w:szCs w:val="26"/>
          <w:shd w:val="clear" w:color="auto" w:fill="FFFFFF"/>
        </w:rPr>
        <w:t>N.M. v. Superior Court</w:t>
      </w:r>
      <w:r w:rsidRPr="00B845D7">
        <w:rPr>
          <w:color w:val="333333"/>
          <w:szCs w:val="26"/>
          <w:shd w:val="clear" w:color="auto" w:fill="FFFFFF"/>
        </w:rPr>
        <w:t xml:space="preserve"> (2016) 5 Cal.App.5th 796, 806</w:t>
      </w:r>
      <w:r w:rsidR="00CD72FD">
        <w:rPr>
          <w:color w:val="333333"/>
          <w:szCs w:val="26"/>
          <w:shd w:val="clear" w:color="auto" w:fill="FFFFFF"/>
        </w:rPr>
        <w:t xml:space="preserve"> (</w:t>
      </w:r>
      <w:r w:rsidR="00CD72FD">
        <w:rPr>
          <w:i/>
          <w:iCs/>
          <w:color w:val="333333"/>
          <w:szCs w:val="26"/>
          <w:shd w:val="clear" w:color="auto" w:fill="FFFFFF"/>
        </w:rPr>
        <w:t>N.M.</w:t>
      </w:r>
      <w:r w:rsidR="00CD72FD">
        <w:rPr>
          <w:color w:val="333333"/>
          <w:szCs w:val="26"/>
          <w:shd w:val="clear" w:color="auto" w:fill="FFFFFF"/>
        </w:rPr>
        <w:t>)</w:t>
      </w:r>
      <w:bookmarkEnd w:id="8"/>
      <w:r w:rsidR="00CD72FD">
        <w:rPr>
          <w:color w:val="333333"/>
          <w:szCs w:val="26"/>
          <w:shd w:val="clear" w:color="auto" w:fill="FFFFFF"/>
        </w:rPr>
        <w:t>.)</w:t>
      </w:r>
    </w:p>
    <w:p w14:paraId="1D1CAA35" w14:textId="25D8BDD9" w:rsidR="005975DC" w:rsidRDefault="00053863" w:rsidP="00055EB9">
      <w:pPr>
        <w:tabs>
          <w:tab w:val="left" w:pos="1440"/>
          <w:tab w:val="left" w:pos="2880"/>
          <w:tab w:val="left" w:pos="4320"/>
          <w:tab w:val="left" w:pos="5760"/>
          <w:tab w:val="left" w:pos="7200"/>
          <w:tab w:val="left" w:pos="8640"/>
        </w:tabs>
        <w:spacing w:line="480" w:lineRule="atLeast"/>
        <w:rPr>
          <w:bCs/>
        </w:rPr>
      </w:pPr>
      <w:r>
        <w:rPr>
          <w:color w:val="333333"/>
          <w:szCs w:val="26"/>
          <w:shd w:val="clear" w:color="auto" w:fill="FFFFFF"/>
        </w:rPr>
        <w:tab/>
      </w:r>
      <w:r w:rsidR="003E1243">
        <w:rPr>
          <w:color w:val="333333"/>
          <w:szCs w:val="26"/>
          <w:shd w:val="clear" w:color="auto" w:fill="FFFFFF"/>
        </w:rPr>
        <w:t xml:space="preserve">After reviewing these </w:t>
      </w:r>
      <w:r w:rsidR="001F2E83">
        <w:rPr>
          <w:color w:val="333333"/>
          <w:szCs w:val="26"/>
          <w:shd w:val="clear" w:color="auto" w:fill="FFFFFF"/>
        </w:rPr>
        <w:t xml:space="preserve">statutory </w:t>
      </w:r>
      <w:r w:rsidR="00084FBC">
        <w:rPr>
          <w:color w:val="333333"/>
          <w:szCs w:val="26"/>
          <w:shd w:val="clear" w:color="auto" w:fill="FFFFFF"/>
        </w:rPr>
        <w:t xml:space="preserve">provisions </w:t>
      </w:r>
      <w:r w:rsidR="003E1243">
        <w:rPr>
          <w:color w:val="333333"/>
          <w:szCs w:val="26"/>
          <w:shd w:val="clear" w:color="auto" w:fill="FFFFFF"/>
        </w:rPr>
        <w:t>de novo, we</w:t>
      </w:r>
      <w:r w:rsidR="00084FBC">
        <w:rPr>
          <w:color w:val="333333"/>
          <w:szCs w:val="26"/>
          <w:shd w:val="clear" w:color="auto" w:fill="FFFFFF"/>
        </w:rPr>
        <w:t xml:space="preserve"> conclude </w:t>
      </w:r>
      <w:r w:rsidR="00A24880">
        <w:rPr>
          <w:color w:val="333333"/>
          <w:szCs w:val="26"/>
          <w:shd w:val="clear" w:color="auto" w:fill="FFFFFF"/>
        </w:rPr>
        <w:t>t</w:t>
      </w:r>
      <w:r w:rsidR="00A24880">
        <w:rPr>
          <w:bCs/>
        </w:rPr>
        <w:t xml:space="preserve">he juvenile </w:t>
      </w:r>
      <w:r w:rsidR="00EC470E">
        <w:rPr>
          <w:bCs/>
        </w:rPr>
        <w:t xml:space="preserve">court </w:t>
      </w:r>
      <w:r w:rsidR="00BA2742">
        <w:rPr>
          <w:bCs/>
        </w:rPr>
        <w:t xml:space="preserve">in this case </w:t>
      </w:r>
      <w:r w:rsidR="00A24880">
        <w:rPr>
          <w:bCs/>
        </w:rPr>
        <w:t xml:space="preserve">did not err in terminating reunification services at the 18-month review hearing, </w:t>
      </w:r>
      <w:r w:rsidR="00EF3B08">
        <w:rPr>
          <w:bCs/>
        </w:rPr>
        <w:t>notwithstanding its conclusion that</w:t>
      </w:r>
      <w:r w:rsidR="00D21364">
        <w:rPr>
          <w:bCs/>
        </w:rPr>
        <w:t xml:space="preserve"> reasonable</w:t>
      </w:r>
      <w:r w:rsidR="00A24880">
        <w:rPr>
          <w:bCs/>
        </w:rPr>
        <w:t xml:space="preserve"> reunification services </w:t>
      </w:r>
      <w:r w:rsidR="00D21364">
        <w:rPr>
          <w:bCs/>
        </w:rPr>
        <w:t xml:space="preserve">were not provided </w:t>
      </w:r>
      <w:r w:rsidR="00A24880">
        <w:rPr>
          <w:bCs/>
        </w:rPr>
        <w:t>in the most recent review period</w:t>
      </w:r>
      <w:r w:rsidR="00D21364">
        <w:rPr>
          <w:bCs/>
        </w:rPr>
        <w:t xml:space="preserve">.  </w:t>
      </w:r>
      <w:r w:rsidR="003D615C">
        <w:rPr>
          <w:bCs/>
        </w:rPr>
        <w:t>S</w:t>
      </w:r>
      <w:r w:rsidR="00126CAE">
        <w:rPr>
          <w:bCs/>
        </w:rPr>
        <w:t xml:space="preserve">ubdivision (b) </w:t>
      </w:r>
      <w:r w:rsidR="003D615C">
        <w:rPr>
          <w:bCs/>
        </w:rPr>
        <w:t xml:space="preserve">of section 366.26 </w:t>
      </w:r>
      <w:r w:rsidR="00126CAE">
        <w:rPr>
          <w:bCs/>
        </w:rPr>
        <w:t xml:space="preserve">does not apply, </w:t>
      </w:r>
      <w:r w:rsidR="00874547">
        <w:rPr>
          <w:bCs/>
        </w:rPr>
        <w:t xml:space="preserve">as the parents here are not minor or dependent parents, in court-ordered substance abuse treatment programs, or </w:t>
      </w:r>
      <w:r w:rsidR="003E2D69">
        <w:rPr>
          <w:bCs/>
        </w:rPr>
        <w:t>recently discharged from incarceration, institutionalization, or DHS custody</w:t>
      </w:r>
      <w:r w:rsidR="0051427E">
        <w:rPr>
          <w:bCs/>
        </w:rPr>
        <w:t>.</w:t>
      </w:r>
      <w:r>
        <w:rPr>
          <w:rStyle w:val="FootnoteReference"/>
          <w:szCs w:val="26"/>
        </w:rPr>
        <w:footnoteReference w:id="4"/>
      </w:r>
      <w:r w:rsidR="000C6C14">
        <w:rPr>
          <w:bCs/>
        </w:rPr>
        <w:t xml:space="preserve"> </w:t>
      </w:r>
      <w:r w:rsidR="003E2D69">
        <w:rPr>
          <w:szCs w:val="26"/>
        </w:rPr>
        <w:t xml:space="preserve"> </w:t>
      </w:r>
      <w:r w:rsidR="000C6C14">
        <w:rPr>
          <w:szCs w:val="26"/>
        </w:rPr>
        <w:t>B</w:t>
      </w:r>
      <w:r w:rsidR="001D4D1B">
        <w:rPr>
          <w:szCs w:val="26"/>
        </w:rPr>
        <w:t xml:space="preserve">ecause subdivision (b) </w:t>
      </w:r>
      <w:r w:rsidR="00525CE3">
        <w:rPr>
          <w:szCs w:val="26"/>
        </w:rPr>
        <w:t>does</w:t>
      </w:r>
      <w:r w:rsidR="001D4D1B">
        <w:rPr>
          <w:szCs w:val="26"/>
        </w:rPr>
        <w:t xml:space="preserve"> not apply, </w:t>
      </w:r>
      <w:r w:rsidR="006045D3">
        <w:rPr>
          <w:bCs/>
        </w:rPr>
        <w:t>subdivision</w:t>
      </w:r>
      <w:r w:rsidR="000C6C14">
        <w:rPr>
          <w:bCs/>
        </w:rPr>
        <w:t> </w:t>
      </w:r>
      <w:r w:rsidR="006045D3">
        <w:rPr>
          <w:bCs/>
        </w:rPr>
        <w:t>(a)(</w:t>
      </w:r>
      <w:r w:rsidR="00EF3B08">
        <w:rPr>
          <w:bCs/>
        </w:rPr>
        <w:t>3</w:t>
      </w:r>
      <w:r w:rsidR="006045D3">
        <w:rPr>
          <w:bCs/>
        </w:rPr>
        <w:t xml:space="preserve">) </w:t>
      </w:r>
      <w:r w:rsidR="00586EAB" w:rsidRPr="00586EAB">
        <w:rPr>
          <w:bCs/>
        </w:rPr>
        <w:t>obligat</w:t>
      </w:r>
      <w:r w:rsidR="006045D3" w:rsidRPr="00586EAB">
        <w:rPr>
          <w:bCs/>
        </w:rPr>
        <w:t>ed</w:t>
      </w:r>
      <w:r w:rsidR="006045D3">
        <w:rPr>
          <w:bCs/>
        </w:rPr>
        <w:t xml:space="preserve"> the court to </w:t>
      </w:r>
      <w:r w:rsidR="00A747CF">
        <w:rPr>
          <w:bCs/>
        </w:rPr>
        <w:t xml:space="preserve">terminate services and </w:t>
      </w:r>
      <w:r w:rsidR="006045D3">
        <w:rPr>
          <w:bCs/>
        </w:rPr>
        <w:t xml:space="preserve">set the </w:t>
      </w:r>
      <w:r w:rsidR="00EF3B08">
        <w:rPr>
          <w:bCs/>
        </w:rPr>
        <w:t>section 366.26 hearing</w:t>
      </w:r>
      <w:r w:rsidR="00BC3251">
        <w:rPr>
          <w:bCs/>
        </w:rPr>
        <w:t xml:space="preserve">, </w:t>
      </w:r>
      <w:r w:rsidR="005C7BA5">
        <w:rPr>
          <w:bCs/>
        </w:rPr>
        <w:t>regardless of whether</w:t>
      </w:r>
      <w:r w:rsidR="00BC3251">
        <w:rPr>
          <w:bCs/>
        </w:rPr>
        <w:t xml:space="preserve"> reasonable services </w:t>
      </w:r>
      <w:r w:rsidR="00586EAB">
        <w:rPr>
          <w:bCs/>
        </w:rPr>
        <w:t>had been</w:t>
      </w:r>
      <w:r w:rsidR="00BC3251">
        <w:rPr>
          <w:bCs/>
        </w:rPr>
        <w:t xml:space="preserve"> provided in the </w:t>
      </w:r>
      <w:r w:rsidR="007A6F07">
        <w:rPr>
          <w:bCs/>
        </w:rPr>
        <w:t>most recent review period</w:t>
      </w:r>
      <w:r w:rsidR="00D52CE4">
        <w:rPr>
          <w:bCs/>
        </w:rPr>
        <w:t>.</w:t>
      </w:r>
      <w:r w:rsidR="00525CE3">
        <w:rPr>
          <w:bCs/>
        </w:rPr>
        <w:t xml:space="preserve">  We </w:t>
      </w:r>
      <w:r w:rsidR="000C6C14">
        <w:rPr>
          <w:bCs/>
        </w:rPr>
        <w:t>find</w:t>
      </w:r>
      <w:r w:rsidR="00525CE3">
        <w:rPr>
          <w:bCs/>
        </w:rPr>
        <w:t xml:space="preserve"> no error</w:t>
      </w:r>
      <w:r w:rsidR="00586EAB">
        <w:rPr>
          <w:bCs/>
        </w:rPr>
        <w:t xml:space="preserve"> or due process violation</w:t>
      </w:r>
      <w:r w:rsidR="00525CE3">
        <w:rPr>
          <w:bCs/>
        </w:rPr>
        <w:t>.</w:t>
      </w:r>
    </w:p>
    <w:p w14:paraId="0E60A774" w14:textId="241D0B15" w:rsidR="00116BCF" w:rsidRDefault="00053863" w:rsidP="00055EB9">
      <w:pPr>
        <w:tabs>
          <w:tab w:val="left" w:pos="1440"/>
          <w:tab w:val="left" w:pos="2880"/>
          <w:tab w:val="left" w:pos="4320"/>
          <w:tab w:val="left" w:pos="5760"/>
          <w:tab w:val="left" w:pos="7200"/>
          <w:tab w:val="left" w:pos="8640"/>
        </w:tabs>
        <w:spacing w:line="480" w:lineRule="atLeast"/>
        <w:rPr>
          <w:bCs/>
        </w:rPr>
      </w:pPr>
      <w:r>
        <w:rPr>
          <w:bCs/>
        </w:rPr>
        <w:tab/>
      </w:r>
      <w:r w:rsidR="00434322">
        <w:rPr>
          <w:bCs/>
        </w:rPr>
        <w:t xml:space="preserve">Our </w:t>
      </w:r>
      <w:r w:rsidR="00573531">
        <w:rPr>
          <w:bCs/>
        </w:rPr>
        <w:t>conclusion</w:t>
      </w:r>
      <w:r w:rsidR="00434322">
        <w:rPr>
          <w:bCs/>
        </w:rPr>
        <w:t xml:space="preserve"> is consistent with </w:t>
      </w:r>
      <w:r w:rsidR="001F2E83">
        <w:rPr>
          <w:bCs/>
        </w:rPr>
        <w:t xml:space="preserve">the </w:t>
      </w:r>
      <w:r w:rsidR="00D519B6">
        <w:rPr>
          <w:bCs/>
        </w:rPr>
        <w:t>tw</w:t>
      </w:r>
      <w:r w:rsidR="00EB672F">
        <w:rPr>
          <w:bCs/>
        </w:rPr>
        <w:t>o</w:t>
      </w:r>
      <w:r w:rsidR="00D519B6">
        <w:rPr>
          <w:bCs/>
        </w:rPr>
        <w:t xml:space="preserve"> </w:t>
      </w:r>
      <w:r w:rsidR="001F2E83">
        <w:rPr>
          <w:bCs/>
        </w:rPr>
        <w:t xml:space="preserve">cases the </w:t>
      </w:r>
      <w:r w:rsidR="00203942">
        <w:rPr>
          <w:bCs/>
        </w:rPr>
        <w:t>juvenile</w:t>
      </w:r>
      <w:r w:rsidR="001F2E83">
        <w:rPr>
          <w:bCs/>
        </w:rPr>
        <w:t xml:space="preserve"> court cited in support of its decision: </w:t>
      </w:r>
      <w:r w:rsidR="00434322">
        <w:rPr>
          <w:bCs/>
        </w:rPr>
        <w:t xml:space="preserve"> </w:t>
      </w:r>
      <w:bookmarkStart w:id="9" w:name="dabmci_0ab053a4d08c4c46a2e600d8a769d6a3"/>
      <w:r w:rsidR="0010433A" w:rsidRPr="00C413AF">
        <w:rPr>
          <w:bCs/>
          <w:i/>
          <w:iCs/>
        </w:rPr>
        <w:t>Earl L. v. Superior Court</w:t>
      </w:r>
      <w:r w:rsidR="0010433A" w:rsidRPr="0010433A">
        <w:rPr>
          <w:bCs/>
        </w:rPr>
        <w:t xml:space="preserve"> (2011) 199 Cal.App.4th 1490</w:t>
      </w:r>
      <w:bookmarkEnd w:id="9"/>
      <w:r w:rsidR="00437463">
        <w:rPr>
          <w:b/>
        </w:rPr>
        <w:t xml:space="preserve"> </w:t>
      </w:r>
      <w:r w:rsidR="00437463">
        <w:rPr>
          <w:bCs/>
        </w:rPr>
        <w:t>(</w:t>
      </w:r>
      <w:r w:rsidR="00437463">
        <w:rPr>
          <w:bCs/>
          <w:i/>
          <w:iCs/>
        </w:rPr>
        <w:t>Earl</w:t>
      </w:r>
      <w:r w:rsidR="00437463">
        <w:rPr>
          <w:bCs/>
        </w:rPr>
        <w:t xml:space="preserve">) </w:t>
      </w:r>
      <w:r w:rsidR="00437463">
        <w:rPr>
          <w:bCs/>
        </w:rPr>
        <w:lastRenderedPageBreak/>
        <w:t xml:space="preserve">and </w:t>
      </w:r>
      <w:bookmarkStart w:id="10" w:name="dabmci_effd90a9fbc943678a9a1db33f45f9bf"/>
      <w:r w:rsidR="00437463" w:rsidRPr="00437463">
        <w:rPr>
          <w:bCs/>
          <w:i/>
          <w:iCs/>
        </w:rPr>
        <w:t>San Joaquin Human Services Agency v. Superior Court</w:t>
      </w:r>
      <w:r w:rsidR="00437463" w:rsidRPr="00437463">
        <w:rPr>
          <w:bCs/>
        </w:rPr>
        <w:t xml:space="preserve"> (2014) 227 Cal.App.4th 215</w:t>
      </w:r>
      <w:r w:rsidR="00437463">
        <w:rPr>
          <w:bCs/>
        </w:rPr>
        <w:t xml:space="preserve"> (</w:t>
      </w:r>
      <w:r w:rsidR="00437463">
        <w:rPr>
          <w:bCs/>
          <w:i/>
          <w:iCs/>
        </w:rPr>
        <w:t>San Joaquin</w:t>
      </w:r>
      <w:r w:rsidR="00437463">
        <w:rPr>
          <w:bCs/>
        </w:rPr>
        <w:t>)</w:t>
      </w:r>
      <w:bookmarkEnd w:id="10"/>
      <w:r w:rsidR="00437463">
        <w:rPr>
          <w:bCs/>
        </w:rPr>
        <w:t xml:space="preserve">. </w:t>
      </w:r>
      <w:r w:rsidR="00C413AF">
        <w:rPr>
          <w:bCs/>
        </w:rPr>
        <w:t xml:space="preserve"> </w:t>
      </w:r>
      <w:r w:rsidR="009722DC">
        <w:rPr>
          <w:bCs/>
        </w:rPr>
        <w:t xml:space="preserve">In </w:t>
      </w:r>
      <w:bookmarkStart w:id="11" w:name="dabmci_fae505bd743c473985ae9f5f3b93187d"/>
      <w:r w:rsidR="009722DC">
        <w:rPr>
          <w:bCs/>
          <w:i/>
          <w:iCs/>
        </w:rPr>
        <w:t>Earl</w:t>
      </w:r>
      <w:bookmarkEnd w:id="11"/>
      <w:r w:rsidR="009722DC">
        <w:rPr>
          <w:bCs/>
        </w:rPr>
        <w:t xml:space="preserve">, </w:t>
      </w:r>
      <w:r w:rsidR="00B90886">
        <w:rPr>
          <w:bCs/>
        </w:rPr>
        <w:t>we</w:t>
      </w:r>
      <w:r w:rsidR="009722DC">
        <w:rPr>
          <w:bCs/>
        </w:rPr>
        <w:t xml:space="preserve"> rejected the father’s argument that the lower court erred </w:t>
      </w:r>
      <w:r w:rsidR="00C413AF">
        <w:rPr>
          <w:bCs/>
        </w:rPr>
        <w:t>in terminating reunification services at the 18</w:t>
      </w:r>
      <w:r w:rsidR="000C6C14">
        <w:rPr>
          <w:bCs/>
        </w:rPr>
        <w:noBreakHyphen/>
      </w:r>
      <w:r w:rsidR="00C413AF">
        <w:rPr>
          <w:bCs/>
        </w:rPr>
        <w:t xml:space="preserve">month permanency review hearing, </w:t>
      </w:r>
      <w:r w:rsidR="00715ADC">
        <w:rPr>
          <w:bCs/>
        </w:rPr>
        <w:t>notwithstanding its finding that inadequate reunification services were provided during the most recent review period.</w:t>
      </w:r>
      <w:r w:rsidR="004A4C26">
        <w:rPr>
          <w:bCs/>
        </w:rPr>
        <w:t xml:space="preserve">  </w:t>
      </w:r>
      <w:r w:rsidR="00E540DC">
        <w:rPr>
          <w:bCs/>
        </w:rPr>
        <w:t>(</w:t>
      </w:r>
      <w:bookmarkStart w:id="12" w:name="dabmci_f5d1da2d5b574c6eb1297fd83623c576"/>
      <w:r w:rsidR="00C60965">
        <w:rPr>
          <w:bCs/>
          <w:i/>
          <w:iCs/>
        </w:rPr>
        <w:t xml:space="preserve">Earl, </w:t>
      </w:r>
      <w:r w:rsidR="00E540DC">
        <w:rPr>
          <w:bCs/>
        </w:rPr>
        <w:t>at p. 1495</w:t>
      </w:r>
      <w:bookmarkEnd w:id="12"/>
      <w:r w:rsidR="00E540DC">
        <w:rPr>
          <w:bCs/>
        </w:rPr>
        <w:t xml:space="preserve">.)  </w:t>
      </w:r>
      <w:r w:rsidR="007E4DB9">
        <w:rPr>
          <w:bCs/>
        </w:rPr>
        <w:t xml:space="preserve">As we explained in </w:t>
      </w:r>
      <w:bookmarkStart w:id="13" w:name="dabmci_e5e2872a353b4d94b3c78660e8a75ceb"/>
      <w:r w:rsidR="007E4DB9">
        <w:rPr>
          <w:bCs/>
          <w:i/>
          <w:iCs/>
        </w:rPr>
        <w:t>Earl</w:t>
      </w:r>
      <w:bookmarkEnd w:id="13"/>
      <w:r w:rsidR="007E4DB9">
        <w:rPr>
          <w:bCs/>
        </w:rPr>
        <w:t xml:space="preserve">, </w:t>
      </w:r>
      <w:r w:rsidR="00E540DC">
        <w:rPr>
          <w:bCs/>
        </w:rPr>
        <w:t xml:space="preserve">the </w:t>
      </w:r>
      <w:r w:rsidR="007E4DB9">
        <w:rPr>
          <w:bCs/>
        </w:rPr>
        <w:t xml:space="preserve">setting </w:t>
      </w:r>
      <w:r w:rsidR="00464FB9">
        <w:rPr>
          <w:bCs/>
        </w:rPr>
        <w:t xml:space="preserve">of </w:t>
      </w:r>
      <w:r w:rsidR="007E4DB9">
        <w:rPr>
          <w:bCs/>
        </w:rPr>
        <w:t>a section 366.26 hearing</w:t>
      </w:r>
      <w:r w:rsidR="00E540DC">
        <w:rPr>
          <w:bCs/>
        </w:rPr>
        <w:t xml:space="preserve"> </w:t>
      </w:r>
      <w:r w:rsidR="006403C7">
        <w:rPr>
          <w:bCs/>
        </w:rPr>
        <w:t>at the 18</w:t>
      </w:r>
      <w:r w:rsidR="000C6C14">
        <w:rPr>
          <w:bCs/>
        </w:rPr>
        <w:noBreakHyphen/>
      </w:r>
      <w:r w:rsidR="006403C7">
        <w:rPr>
          <w:bCs/>
        </w:rPr>
        <w:t>month permanency review hearing</w:t>
      </w:r>
      <w:r w:rsidR="007E4DB9">
        <w:rPr>
          <w:bCs/>
        </w:rPr>
        <w:t xml:space="preserve"> is not </w:t>
      </w:r>
      <w:r w:rsidR="006B4FD4">
        <w:rPr>
          <w:bCs/>
        </w:rPr>
        <w:t>“‘</w:t>
      </w:r>
      <w:r w:rsidR="007E4DB9">
        <w:rPr>
          <w:bCs/>
        </w:rPr>
        <w:t>conditioned on a reasonable services</w:t>
      </w:r>
      <w:r w:rsidR="00437463">
        <w:rPr>
          <w:bCs/>
        </w:rPr>
        <w:t xml:space="preserve"> finding</w:t>
      </w:r>
      <w:r w:rsidR="006B4FD4">
        <w:rPr>
          <w:bCs/>
        </w:rPr>
        <w:t>’”</w:t>
      </w:r>
      <w:r w:rsidR="007E4DB9">
        <w:rPr>
          <w:bCs/>
        </w:rPr>
        <w:t xml:space="preserve">; </w:t>
      </w:r>
      <w:r w:rsidR="006F21C5">
        <w:rPr>
          <w:bCs/>
        </w:rPr>
        <w:t xml:space="preserve">although subdivision </w:t>
      </w:r>
      <w:r w:rsidR="006F21C5" w:rsidRPr="00F208E8">
        <w:rPr>
          <w:bCs/>
        </w:rPr>
        <w:t>(b) provides a limited right to a continuance</w:t>
      </w:r>
      <w:r w:rsidR="00422E62" w:rsidRPr="00F208E8">
        <w:rPr>
          <w:bCs/>
        </w:rPr>
        <w:t xml:space="preserve"> if reasonable services were not provided</w:t>
      </w:r>
      <w:r w:rsidR="006F21C5" w:rsidRPr="00F208E8">
        <w:rPr>
          <w:bCs/>
        </w:rPr>
        <w:t xml:space="preserve"> in certain unique circumstances, </w:t>
      </w:r>
      <w:r w:rsidR="00C11E83">
        <w:rPr>
          <w:bCs/>
        </w:rPr>
        <w:t xml:space="preserve">where </w:t>
      </w:r>
      <w:r w:rsidR="00B77112" w:rsidRPr="00F208E8">
        <w:rPr>
          <w:bCs/>
        </w:rPr>
        <w:t>subdivision (b) is inapplicable (as is the case here)</w:t>
      </w:r>
      <w:r w:rsidR="00F004C6" w:rsidRPr="00F208E8">
        <w:rPr>
          <w:bCs/>
        </w:rPr>
        <w:t xml:space="preserve">, the lack of reasonable services cannot bar </w:t>
      </w:r>
      <w:r w:rsidR="0027742A" w:rsidRPr="00F208E8">
        <w:rPr>
          <w:bCs/>
        </w:rPr>
        <w:t>the setting of a section 366.26 hearing.  (</w:t>
      </w:r>
      <w:r w:rsidR="004A5CDE">
        <w:rPr>
          <w:bCs/>
        </w:rPr>
        <w:t xml:space="preserve">See </w:t>
      </w:r>
      <w:bookmarkStart w:id="14" w:name="dabmci_46f6c0cf6619485fa5a3bbc6ae61ba56"/>
      <w:r w:rsidR="00C11E83">
        <w:rPr>
          <w:bCs/>
          <w:i/>
          <w:iCs/>
        </w:rPr>
        <w:t xml:space="preserve">Earl, </w:t>
      </w:r>
      <w:r w:rsidR="0027742A" w:rsidRPr="00F208E8">
        <w:t>at p. 1504</w:t>
      </w:r>
      <w:bookmarkEnd w:id="14"/>
      <w:r w:rsidR="0027742A" w:rsidRPr="00F208E8">
        <w:t>.)</w:t>
      </w:r>
      <w:r w:rsidR="00C60965" w:rsidRPr="00F208E8">
        <w:t xml:space="preserve"> </w:t>
      </w:r>
      <w:r w:rsidR="00031F8B">
        <w:t xml:space="preserve"> </w:t>
      </w:r>
      <w:r w:rsidR="00C60965" w:rsidRPr="00F208E8">
        <w:t xml:space="preserve">Similarly, in </w:t>
      </w:r>
      <w:bookmarkStart w:id="15" w:name="dabmci_ff527013ee23407d8fcb439cb2ed65f3"/>
      <w:r w:rsidR="00C60965" w:rsidRPr="00F208E8">
        <w:rPr>
          <w:i/>
          <w:iCs/>
        </w:rPr>
        <w:t>San Joaquin</w:t>
      </w:r>
      <w:bookmarkEnd w:id="15"/>
      <w:r w:rsidR="00C60965" w:rsidRPr="00F208E8">
        <w:t xml:space="preserve">, our colleagues in the Third District concluded </w:t>
      </w:r>
      <w:r w:rsidR="00547BF2" w:rsidRPr="00F208E8">
        <w:t xml:space="preserve">the lower court </w:t>
      </w:r>
      <w:r w:rsidR="00380FAB">
        <w:t>lacked the ability to</w:t>
      </w:r>
      <w:r w:rsidR="00D32BC5" w:rsidRPr="00F208E8">
        <w:rPr>
          <w:bCs/>
        </w:rPr>
        <w:t xml:space="preserve"> “extend services beyond 18 months, regardless of whether or not reasonable services were provided</w:t>
      </w:r>
      <w:r w:rsidR="000D0A85">
        <w:rPr>
          <w:bCs/>
        </w:rPr>
        <w:t>,</w:t>
      </w:r>
      <w:r w:rsidR="00D32BC5" w:rsidRPr="00F208E8">
        <w:rPr>
          <w:bCs/>
        </w:rPr>
        <w:t xml:space="preserve">” because “the statutorily required factors </w:t>
      </w:r>
      <w:r w:rsidR="00547BF2" w:rsidRPr="00F208E8">
        <w:rPr>
          <w:bCs/>
        </w:rPr>
        <w:t>[</w:t>
      </w:r>
      <w:r w:rsidR="00EC0AAC" w:rsidRPr="00F208E8">
        <w:rPr>
          <w:bCs/>
        </w:rPr>
        <w:t xml:space="preserve">i.e., those listed in </w:t>
      </w:r>
      <w:r w:rsidR="000D0A85">
        <w:rPr>
          <w:bCs/>
        </w:rPr>
        <w:t xml:space="preserve">section </w:t>
      </w:r>
      <w:r w:rsidR="00F208E8" w:rsidRPr="00F208E8">
        <w:rPr>
          <w:bCs/>
        </w:rPr>
        <w:t xml:space="preserve">366.22, subdivision (b)] </w:t>
      </w:r>
      <w:r w:rsidR="00D32BC5" w:rsidRPr="00F208E8">
        <w:rPr>
          <w:bCs/>
        </w:rPr>
        <w:t>were not present</w:t>
      </w:r>
      <w:r w:rsidR="00F208E8" w:rsidRPr="00F208E8">
        <w:rPr>
          <w:bCs/>
        </w:rPr>
        <w:t>.”  (</w:t>
      </w:r>
      <w:bookmarkStart w:id="16" w:name="dabmci_43445fb6f0ce46628cb84e47680e8921"/>
      <w:r w:rsidR="00F208E8" w:rsidRPr="00F208E8">
        <w:rPr>
          <w:bCs/>
          <w:i/>
          <w:iCs/>
        </w:rPr>
        <w:t>San Joaquin</w:t>
      </w:r>
      <w:r w:rsidR="00F208E8" w:rsidRPr="00F208E8">
        <w:rPr>
          <w:bCs/>
        </w:rPr>
        <w:t>, at p. 22</w:t>
      </w:r>
      <w:bookmarkEnd w:id="16"/>
      <w:r w:rsidR="00C32158">
        <w:rPr>
          <w:bCs/>
        </w:rPr>
        <w:t>4</w:t>
      </w:r>
      <w:r w:rsidR="0019154D">
        <w:rPr>
          <w:bCs/>
        </w:rPr>
        <w:t xml:space="preserve">; see also </w:t>
      </w:r>
      <w:bookmarkStart w:id="17" w:name="dabmci_b96fcfe2988b413c8fa67e804576a0bc"/>
      <w:r w:rsidR="00800B8A" w:rsidRPr="003B56E0">
        <w:rPr>
          <w:bCs/>
          <w:i/>
          <w:iCs/>
        </w:rPr>
        <w:t>N.M.</w:t>
      </w:r>
      <w:r w:rsidR="000D0A85">
        <w:rPr>
          <w:bCs/>
          <w:i/>
          <w:iCs/>
        </w:rPr>
        <w:t xml:space="preserve">, supra, </w:t>
      </w:r>
      <w:r w:rsidR="00800B8A" w:rsidRPr="00BF37EC">
        <w:rPr>
          <w:bCs/>
        </w:rPr>
        <w:t xml:space="preserve">5 Cal.App.5th </w:t>
      </w:r>
      <w:r w:rsidR="000D0A85">
        <w:rPr>
          <w:bCs/>
        </w:rPr>
        <w:t>at p.</w:t>
      </w:r>
      <w:r w:rsidR="00462A60">
        <w:rPr>
          <w:bCs/>
        </w:rPr>
        <w:t xml:space="preserve"> 806</w:t>
      </w:r>
      <w:bookmarkEnd w:id="17"/>
      <w:r w:rsidR="0019154D">
        <w:rPr>
          <w:bCs/>
        </w:rPr>
        <w:t xml:space="preserve"> [if</w:t>
      </w:r>
      <w:r w:rsidR="00BF37EC" w:rsidRPr="00BF37EC">
        <w:rPr>
          <w:bCs/>
        </w:rPr>
        <w:t xml:space="preserve"> returning a child to </w:t>
      </w:r>
      <w:r w:rsidR="00C32158">
        <w:rPr>
          <w:bCs/>
        </w:rPr>
        <w:t xml:space="preserve">his or </w:t>
      </w:r>
      <w:r w:rsidR="00BF37EC" w:rsidRPr="00BF37EC">
        <w:rPr>
          <w:bCs/>
        </w:rPr>
        <w:t xml:space="preserve">her parent would create a substantial risk for </w:t>
      </w:r>
      <w:r w:rsidR="00C32158">
        <w:rPr>
          <w:bCs/>
        </w:rPr>
        <w:t>the</w:t>
      </w:r>
      <w:r w:rsidR="00BF37EC" w:rsidRPr="00BF37EC">
        <w:rPr>
          <w:bCs/>
        </w:rPr>
        <w:t xml:space="preserve"> child, and subdivision </w:t>
      </w:r>
      <w:r w:rsidR="00D17FDE">
        <w:rPr>
          <w:bCs/>
        </w:rPr>
        <w:t xml:space="preserve">(b) </w:t>
      </w:r>
      <w:r w:rsidR="00BF37EC" w:rsidRPr="00BF37EC">
        <w:rPr>
          <w:bCs/>
        </w:rPr>
        <w:t xml:space="preserve">does </w:t>
      </w:r>
      <w:r w:rsidR="00BF37EC" w:rsidRPr="00932CAC">
        <w:rPr>
          <w:bCs/>
        </w:rPr>
        <w:t>not</w:t>
      </w:r>
      <w:r w:rsidR="00BF37EC" w:rsidRPr="00BF37EC">
        <w:rPr>
          <w:bCs/>
        </w:rPr>
        <w:t xml:space="preserve"> apply, </w:t>
      </w:r>
      <w:r w:rsidR="00C32158">
        <w:rPr>
          <w:bCs/>
        </w:rPr>
        <w:t xml:space="preserve">the </w:t>
      </w:r>
      <w:r w:rsidR="00932CAC">
        <w:rPr>
          <w:bCs/>
        </w:rPr>
        <w:t>court must set</w:t>
      </w:r>
      <w:r w:rsidR="00C32158">
        <w:rPr>
          <w:bCs/>
        </w:rPr>
        <w:t xml:space="preserve"> the</w:t>
      </w:r>
      <w:r w:rsidR="00932CAC">
        <w:rPr>
          <w:bCs/>
        </w:rPr>
        <w:t xml:space="preserve"> section 366.26 hearing and terminate services</w:t>
      </w:r>
      <w:r w:rsidR="00462A60">
        <w:rPr>
          <w:bCs/>
        </w:rPr>
        <w:t>].)</w:t>
      </w:r>
    </w:p>
    <w:p w14:paraId="28700106" w14:textId="3F3CB722" w:rsidR="00D17FDE" w:rsidRDefault="00053863" w:rsidP="00055EB9">
      <w:pPr>
        <w:tabs>
          <w:tab w:val="left" w:pos="1440"/>
          <w:tab w:val="left" w:pos="2880"/>
          <w:tab w:val="left" w:pos="4320"/>
          <w:tab w:val="left" w:pos="5760"/>
          <w:tab w:val="left" w:pos="7200"/>
          <w:tab w:val="left" w:pos="8640"/>
        </w:tabs>
        <w:spacing w:line="480" w:lineRule="atLeast"/>
        <w:rPr>
          <w:color w:val="000000"/>
          <w:szCs w:val="26"/>
        </w:rPr>
      </w:pPr>
      <w:r w:rsidRPr="005E7D84">
        <w:rPr>
          <w:bCs/>
          <w:szCs w:val="26"/>
        </w:rPr>
        <w:tab/>
      </w:r>
      <w:r w:rsidR="007B4B1D">
        <w:rPr>
          <w:bCs/>
          <w:szCs w:val="26"/>
        </w:rPr>
        <w:t>This is a difficult issue, and w</w:t>
      </w:r>
      <w:r w:rsidR="001E5DEE" w:rsidRPr="005E7D84">
        <w:rPr>
          <w:bCs/>
          <w:szCs w:val="26"/>
        </w:rPr>
        <w:t xml:space="preserve">e </w:t>
      </w:r>
      <w:r w:rsidR="00417205" w:rsidRPr="005E7D84">
        <w:rPr>
          <w:bCs/>
          <w:szCs w:val="26"/>
        </w:rPr>
        <w:t xml:space="preserve">recognize </w:t>
      </w:r>
      <w:r w:rsidR="007B4B1D">
        <w:rPr>
          <w:bCs/>
          <w:szCs w:val="26"/>
        </w:rPr>
        <w:t>“[t]</w:t>
      </w:r>
      <w:r w:rsidR="00670916" w:rsidRPr="005E7D84">
        <w:rPr>
          <w:szCs w:val="26"/>
          <w:shd w:val="clear" w:color="auto" w:fill="FFFFFF"/>
        </w:rPr>
        <w:t xml:space="preserve">here is </w:t>
      </w:r>
      <w:r w:rsidR="00670916" w:rsidRPr="00C60A9F">
        <w:rPr>
          <w:color w:val="000000"/>
          <w:szCs w:val="26"/>
          <w:shd w:val="clear" w:color="auto" w:fill="FFFFFF"/>
        </w:rPr>
        <w:t>a split of authority in case law whether the juvenile court must observe the 18</w:t>
      </w:r>
      <w:r w:rsidR="00C32158">
        <w:rPr>
          <w:color w:val="000000"/>
          <w:szCs w:val="26"/>
          <w:shd w:val="clear" w:color="auto" w:fill="FFFFFF"/>
        </w:rPr>
        <w:noBreakHyphen/>
      </w:r>
      <w:r w:rsidR="00670916" w:rsidRPr="00C60A9F">
        <w:rPr>
          <w:color w:val="000000"/>
          <w:szCs w:val="26"/>
          <w:shd w:val="clear" w:color="auto" w:fill="FFFFFF"/>
        </w:rPr>
        <w:t>month deadline for setting a section</w:t>
      </w:r>
      <w:r w:rsidR="00C32158">
        <w:rPr>
          <w:color w:val="000000"/>
          <w:szCs w:val="26"/>
          <w:shd w:val="clear" w:color="auto" w:fill="FFFFFF"/>
        </w:rPr>
        <w:t> </w:t>
      </w:r>
      <w:r w:rsidR="00670916" w:rsidRPr="00C60A9F">
        <w:rPr>
          <w:color w:val="000000"/>
          <w:szCs w:val="26"/>
          <w:shd w:val="clear" w:color="auto" w:fill="FFFFFF"/>
        </w:rPr>
        <w:t>366.26 placement hearing when reasonable services have not been provided.</w:t>
      </w:r>
      <w:r w:rsidR="00C60A9F" w:rsidRPr="00C60A9F">
        <w:rPr>
          <w:color w:val="000000"/>
          <w:szCs w:val="26"/>
          <w:shd w:val="clear" w:color="auto" w:fill="FFFFFF"/>
        </w:rPr>
        <w:t>”  (</w:t>
      </w:r>
      <w:bookmarkStart w:id="18" w:name="dabmci_232a821013b74b488e46bfe26d6f845c"/>
      <w:r w:rsidR="00670916" w:rsidRPr="00C60A9F">
        <w:rPr>
          <w:i/>
          <w:iCs/>
          <w:color w:val="000000"/>
          <w:szCs w:val="26"/>
          <w:bdr w:val="none" w:sz="0" w:space="0" w:color="auto" w:frame="1"/>
        </w:rPr>
        <w:t>M.F.</w:t>
      </w:r>
      <w:r w:rsidR="00800B8A">
        <w:rPr>
          <w:color w:val="000000"/>
          <w:szCs w:val="26"/>
        </w:rPr>
        <w:t xml:space="preserve">, </w:t>
      </w:r>
      <w:r w:rsidR="00800B8A" w:rsidRPr="00800B8A">
        <w:rPr>
          <w:i/>
          <w:iCs/>
          <w:color w:val="000000"/>
          <w:szCs w:val="26"/>
        </w:rPr>
        <w:t>supra</w:t>
      </w:r>
      <w:r w:rsidR="00800B8A">
        <w:rPr>
          <w:color w:val="000000"/>
          <w:szCs w:val="26"/>
        </w:rPr>
        <w:t xml:space="preserve">, </w:t>
      </w:r>
      <w:r w:rsidR="00670916" w:rsidRPr="00C60A9F">
        <w:rPr>
          <w:color w:val="000000"/>
          <w:szCs w:val="26"/>
        </w:rPr>
        <w:t xml:space="preserve">32 Cal.App.5th </w:t>
      </w:r>
      <w:r w:rsidR="00800B8A">
        <w:rPr>
          <w:color w:val="000000"/>
          <w:szCs w:val="26"/>
        </w:rPr>
        <w:t>at p.</w:t>
      </w:r>
      <w:r w:rsidR="00670916" w:rsidRPr="00C60A9F">
        <w:rPr>
          <w:color w:val="000000"/>
          <w:szCs w:val="26"/>
        </w:rPr>
        <w:t xml:space="preserve"> 21 [</w:t>
      </w:r>
      <w:r w:rsidR="005E1E4C">
        <w:rPr>
          <w:color w:val="000000"/>
          <w:szCs w:val="26"/>
        </w:rPr>
        <w:t>collecting cases]</w:t>
      </w:r>
      <w:bookmarkEnd w:id="18"/>
      <w:r w:rsidR="006A5472">
        <w:rPr>
          <w:color w:val="000000"/>
          <w:szCs w:val="26"/>
        </w:rPr>
        <w:t xml:space="preserve">; </w:t>
      </w:r>
      <w:r w:rsidR="00B65609">
        <w:rPr>
          <w:i/>
          <w:iCs/>
          <w:color w:val="000000"/>
          <w:szCs w:val="26"/>
        </w:rPr>
        <w:t xml:space="preserve">see </w:t>
      </w:r>
      <w:bookmarkStart w:id="19" w:name="dabmci_55d22850604240d5b53bf2f988398c62"/>
      <w:r w:rsidR="00B65609">
        <w:rPr>
          <w:i/>
          <w:iCs/>
          <w:color w:val="000000"/>
          <w:szCs w:val="26"/>
        </w:rPr>
        <w:t>id.</w:t>
      </w:r>
      <w:r w:rsidR="00B65609">
        <w:rPr>
          <w:color w:val="000000"/>
          <w:szCs w:val="26"/>
        </w:rPr>
        <w:t xml:space="preserve"> at p. 23</w:t>
      </w:r>
      <w:bookmarkEnd w:id="19"/>
      <w:r w:rsidR="00B65609">
        <w:rPr>
          <w:color w:val="000000"/>
          <w:szCs w:val="26"/>
        </w:rPr>
        <w:t xml:space="preserve"> [concluding </w:t>
      </w:r>
      <w:r w:rsidR="0041640D">
        <w:rPr>
          <w:color w:val="000000"/>
          <w:szCs w:val="26"/>
        </w:rPr>
        <w:t xml:space="preserve">dependency </w:t>
      </w:r>
      <w:r w:rsidR="00B65609">
        <w:rPr>
          <w:color w:val="000000"/>
          <w:szCs w:val="26"/>
        </w:rPr>
        <w:t xml:space="preserve">statutes allow court </w:t>
      </w:r>
      <w:r w:rsidR="00694A9B">
        <w:rPr>
          <w:color w:val="000000"/>
          <w:szCs w:val="26"/>
        </w:rPr>
        <w:t>to</w:t>
      </w:r>
      <w:r w:rsidR="00B65609">
        <w:rPr>
          <w:color w:val="000000"/>
          <w:szCs w:val="26"/>
        </w:rPr>
        <w:t xml:space="preserve"> “</w:t>
      </w:r>
      <w:r w:rsidR="00B65609" w:rsidRPr="00B65609">
        <w:rPr>
          <w:color w:val="000000"/>
          <w:szCs w:val="26"/>
        </w:rPr>
        <w:t xml:space="preserve">extend services on a finding that reasonable services </w:t>
      </w:r>
      <w:r w:rsidR="00B65609" w:rsidRPr="00B65609">
        <w:rPr>
          <w:color w:val="000000"/>
          <w:szCs w:val="26"/>
        </w:rPr>
        <w:lastRenderedPageBreak/>
        <w:t>were not offered or provided to a parent, even if it means that services will be offered beyond the 18-month review date</w:t>
      </w:r>
      <w:r w:rsidR="00B65609">
        <w:rPr>
          <w:color w:val="000000"/>
          <w:szCs w:val="26"/>
        </w:rPr>
        <w:t>”]</w:t>
      </w:r>
      <w:r w:rsidR="00C32158">
        <w:rPr>
          <w:color w:val="000000"/>
          <w:szCs w:val="26"/>
        </w:rPr>
        <w:t>.)</w:t>
      </w:r>
      <w:r>
        <w:rPr>
          <w:rStyle w:val="FootnoteReference"/>
          <w:szCs w:val="26"/>
        </w:rPr>
        <w:footnoteReference w:id="5"/>
      </w:r>
      <w:r w:rsidR="009D25A1">
        <w:rPr>
          <w:color w:val="000000"/>
          <w:szCs w:val="26"/>
        </w:rPr>
        <w:t xml:space="preserve">  </w:t>
      </w:r>
    </w:p>
    <w:p w14:paraId="4C52A182" w14:textId="03F79F08" w:rsidR="00641152" w:rsidRDefault="00053863" w:rsidP="00055EB9">
      <w:pPr>
        <w:tabs>
          <w:tab w:val="left" w:pos="1440"/>
          <w:tab w:val="left" w:pos="2880"/>
          <w:tab w:val="left" w:pos="4320"/>
          <w:tab w:val="left" w:pos="5760"/>
          <w:tab w:val="left" w:pos="7200"/>
          <w:tab w:val="left" w:pos="8640"/>
        </w:tabs>
        <w:spacing w:line="480" w:lineRule="atLeast"/>
        <w:rPr>
          <w:bCs/>
        </w:rPr>
      </w:pPr>
      <w:r>
        <w:rPr>
          <w:color w:val="000000"/>
          <w:szCs w:val="26"/>
        </w:rPr>
        <w:tab/>
      </w:r>
      <w:r>
        <w:rPr>
          <w:color w:val="000000"/>
          <w:szCs w:val="26"/>
        </w:rPr>
        <w:t xml:space="preserve">That split is not wholly surprising.  </w:t>
      </w:r>
      <w:r w:rsidR="006A2F4F">
        <w:rPr>
          <w:color w:val="000000"/>
          <w:szCs w:val="26"/>
        </w:rPr>
        <w:t>In</w:t>
      </w:r>
      <w:r w:rsidR="00A20A5C">
        <w:rPr>
          <w:color w:val="000000"/>
          <w:szCs w:val="26"/>
        </w:rPr>
        <w:t xml:space="preserve"> a statement </w:t>
      </w:r>
      <w:r w:rsidR="003002AC">
        <w:rPr>
          <w:color w:val="000000"/>
          <w:szCs w:val="26"/>
        </w:rPr>
        <w:t xml:space="preserve">supporting the California Supreme Court’s denial </w:t>
      </w:r>
      <w:r w:rsidR="00FB30B6">
        <w:rPr>
          <w:color w:val="000000"/>
          <w:szCs w:val="26"/>
        </w:rPr>
        <w:t xml:space="preserve">of </w:t>
      </w:r>
      <w:r w:rsidR="002F687D">
        <w:rPr>
          <w:color w:val="000000"/>
          <w:szCs w:val="26"/>
        </w:rPr>
        <w:t xml:space="preserve">review of </w:t>
      </w:r>
      <w:r w:rsidR="003002AC">
        <w:rPr>
          <w:color w:val="000000"/>
          <w:szCs w:val="26"/>
        </w:rPr>
        <w:t xml:space="preserve">our </w:t>
      </w:r>
      <w:r w:rsidR="003002AC" w:rsidRPr="00727A3B">
        <w:rPr>
          <w:szCs w:val="26"/>
        </w:rPr>
        <w:t xml:space="preserve">2017 opinion in </w:t>
      </w:r>
      <w:r w:rsidR="003002AC" w:rsidRPr="00727A3B">
        <w:rPr>
          <w:i/>
          <w:iCs/>
          <w:szCs w:val="26"/>
        </w:rPr>
        <w:t>J.C. v. Superior Court</w:t>
      </w:r>
      <w:r w:rsidR="0058696E" w:rsidRPr="00800B8A">
        <w:rPr>
          <w:szCs w:val="26"/>
        </w:rPr>
        <w:t>,</w:t>
      </w:r>
      <w:r w:rsidR="00FB30B6" w:rsidRPr="00800B8A">
        <w:rPr>
          <w:szCs w:val="26"/>
        </w:rPr>
        <w:t xml:space="preserve"> </w:t>
      </w:r>
      <w:r w:rsidR="006A2F4F">
        <w:rPr>
          <w:szCs w:val="26"/>
        </w:rPr>
        <w:t xml:space="preserve">Justice Goodwin Liu noted </w:t>
      </w:r>
      <w:r w:rsidR="00800B8A" w:rsidRPr="00800B8A">
        <w:rPr>
          <w:szCs w:val="26"/>
        </w:rPr>
        <w:t xml:space="preserve">the </w:t>
      </w:r>
      <w:r w:rsidR="007F568B" w:rsidRPr="007F568B">
        <w:rPr>
          <w:szCs w:val="26"/>
        </w:rPr>
        <w:t>“statutory scheme is ambiguous</w:t>
      </w:r>
      <w:r w:rsidR="007F568B">
        <w:rPr>
          <w:szCs w:val="26"/>
        </w:rPr>
        <w:t xml:space="preserve">” and ripe for review by the </w:t>
      </w:r>
      <w:r w:rsidR="00C32158">
        <w:rPr>
          <w:szCs w:val="26"/>
        </w:rPr>
        <w:t>L</w:t>
      </w:r>
      <w:r w:rsidR="007F568B">
        <w:rPr>
          <w:szCs w:val="26"/>
        </w:rPr>
        <w:t xml:space="preserve">egislature.  </w:t>
      </w:r>
      <w:r w:rsidR="007F568B" w:rsidRPr="00727A3B">
        <w:rPr>
          <w:szCs w:val="26"/>
        </w:rPr>
        <w:t>(</w:t>
      </w:r>
      <w:r w:rsidR="007F568B" w:rsidRPr="00727A3B">
        <w:rPr>
          <w:i/>
          <w:iCs/>
          <w:szCs w:val="26"/>
        </w:rPr>
        <w:t>J.C. v. Superior Court</w:t>
      </w:r>
      <w:r w:rsidR="00C32158">
        <w:rPr>
          <w:szCs w:val="26"/>
        </w:rPr>
        <w:t xml:space="preserve"> (</w:t>
      </w:r>
      <w:r w:rsidR="007F568B" w:rsidRPr="00727A3B">
        <w:rPr>
          <w:szCs w:val="26"/>
        </w:rPr>
        <w:t>June 28, 2017, G054816) [nonpub</w:t>
      </w:r>
      <w:r w:rsidR="007F568B" w:rsidRPr="00871112">
        <w:rPr>
          <w:szCs w:val="26"/>
        </w:rPr>
        <w:t xml:space="preserve">. opn.] review den. Aug. 23, 2017, S243357 (stmt. of </w:t>
      </w:r>
      <w:bookmarkStart w:id="21" w:name="dabmci_e87decf159c049649656ceb16a79087c"/>
      <w:r w:rsidR="007F568B" w:rsidRPr="00871112">
        <w:rPr>
          <w:szCs w:val="26"/>
        </w:rPr>
        <w:t>Liu, J. [2017 Cal. Lexis 6576</w:t>
      </w:r>
      <w:bookmarkEnd w:id="21"/>
      <w:r w:rsidR="007F568B" w:rsidRPr="00871112">
        <w:rPr>
          <w:szCs w:val="26"/>
        </w:rPr>
        <w:t>, at p. *</w:t>
      </w:r>
      <w:r w:rsidR="00C32158">
        <w:rPr>
          <w:szCs w:val="26"/>
        </w:rPr>
        <w:t>11</w:t>
      </w:r>
      <w:r w:rsidR="007F568B" w:rsidRPr="00871112">
        <w:rPr>
          <w:szCs w:val="26"/>
        </w:rPr>
        <w:t>]</w:t>
      </w:r>
      <w:r w:rsidR="00C32158">
        <w:rPr>
          <w:szCs w:val="26"/>
        </w:rPr>
        <w:t xml:space="preserve"> (Statement , Liu, J.)</w:t>
      </w:r>
      <w:r w:rsidR="007F568B" w:rsidRPr="00871112">
        <w:rPr>
          <w:szCs w:val="26"/>
        </w:rPr>
        <w:t xml:space="preserve">.)  </w:t>
      </w:r>
      <w:r w:rsidR="009E0D79">
        <w:rPr>
          <w:szCs w:val="26"/>
        </w:rPr>
        <w:t xml:space="preserve">We agree.  </w:t>
      </w:r>
      <w:r w:rsidR="007F568B">
        <w:rPr>
          <w:szCs w:val="26"/>
        </w:rPr>
        <w:t xml:space="preserve">As Justice Liu </w:t>
      </w:r>
      <w:r w:rsidR="006A2F4F">
        <w:rPr>
          <w:szCs w:val="26"/>
        </w:rPr>
        <w:t>observed</w:t>
      </w:r>
      <w:r w:rsidR="007F568B">
        <w:rPr>
          <w:szCs w:val="26"/>
        </w:rPr>
        <w:t xml:space="preserve">, </w:t>
      </w:r>
      <w:r w:rsidR="0087036C">
        <w:rPr>
          <w:szCs w:val="26"/>
        </w:rPr>
        <w:t>although some authority (e.g.,</w:t>
      </w:r>
      <w:r w:rsidR="00811625">
        <w:rPr>
          <w:szCs w:val="26"/>
        </w:rPr>
        <w:t xml:space="preserve"> section 366.22 and</w:t>
      </w:r>
      <w:r w:rsidR="0087036C">
        <w:rPr>
          <w:szCs w:val="26"/>
        </w:rPr>
        <w:t xml:space="preserve"> </w:t>
      </w:r>
      <w:r w:rsidR="0087036C">
        <w:rPr>
          <w:i/>
          <w:iCs/>
          <w:szCs w:val="26"/>
        </w:rPr>
        <w:t xml:space="preserve">San </w:t>
      </w:r>
      <w:r w:rsidR="0087036C" w:rsidRPr="0087036C">
        <w:rPr>
          <w:i/>
          <w:iCs/>
          <w:szCs w:val="26"/>
        </w:rPr>
        <w:t>Joaquin</w:t>
      </w:r>
      <w:r w:rsidR="0087036C">
        <w:rPr>
          <w:szCs w:val="26"/>
        </w:rPr>
        <w:t xml:space="preserve">) supports </w:t>
      </w:r>
      <w:r w:rsidR="00D94CB3" w:rsidRPr="0087036C">
        <w:rPr>
          <w:szCs w:val="26"/>
        </w:rPr>
        <w:t>the</w:t>
      </w:r>
      <w:r w:rsidR="00D94CB3">
        <w:rPr>
          <w:szCs w:val="26"/>
        </w:rPr>
        <w:t xml:space="preserve"> conclusion</w:t>
      </w:r>
      <w:r w:rsidR="00933C6C">
        <w:rPr>
          <w:szCs w:val="26"/>
        </w:rPr>
        <w:t xml:space="preserve"> that </w:t>
      </w:r>
      <w:r w:rsidR="004D0EF3">
        <w:rPr>
          <w:szCs w:val="26"/>
        </w:rPr>
        <w:t>“</w:t>
      </w:r>
      <w:r w:rsidR="004D0EF3" w:rsidRPr="004D0EF3">
        <w:rPr>
          <w:szCs w:val="26"/>
        </w:rPr>
        <w:t>the juvenile court must observe the 18</w:t>
      </w:r>
      <w:r w:rsidR="00055EB9">
        <w:rPr>
          <w:szCs w:val="26"/>
        </w:rPr>
        <w:noBreakHyphen/>
      </w:r>
      <w:r w:rsidR="004D0EF3" w:rsidRPr="004D0EF3">
        <w:rPr>
          <w:szCs w:val="26"/>
        </w:rPr>
        <w:t>month deadline for setting a section 366.26 placement hearing whether or not reasonable reunification services had been provided</w:t>
      </w:r>
      <w:r w:rsidR="0087036C">
        <w:rPr>
          <w:szCs w:val="26"/>
        </w:rPr>
        <w:t>,”</w:t>
      </w:r>
      <w:r w:rsidR="00933C6C">
        <w:rPr>
          <w:szCs w:val="26"/>
        </w:rPr>
        <w:t xml:space="preserve"> </w:t>
      </w:r>
      <w:r w:rsidR="000B7ECA" w:rsidRPr="00727A3B">
        <w:rPr>
          <w:bCs/>
        </w:rPr>
        <w:t>other statutory</w:t>
      </w:r>
      <w:r w:rsidR="0007558E" w:rsidRPr="00727A3B">
        <w:rPr>
          <w:bCs/>
        </w:rPr>
        <w:t xml:space="preserve"> provisions </w:t>
      </w:r>
      <w:r w:rsidR="00C94D2B">
        <w:rPr>
          <w:bCs/>
        </w:rPr>
        <w:t>suggest or imply</w:t>
      </w:r>
      <w:r w:rsidR="0007558E" w:rsidRPr="00727A3B">
        <w:rPr>
          <w:bCs/>
        </w:rPr>
        <w:t xml:space="preserve"> that the</w:t>
      </w:r>
      <w:r w:rsidR="0058696E">
        <w:rPr>
          <w:bCs/>
        </w:rPr>
        <w:t xml:space="preserve"> section 366.26</w:t>
      </w:r>
      <w:r w:rsidR="0007558E" w:rsidRPr="00727A3B">
        <w:rPr>
          <w:bCs/>
        </w:rPr>
        <w:t xml:space="preserve"> placement process may not move forward unless </w:t>
      </w:r>
      <w:r w:rsidR="0007558E" w:rsidRPr="00727A3B">
        <w:rPr>
          <w:bCs/>
        </w:rPr>
        <w:lastRenderedPageBreak/>
        <w:t xml:space="preserve">reasonable reunification services </w:t>
      </w:r>
      <w:r w:rsidR="0087036C">
        <w:rPr>
          <w:bCs/>
        </w:rPr>
        <w:t>were</w:t>
      </w:r>
      <w:r w:rsidR="0007558E" w:rsidRPr="00727A3B">
        <w:rPr>
          <w:bCs/>
        </w:rPr>
        <w:t xml:space="preserve"> provided</w:t>
      </w:r>
      <w:r w:rsidR="00871112">
        <w:rPr>
          <w:bCs/>
        </w:rPr>
        <w:t>.</w:t>
      </w:r>
      <w:r>
        <w:rPr>
          <w:rStyle w:val="FootnoteReference"/>
          <w:bCs/>
        </w:rPr>
        <w:footnoteReference w:id="6"/>
      </w:r>
      <w:r w:rsidR="00871112">
        <w:rPr>
          <w:bCs/>
        </w:rPr>
        <w:t xml:space="preserve">  </w:t>
      </w:r>
      <w:r w:rsidR="00FB30B6" w:rsidRPr="00727A3B">
        <w:rPr>
          <w:szCs w:val="26"/>
        </w:rPr>
        <w:t>(</w:t>
      </w:r>
      <w:r w:rsidR="00C32158" w:rsidRPr="00C32158">
        <w:rPr>
          <w:szCs w:val="26"/>
        </w:rPr>
        <w:t xml:space="preserve">Statement, Liu, J., </w:t>
      </w:r>
      <w:r w:rsidR="00C32158" w:rsidRPr="00C32158">
        <w:rPr>
          <w:i/>
          <w:iCs/>
          <w:szCs w:val="26"/>
        </w:rPr>
        <w:t>supra</w:t>
      </w:r>
      <w:r w:rsidR="00C32158">
        <w:rPr>
          <w:i/>
          <w:iCs/>
          <w:szCs w:val="26"/>
        </w:rPr>
        <w:t>,</w:t>
      </w:r>
      <w:r w:rsidR="007F568B">
        <w:rPr>
          <w:szCs w:val="26"/>
        </w:rPr>
        <w:t xml:space="preserve"> at </w:t>
      </w:r>
      <w:r w:rsidR="00C32158">
        <w:rPr>
          <w:szCs w:val="26"/>
        </w:rPr>
        <w:t>p</w:t>
      </w:r>
      <w:r w:rsidR="007F568B">
        <w:rPr>
          <w:szCs w:val="26"/>
        </w:rPr>
        <w:t>p.</w:t>
      </w:r>
      <w:r w:rsidR="00C32158">
        <w:rPr>
          <w:szCs w:val="26"/>
        </w:rPr>
        <w:t> </w:t>
      </w:r>
      <w:r w:rsidR="007F568B">
        <w:rPr>
          <w:szCs w:val="26"/>
        </w:rPr>
        <w:t>*</w:t>
      </w:r>
      <w:r w:rsidR="00C32158">
        <w:rPr>
          <w:szCs w:val="26"/>
        </w:rPr>
        <w:t>9</w:t>
      </w:r>
      <w:r w:rsidR="00C32158">
        <w:rPr>
          <w:szCs w:val="26"/>
        </w:rPr>
        <w:noBreakHyphen/>
        <w:t>10</w:t>
      </w:r>
      <w:r w:rsidR="007F568B">
        <w:rPr>
          <w:szCs w:val="26"/>
        </w:rPr>
        <w:t>.)</w:t>
      </w:r>
      <w:r w:rsidR="00FB30B6" w:rsidRPr="00871112">
        <w:rPr>
          <w:szCs w:val="26"/>
        </w:rPr>
        <w:t xml:space="preserve"> </w:t>
      </w:r>
      <w:r w:rsidR="00871112" w:rsidRPr="00871112">
        <w:rPr>
          <w:szCs w:val="26"/>
        </w:rPr>
        <w:t xml:space="preserve"> </w:t>
      </w:r>
    </w:p>
    <w:p w14:paraId="0293BD88" w14:textId="0CC33E72" w:rsidR="0061526F" w:rsidRDefault="00053863" w:rsidP="00055EB9">
      <w:pPr>
        <w:tabs>
          <w:tab w:val="left" w:pos="1440"/>
          <w:tab w:val="left" w:pos="2880"/>
          <w:tab w:val="left" w:pos="4320"/>
          <w:tab w:val="left" w:pos="5760"/>
          <w:tab w:val="left" w:pos="7200"/>
          <w:tab w:val="left" w:pos="8640"/>
        </w:tabs>
        <w:spacing w:line="480" w:lineRule="atLeast"/>
        <w:rPr>
          <w:bCs/>
        </w:rPr>
      </w:pPr>
      <w:r>
        <w:rPr>
          <w:bCs/>
        </w:rPr>
        <w:tab/>
        <w:t>On balance</w:t>
      </w:r>
      <w:r w:rsidR="009F11C4">
        <w:rPr>
          <w:bCs/>
        </w:rPr>
        <w:t>,</w:t>
      </w:r>
      <w:r w:rsidR="00841F54">
        <w:rPr>
          <w:bCs/>
        </w:rPr>
        <w:t xml:space="preserve"> however, we </w:t>
      </w:r>
      <w:r w:rsidR="009E0D79">
        <w:rPr>
          <w:bCs/>
        </w:rPr>
        <w:t xml:space="preserve">feel compelled to </w:t>
      </w:r>
      <w:r w:rsidR="00841F54">
        <w:rPr>
          <w:bCs/>
        </w:rPr>
        <w:t xml:space="preserve">defer to the </w:t>
      </w:r>
      <w:r w:rsidR="0006663B">
        <w:rPr>
          <w:bCs/>
        </w:rPr>
        <w:t>language in section</w:t>
      </w:r>
      <w:r w:rsidR="00C32158">
        <w:rPr>
          <w:bCs/>
        </w:rPr>
        <w:t> </w:t>
      </w:r>
      <w:r w:rsidR="0006663B">
        <w:rPr>
          <w:bCs/>
        </w:rPr>
        <w:t>366.22, subdivision (a)(3)</w:t>
      </w:r>
      <w:r w:rsidR="008868DC">
        <w:rPr>
          <w:bCs/>
        </w:rPr>
        <w:t>,</w:t>
      </w:r>
      <w:r w:rsidR="00C14A10">
        <w:rPr>
          <w:bCs/>
        </w:rPr>
        <w:t xml:space="preserve"> a</w:t>
      </w:r>
      <w:r w:rsidR="009201FC">
        <w:rPr>
          <w:bCs/>
        </w:rPr>
        <w:t>nd</w:t>
      </w:r>
      <w:r w:rsidR="00C14A10">
        <w:rPr>
          <w:bCs/>
        </w:rPr>
        <w:t xml:space="preserve"> </w:t>
      </w:r>
      <w:r w:rsidR="00C32158">
        <w:rPr>
          <w:bCs/>
        </w:rPr>
        <w:t xml:space="preserve">we </w:t>
      </w:r>
      <w:r>
        <w:rPr>
          <w:color w:val="333333"/>
          <w:szCs w:val="26"/>
          <w:shd w:val="clear" w:color="auto" w:fill="FFFFFF"/>
        </w:rPr>
        <w:t>conclude t</w:t>
      </w:r>
      <w:r>
        <w:rPr>
          <w:bCs/>
        </w:rPr>
        <w:t xml:space="preserve">he juvenile court </w:t>
      </w:r>
      <w:r w:rsidR="006C70A9">
        <w:rPr>
          <w:bCs/>
        </w:rPr>
        <w:t>properly</w:t>
      </w:r>
      <w:r>
        <w:rPr>
          <w:bCs/>
        </w:rPr>
        <w:t xml:space="preserve"> terminat</w:t>
      </w:r>
      <w:r w:rsidR="006C70A9">
        <w:rPr>
          <w:bCs/>
        </w:rPr>
        <w:t>ed</w:t>
      </w:r>
      <w:r>
        <w:rPr>
          <w:bCs/>
        </w:rPr>
        <w:t xml:space="preserve"> reunification services </w:t>
      </w:r>
      <w:r w:rsidR="00C14A10">
        <w:rPr>
          <w:bCs/>
        </w:rPr>
        <w:t xml:space="preserve">and set the section 366.26 hearing </w:t>
      </w:r>
      <w:r>
        <w:rPr>
          <w:bCs/>
        </w:rPr>
        <w:t>at the 18</w:t>
      </w:r>
      <w:r w:rsidR="00C32158">
        <w:rPr>
          <w:bCs/>
        </w:rPr>
        <w:noBreakHyphen/>
      </w:r>
      <w:r>
        <w:rPr>
          <w:bCs/>
        </w:rPr>
        <w:t>month review hearing, notwithstanding its conclusion that reasonable ser</w:t>
      </w:r>
      <w:r>
        <w:rPr>
          <w:bCs/>
        </w:rPr>
        <w:t xml:space="preserve">vices were not provided in the most recent review period.  </w:t>
      </w:r>
      <w:r w:rsidR="009455FD">
        <w:t>“We recognize denying or terminating reunification services can be heart wrenching.  But ‘in order to prevent children from spending their lives in the uncertainty of foster care, there must be a limitation on the length of time a child has to wait for a parent to become adequate.’  [Citation.]  The statutory restrictions are consistent with the overall objective of the statutory scheme—that is, the protection of abused or neglected children and the provision of permanent, stable homes if they cannot be returned to parental custody within a reasonable time.”  (</w:t>
      </w:r>
      <w:bookmarkStart w:id="22" w:name="dabmci_b2876b9dd01d4ebaae4e953164597f03"/>
      <w:r w:rsidR="009455FD" w:rsidRPr="00D149BB">
        <w:rPr>
          <w:i/>
          <w:iCs/>
        </w:rPr>
        <w:t>San</w:t>
      </w:r>
      <w:r w:rsidR="009455FD">
        <w:t xml:space="preserve"> </w:t>
      </w:r>
      <w:r w:rsidR="009455FD" w:rsidRPr="00D149BB">
        <w:rPr>
          <w:i/>
          <w:iCs/>
        </w:rPr>
        <w:t>Joaquin, supra</w:t>
      </w:r>
      <w:r w:rsidR="009455FD">
        <w:t>, 227</w:t>
      </w:r>
      <w:r w:rsidR="004E101B">
        <w:t> </w:t>
      </w:r>
      <w:r w:rsidR="009455FD">
        <w:t>Cal.App.4th at p. 225</w:t>
      </w:r>
      <w:bookmarkEnd w:id="22"/>
      <w:r w:rsidR="009455FD">
        <w:t xml:space="preserve">.)  </w:t>
      </w:r>
      <w:r w:rsidR="009E0D79">
        <w:t xml:space="preserve">We also believe the statutory scheme at issue here, despite its complexities and the ambiguity </w:t>
      </w:r>
      <w:r w:rsidR="004E101B">
        <w:t>cited by Justice Liu</w:t>
      </w:r>
      <w:r w:rsidR="009E0D79">
        <w:t xml:space="preserve">, provides parents with </w:t>
      </w:r>
      <w:r w:rsidR="009E0D79">
        <w:lastRenderedPageBreak/>
        <w:t xml:space="preserve">fundamental fairness and therefore satisfies due process requirements.  We nonetheless join Justice Liu in inviting the Legislature to reexamine the </w:t>
      </w:r>
      <w:r w:rsidR="00154528">
        <w:t>interplay of th</w:t>
      </w:r>
      <w:r w:rsidR="004E101B">
        <w:t>ese</w:t>
      </w:r>
      <w:r w:rsidR="00154528">
        <w:t xml:space="preserve"> statutes.</w:t>
      </w:r>
    </w:p>
    <w:p w14:paraId="3634D401" w14:textId="4EFD7D96" w:rsidR="003F0EA3" w:rsidRPr="009455FD" w:rsidRDefault="00053863" w:rsidP="00055EB9">
      <w:pPr>
        <w:tabs>
          <w:tab w:val="left" w:pos="1440"/>
          <w:tab w:val="left" w:pos="2880"/>
          <w:tab w:val="left" w:pos="4320"/>
          <w:tab w:val="left" w:pos="5760"/>
          <w:tab w:val="left" w:pos="7200"/>
          <w:tab w:val="left" w:pos="8640"/>
        </w:tabs>
        <w:spacing w:line="480" w:lineRule="atLeast"/>
        <w:rPr>
          <w:bCs/>
        </w:rPr>
      </w:pPr>
      <w:r>
        <w:rPr>
          <w:bCs/>
        </w:rPr>
        <w:tab/>
      </w:r>
      <w:r w:rsidR="0061526F">
        <w:rPr>
          <w:bCs/>
        </w:rPr>
        <w:t xml:space="preserve">Father </w:t>
      </w:r>
      <w:r>
        <w:rPr>
          <w:bCs/>
        </w:rPr>
        <w:t xml:space="preserve">alternatively </w:t>
      </w:r>
      <w:r w:rsidR="0061526F">
        <w:rPr>
          <w:bCs/>
        </w:rPr>
        <w:t>insists the juvenile court should have continued reunification services under section 352</w:t>
      </w:r>
      <w:r w:rsidR="009A5793">
        <w:rPr>
          <w:bCs/>
        </w:rPr>
        <w:t>,</w:t>
      </w:r>
      <w:r w:rsidR="0061526F">
        <w:rPr>
          <w:bCs/>
        </w:rPr>
        <w:t xml:space="preserve"> and its refusal to do so was an abuse of discretion. </w:t>
      </w:r>
      <w:r w:rsidR="004E101B">
        <w:rPr>
          <w:bCs/>
        </w:rPr>
        <w:t xml:space="preserve"> </w:t>
      </w:r>
      <w:r w:rsidR="0061526F">
        <w:rPr>
          <w:bCs/>
        </w:rPr>
        <w:t>We cannot agree.  Section 352 allows a court to order a continuance only if it is not “</w:t>
      </w:r>
      <w:r w:rsidR="0061526F" w:rsidRPr="0018104B">
        <w:rPr>
          <w:bCs/>
        </w:rPr>
        <w:t>contrary to the interest of the minor</w:t>
      </w:r>
      <w:r w:rsidR="0061526F">
        <w:rPr>
          <w:bCs/>
        </w:rPr>
        <w:t>,” giving “</w:t>
      </w:r>
      <w:r w:rsidR="0061526F" w:rsidRPr="0018104B">
        <w:rPr>
          <w:bCs/>
        </w:rPr>
        <w:t>substantial weight to a minor’s need for prompt resolution of his or her custody status, the need to provide children with stable environments, and the damage to a minor of prolonged temporary placements.</w:t>
      </w:r>
      <w:r w:rsidR="0061526F">
        <w:rPr>
          <w:bCs/>
        </w:rPr>
        <w:t>”  (§</w:t>
      </w:r>
      <w:r w:rsidR="004E101B">
        <w:rPr>
          <w:bCs/>
        </w:rPr>
        <w:t> </w:t>
      </w:r>
      <w:r w:rsidR="0061526F">
        <w:rPr>
          <w:bCs/>
        </w:rPr>
        <w:t xml:space="preserve">352, subd. (a)(1).)  The court here concluded </w:t>
      </w:r>
      <w:r w:rsidR="0061526F">
        <w:t xml:space="preserve">additional services would not be in A.G.’s best interest, given both parents’ lack of consistent and regular contact and visitation, </w:t>
      </w:r>
      <w:r w:rsidR="004207AB">
        <w:t xml:space="preserve">their </w:t>
      </w:r>
      <w:r w:rsidR="0061526F">
        <w:t>lack of significant and consistent progress in the prior 18</w:t>
      </w:r>
      <w:r w:rsidR="00055EB9">
        <w:t> </w:t>
      </w:r>
      <w:r w:rsidR="0061526F">
        <w:t xml:space="preserve">months in resolving the problems that led to her removal, and </w:t>
      </w:r>
      <w:r w:rsidR="009A5793">
        <w:t xml:space="preserve">a </w:t>
      </w:r>
      <w:r w:rsidR="0061526F">
        <w:t>lack of evidence that either parent had demonstrated the capacity or the ability to complete the components of the case plan.</w:t>
      </w:r>
      <w:r w:rsidR="004E101B">
        <w:t xml:space="preserve"> </w:t>
      </w:r>
      <w:r w:rsidR="0061526F">
        <w:t xml:space="preserve"> </w:t>
      </w:r>
      <w:r w:rsidR="009A5793">
        <w:t>On this record</w:t>
      </w:r>
      <w:r w:rsidR="009673C6">
        <w:t xml:space="preserve">, the court reasonably concluded </w:t>
      </w:r>
      <w:r w:rsidR="0064750E">
        <w:t>A.G.’s</w:t>
      </w:r>
      <w:r w:rsidR="009673C6">
        <w:t xml:space="preserve"> interest</w:t>
      </w:r>
      <w:r w:rsidR="004E101B">
        <w:t>s</w:t>
      </w:r>
      <w:r w:rsidR="009673C6">
        <w:t xml:space="preserve"> w</w:t>
      </w:r>
      <w:r w:rsidR="004E101B">
        <w:t>ere best</w:t>
      </w:r>
      <w:r w:rsidR="009673C6">
        <w:t xml:space="preserve"> served by moving forward with the case</w:t>
      </w:r>
      <w:r w:rsidR="00AB23A6">
        <w:t>;</w:t>
      </w:r>
      <w:r w:rsidR="009A5793">
        <w:t xml:space="preserve"> w</w:t>
      </w:r>
      <w:r>
        <w:t xml:space="preserve">e </w:t>
      </w:r>
      <w:r w:rsidR="0064750E">
        <w:t>see</w:t>
      </w:r>
      <w:r>
        <w:t xml:space="preserve"> no abuse </w:t>
      </w:r>
      <w:r>
        <w:t xml:space="preserve">of discretion. </w:t>
      </w:r>
      <w:r w:rsidR="00CB2156">
        <w:t xml:space="preserve"> </w:t>
      </w:r>
      <w:r w:rsidR="00561D9B">
        <w:t xml:space="preserve">(See also </w:t>
      </w:r>
      <w:bookmarkStart w:id="23" w:name="dabmci_b4beb440f3b844f299ae22536680fc2d"/>
      <w:r w:rsidR="00561D9B">
        <w:rPr>
          <w:i/>
          <w:iCs/>
        </w:rPr>
        <w:t>Earl L.</w:t>
      </w:r>
      <w:r w:rsidR="00561D9B">
        <w:t xml:space="preserve">, </w:t>
      </w:r>
      <w:r w:rsidR="00561D9B">
        <w:rPr>
          <w:i/>
          <w:iCs/>
        </w:rPr>
        <w:t xml:space="preserve">supra, </w:t>
      </w:r>
      <w:r w:rsidR="00561D9B">
        <w:t>199</w:t>
      </w:r>
      <w:r w:rsidR="004E101B">
        <w:t> </w:t>
      </w:r>
      <w:r w:rsidR="00561D9B">
        <w:t>Cal.App.4th at p. 1505</w:t>
      </w:r>
      <w:bookmarkEnd w:id="23"/>
      <w:r w:rsidR="00561D9B">
        <w:t xml:space="preserve"> [“It defies common sense to continue reunification efforts for a parent who has made minimal efforts throughout a case”].)</w:t>
      </w:r>
      <w:r w:rsidR="009455FD">
        <w:t xml:space="preserve"> </w:t>
      </w:r>
    </w:p>
    <w:p w14:paraId="09AD5787" w14:textId="4EE7188B" w:rsidR="00D43FA7" w:rsidRDefault="00053863" w:rsidP="00D43FA7">
      <w:pPr>
        <w:keepNext/>
        <w:tabs>
          <w:tab w:val="left" w:pos="1440"/>
          <w:tab w:val="left" w:pos="2880"/>
          <w:tab w:val="left" w:pos="4320"/>
          <w:tab w:val="left" w:pos="5760"/>
          <w:tab w:val="left" w:pos="7200"/>
          <w:tab w:val="left" w:pos="8640"/>
        </w:tabs>
        <w:spacing w:before="240" w:line="480" w:lineRule="atLeast"/>
        <w:jc w:val="center"/>
        <w:rPr>
          <w:b/>
        </w:rPr>
      </w:pPr>
      <w:r>
        <w:rPr>
          <w:b/>
        </w:rPr>
        <w:lastRenderedPageBreak/>
        <w:t>DISPOSITION</w:t>
      </w:r>
    </w:p>
    <w:p w14:paraId="560FD5DB" w14:textId="284720A7" w:rsidR="00D43FA7" w:rsidRDefault="00053863" w:rsidP="00BF6B82">
      <w:pPr>
        <w:keepNext/>
        <w:tabs>
          <w:tab w:val="left" w:pos="1440"/>
          <w:tab w:val="left" w:pos="2880"/>
          <w:tab w:val="left" w:pos="4320"/>
          <w:tab w:val="left" w:pos="5760"/>
          <w:tab w:val="left" w:pos="7200"/>
          <w:tab w:val="left" w:pos="8640"/>
        </w:tabs>
        <w:spacing w:line="480" w:lineRule="atLeast"/>
      </w:pPr>
      <w:r>
        <w:tab/>
      </w:r>
      <w:r w:rsidR="0022098D" w:rsidRPr="0022098D">
        <w:t>The petition</w:t>
      </w:r>
      <w:r w:rsidR="0022098D">
        <w:t>s</w:t>
      </w:r>
      <w:r w:rsidR="0022098D" w:rsidRPr="0022098D">
        <w:t xml:space="preserve"> challenging the juvenile court</w:t>
      </w:r>
      <w:r w:rsidR="008673F7">
        <w:t>’</w:t>
      </w:r>
      <w:r w:rsidR="0022098D" w:rsidRPr="0022098D">
        <w:t xml:space="preserve">s order </w:t>
      </w:r>
      <w:r w:rsidR="00F45FBC">
        <w:t xml:space="preserve">terminating services and </w:t>
      </w:r>
      <w:r w:rsidR="0022098D" w:rsidRPr="0022098D">
        <w:t xml:space="preserve">setting the section 366.26 hearing </w:t>
      </w:r>
      <w:r w:rsidR="008673F7">
        <w:t>are</w:t>
      </w:r>
      <w:r w:rsidR="0022098D" w:rsidRPr="0022098D">
        <w:t xml:space="preserve"> denied.</w:t>
      </w:r>
    </w:p>
    <w:p w14:paraId="388C1C82" w14:textId="77777777" w:rsidR="00D43FA7" w:rsidRDefault="00D43FA7" w:rsidP="00D43FA7">
      <w:pPr>
        <w:keepNext/>
        <w:tabs>
          <w:tab w:val="left" w:pos="5040"/>
        </w:tabs>
      </w:pPr>
    </w:p>
    <w:p w14:paraId="722E7AEB" w14:textId="040942F3" w:rsidR="00D43FA7" w:rsidRDefault="00D43FA7" w:rsidP="00D43FA7">
      <w:pPr>
        <w:keepNext/>
        <w:tabs>
          <w:tab w:val="left" w:pos="5040"/>
        </w:tabs>
      </w:pPr>
    </w:p>
    <w:p w14:paraId="725A1235" w14:textId="77777777" w:rsidR="00055EB9" w:rsidRDefault="00055EB9" w:rsidP="00D43FA7">
      <w:pPr>
        <w:keepNext/>
        <w:tabs>
          <w:tab w:val="left" w:pos="5040"/>
        </w:tabs>
      </w:pPr>
    </w:p>
    <w:p w14:paraId="7C2E8573" w14:textId="342D08D2" w:rsidR="00D43FA7" w:rsidRDefault="00053863" w:rsidP="00D43FA7">
      <w:pPr>
        <w:keepNext/>
        <w:tabs>
          <w:tab w:val="left" w:pos="5040"/>
        </w:tabs>
      </w:pPr>
      <w:r>
        <w:tab/>
      </w:r>
    </w:p>
    <w:p w14:paraId="1FC28530" w14:textId="77777777" w:rsidR="00D43FA7" w:rsidRDefault="00053863" w:rsidP="00D43FA7">
      <w:pPr>
        <w:keepNext/>
        <w:tabs>
          <w:tab w:val="left" w:pos="5040"/>
        </w:tabs>
      </w:pPr>
      <w:r>
        <w:tab/>
        <w:t>GOETHALS, J.</w:t>
      </w:r>
    </w:p>
    <w:p w14:paraId="047C5862" w14:textId="77777777" w:rsidR="00D43FA7" w:rsidRDefault="00D43FA7" w:rsidP="00D43FA7">
      <w:pPr>
        <w:keepNext/>
        <w:tabs>
          <w:tab w:val="left" w:pos="5040"/>
        </w:tabs>
      </w:pPr>
    </w:p>
    <w:p w14:paraId="31576831" w14:textId="77777777" w:rsidR="00D43FA7" w:rsidRDefault="00053863" w:rsidP="00D43FA7">
      <w:pPr>
        <w:keepNext/>
        <w:tabs>
          <w:tab w:val="left" w:pos="5040"/>
        </w:tabs>
      </w:pPr>
      <w:r>
        <w:t>WE CONCUR:</w:t>
      </w:r>
    </w:p>
    <w:p w14:paraId="0144E94F" w14:textId="77777777" w:rsidR="00D43FA7" w:rsidRDefault="00D43FA7" w:rsidP="00D43FA7">
      <w:pPr>
        <w:keepNext/>
        <w:tabs>
          <w:tab w:val="left" w:pos="5040"/>
        </w:tabs>
      </w:pPr>
    </w:p>
    <w:p w14:paraId="4BB73671" w14:textId="77777777" w:rsidR="00D43FA7" w:rsidRDefault="00D43FA7" w:rsidP="00D43FA7">
      <w:pPr>
        <w:keepNext/>
        <w:tabs>
          <w:tab w:val="left" w:pos="5040"/>
        </w:tabs>
      </w:pPr>
    </w:p>
    <w:p w14:paraId="4EB0767A" w14:textId="20F9F586" w:rsidR="00D43FA7" w:rsidRDefault="00D43FA7" w:rsidP="00D43FA7">
      <w:pPr>
        <w:keepNext/>
        <w:tabs>
          <w:tab w:val="left" w:pos="5040"/>
        </w:tabs>
      </w:pPr>
    </w:p>
    <w:p w14:paraId="62BDFB10" w14:textId="25B9E59D" w:rsidR="00D43FA7" w:rsidRDefault="00053863" w:rsidP="00D43FA7">
      <w:pPr>
        <w:keepNext/>
        <w:tabs>
          <w:tab w:val="left" w:pos="5040"/>
        </w:tabs>
      </w:pPr>
      <w:r>
        <w:t>MOORE, ACTING P. J.</w:t>
      </w:r>
    </w:p>
    <w:p w14:paraId="2D557F5D" w14:textId="77777777" w:rsidR="00D43FA7" w:rsidRDefault="00D43FA7" w:rsidP="00D43FA7">
      <w:pPr>
        <w:keepNext/>
        <w:tabs>
          <w:tab w:val="left" w:pos="5040"/>
        </w:tabs>
      </w:pPr>
    </w:p>
    <w:p w14:paraId="4403D180" w14:textId="77777777" w:rsidR="00D43FA7" w:rsidRDefault="00D43FA7" w:rsidP="00D43FA7">
      <w:pPr>
        <w:keepNext/>
        <w:tabs>
          <w:tab w:val="left" w:pos="5040"/>
        </w:tabs>
      </w:pPr>
    </w:p>
    <w:p w14:paraId="6188F69C" w14:textId="304CD90B" w:rsidR="00D43FA7" w:rsidRDefault="00D43FA7" w:rsidP="00D43FA7">
      <w:pPr>
        <w:keepNext/>
        <w:tabs>
          <w:tab w:val="left" w:pos="5040"/>
        </w:tabs>
      </w:pPr>
    </w:p>
    <w:p w14:paraId="5E69BA14" w14:textId="55B44FFC" w:rsidR="00D43FA7" w:rsidRDefault="00053863" w:rsidP="00D43FA7">
      <w:pPr>
        <w:keepNext/>
        <w:tabs>
          <w:tab w:val="left" w:pos="5040"/>
        </w:tabs>
      </w:pPr>
      <w:r>
        <w:t>FYBEL, J.</w:t>
      </w:r>
    </w:p>
    <w:sectPr w:rsidR="00D43FA7" w:rsidSect="00D43F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55DFA" w14:textId="77777777" w:rsidR="00000000" w:rsidRDefault="00053863">
      <w:r>
        <w:separator/>
      </w:r>
    </w:p>
  </w:endnote>
  <w:endnote w:type="continuationSeparator" w:id="0">
    <w:p w14:paraId="13432ED1" w14:textId="77777777" w:rsidR="00000000" w:rsidRDefault="0005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A115" w14:textId="77777777" w:rsidR="00D43FA7" w:rsidRDefault="00053863" w:rsidP="00CE03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2D077700" w14:textId="77777777" w:rsidR="00D43FA7" w:rsidRDefault="00D43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AD12" w14:textId="77777777" w:rsidR="00D43FA7" w:rsidRDefault="00053863" w:rsidP="00CE03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6B58B24" w14:textId="77777777" w:rsidR="00D43FA7" w:rsidRDefault="00D43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4298" w14:textId="77777777" w:rsidR="00D72C75" w:rsidRDefault="00D72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3D4E" w14:textId="77777777" w:rsidR="00ED7F5C" w:rsidRDefault="00053863" w:rsidP="00D43FA7">
      <w:r>
        <w:separator/>
      </w:r>
    </w:p>
  </w:footnote>
  <w:footnote w:type="continuationSeparator" w:id="0">
    <w:p w14:paraId="056FC69E" w14:textId="77777777" w:rsidR="00ED7F5C" w:rsidRDefault="00053863" w:rsidP="00D43FA7">
      <w:r>
        <w:continuationSeparator/>
      </w:r>
    </w:p>
  </w:footnote>
  <w:footnote w:id="1">
    <w:p w14:paraId="08919BA8" w14:textId="77777777" w:rsidR="00865DF3" w:rsidRDefault="00053863" w:rsidP="0011533E">
      <w:pPr>
        <w:pStyle w:val="FootnoteText"/>
        <w:spacing w:after="240"/>
        <w:ind w:firstLine="720"/>
      </w:pPr>
      <w:r>
        <w:rPr>
          <w:rStyle w:val="FootnoteReference"/>
        </w:rPr>
        <w:footnoteRef/>
      </w:r>
      <w:r>
        <w:t xml:space="preserve"> </w:t>
      </w:r>
      <w:r>
        <w:tab/>
      </w:r>
      <w:r>
        <w:t xml:space="preserve">All further undesignated statutory references are to this code. </w:t>
      </w:r>
    </w:p>
  </w:footnote>
  <w:footnote w:id="2">
    <w:p w14:paraId="76190FEA" w14:textId="64EAACC4" w:rsidR="0011533E" w:rsidRPr="0011533E" w:rsidRDefault="00053863" w:rsidP="0011533E">
      <w:pPr>
        <w:spacing w:after="240"/>
        <w:ind w:firstLine="720"/>
        <w:rPr>
          <w:b/>
          <w:bCs/>
          <w:szCs w:val="26"/>
        </w:rPr>
      </w:pPr>
      <w:r>
        <w:rPr>
          <w:rStyle w:val="FootnoteReference"/>
        </w:rPr>
        <w:footnoteRef/>
      </w:r>
      <w:r>
        <w:t xml:space="preserve"> </w:t>
      </w:r>
      <w:r>
        <w:tab/>
      </w:r>
      <w:r>
        <w:rPr>
          <w:szCs w:val="26"/>
        </w:rPr>
        <w:t>In finding a lack of reasonable services</w:t>
      </w:r>
      <w:r w:rsidR="00DE0FC7">
        <w:rPr>
          <w:szCs w:val="26"/>
        </w:rPr>
        <w:t xml:space="preserve"> during the </w:t>
      </w:r>
      <w:r w:rsidR="00F200B9">
        <w:rPr>
          <w:szCs w:val="26"/>
        </w:rPr>
        <w:t>18-month review period</w:t>
      </w:r>
      <w:r w:rsidR="00EB6DB5">
        <w:rPr>
          <w:szCs w:val="26"/>
        </w:rPr>
        <w:t xml:space="preserve">, the juvenile court was </w:t>
      </w:r>
      <w:r w:rsidR="00F200B9">
        <w:rPr>
          <w:szCs w:val="26"/>
        </w:rPr>
        <w:t xml:space="preserve">evidently </w:t>
      </w:r>
      <w:r w:rsidR="00EB6DB5">
        <w:rPr>
          <w:szCs w:val="26"/>
        </w:rPr>
        <w:t>troubled by two things:  (1)</w:t>
      </w:r>
      <w:r>
        <w:rPr>
          <w:szCs w:val="26"/>
        </w:rPr>
        <w:t xml:space="preserve"> the social worker had inexplicably failed to obtain </w:t>
      </w:r>
      <w:r w:rsidR="00EB6DB5">
        <w:rPr>
          <w:szCs w:val="26"/>
        </w:rPr>
        <w:t>or review a copy of Father’s</w:t>
      </w:r>
      <w:r>
        <w:rPr>
          <w:szCs w:val="26"/>
        </w:rPr>
        <w:t xml:space="preserve"> section 730 evaluation until </w:t>
      </w:r>
      <w:r w:rsidR="00BA0F41">
        <w:rPr>
          <w:szCs w:val="26"/>
        </w:rPr>
        <w:t xml:space="preserve">just </w:t>
      </w:r>
      <w:r>
        <w:rPr>
          <w:szCs w:val="26"/>
        </w:rPr>
        <w:t>before the June 2021 hearin</w:t>
      </w:r>
      <w:r w:rsidR="007C122F">
        <w:rPr>
          <w:szCs w:val="26"/>
        </w:rPr>
        <w:t>g, which the court found unreasonable</w:t>
      </w:r>
      <w:r>
        <w:rPr>
          <w:szCs w:val="26"/>
        </w:rPr>
        <w:t xml:space="preserve"> considering </w:t>
      </w:r>
      <w:r w:rsidR="000C6C14">
        <w:rPr>
          <w:szCs w:val="26"/>
        </w:rPr>
        <w:t xml:space="preserve">the fact that </w:t>
      </w:r>
      <w:r>
        <w:t>the court had a copy of it as early as December 2</w:t>
      </w:r>
      <w:r>
        <w:t xml:space="preserve">020, and the court had made it clear from early on that Father’s psychological issues needed to be </w:t>
      </w:r>
      <w:r w:rsidR="0074381F">
        <w:t>addressed</w:t>
      </w:r>
      <w:r>
        <w:t xml:space="preserve"> in his case plan</w:t>
      </w:r>
      <w:r w:rsidR="007C122F">
        <w:t xml:space="preserve">; and (2) </w:t>
      </w:r>
      <w:r w:rsidRPr="00FC3A3F">
        <w:t xml:space="preserve">the social worker </w:t>
      </w:r>
      <w:r w:rsidR="007C122F">
        <w:t>also</w:t>
      </w:r>
      <w:r w:rsidRPr="00FC3A3F">
        <w:t xml:space="preserve"> acted unreasonably when he incorrectly believed Mother was only allowed written communication with</w:t>
      </w:r>
      <w:r w:rsidRPr="00FC3A3F">
        <w:t xml:space="preserve"> </w:t>
      </w:r>
      <w:r>
        <w:t>A.G.</w:t>
      </w:r>
      <w:r w:rsidRPr="00FC3A3F">
        <w:t>,</w:t>
      </w:r>
      <w:r>
        <w:t xml:space="preserve"> when in fact Mother’s case plan permitted monitored phone calls, as well as in</w:t>
      </w:r>
      <w:r w:rsidR="000C6C14">
        <w:noBreakHyphen/>
      </w:r>
      <w:r>
        <w:t xml:space="preserve">person visitation if she ever </w:t>
      </w:r>
      <w:r w:rsidR="000C6C14">
        <w:t>came to</w:t>
      </w:r>
      <w:r>
        <w:t xml:space="preserve"> California. </w:t>
      </w:r>
    </w:p>
  </w:footnote>
  <w:footnote w:id="3">
    <w:p w14:paraId="19BDC9ED" w14:textId="11E29FCE" w:rsidR="00C62375" w:rsidRDefault="00053863" w:rsidP="00055EB9">
      <w:pPr>
        <w:pStyle w:val="FootnoteText"/>
        <w:keepLines w:val="0"/>
        <w:ind w:firstLine="720"/>
      </w:pPr>
      <w:r>
        <w:rPr>
          <w:rStyle w:val="FootnoteReference"/>
        </w:rPr>
        <w:footnoteRef/>
      </w:r>
      <w:r>
        <w:t xml:space="preserve"> </w:t>
      </w:r>
      <w:r>
        <w:tab/>
      </w:r>
      <w:r>
        <w:rPr>
          <w:szCs w:val="26"/>
        </w:rPr>
        <w:t>Alternatively, “</w:t>
      </w:r>
      <w:r w:rsidRPr="00F57DFF">
        <w:rPr>
          <w:bCs/>
        </w:rPr>
        <w:t xml:space="preserve">a juvenile court may invoke section 352 to extend family reunification services beyond these limits </w:t>
      </w:r>
      <w:r w:rsidRPr="00F57DFF">
        <w:rPr>
          <w:bCs/>
        </w:rPr>
        <w:t xml:space="preserve">if there are </w:t>
      </w:r>
      <w:r>
        <w:rPr>
          <w:bCs/>
        </w:rPr>
        <w:t>‘</w:t>
      </w:r>
      <w:r w:rsidRPr="00F57DFF">
        <w:rPr>
          <w:bCs/>
        </w:rPr>
        <w:t>extraordinary circumstances which militate[ ] in favor of</w:t>
      </w:r>
      <w:r>
        <w:rPr>
          <w:bCs/>
        </w:rPr>
        <w:t>’</w:t>
      </w:r>
      <w:r w:rsidRPr="00F57DFF">
        <w:rPr>
          <w:bCs/>
        </w:rPr>
        <w:t xml:space="preserve"> such an extension.</w:t>
      </w:r>
      <w:r>
        <w:rPr>
          <w:bCs/>
        </w:rPr>
        <w:t>”  (</w:t>
      </w:r>
      <w:bookmarkStart w:id="6" w:name="dabmci_01dcebb84a1c4afca23399cd07cb7d4d"/>
      <w:r w:rsidRPr="00C62375">
        <w:rPr>
          <w:bCs/>
          <w:i/>
          <w:iCs/>
        </w:rPr>
        <w:t>In re D.N</w:t>
      </w:r>
      <w:r w:rsidRPr="00F57DFF">
        <w:rPr>
          <w:bCs/>
        </w:rPr>
        <w:t>. (2020) 56 Cal.App.5th 741, 762</w:t>
      </w:r>
      <w:bookmarkEnd w:id="6"/>
      <w:r>
        <w:rPr>
          <w:bCs/>
        </w:rPr>
        <w:t>.)</w:t>
      </w:r>
    </w:p>
  </w:footnote>
  <w:footnote w:id="4">
    <w:p w14:paraId="1C86840B" w14:textId="620D5564" w:rsidR="00D13012" w:rsidRPr="006760A6" w:rsidRDefault="00053863" w:rsidP="00C32158">
      <w:pPr>
        <w:pStyle w:val="FootnoteText"/>
        <w:keepLines w:val="0"/>
        <w:ind w:firstLine="720"/>
      </w:pPr>
      <w:r>
        <w:rPr>
          <w:rStyle w:val="FootnoteReference"/>
        </w:rPr>
        <w:footnoteRef/>
      </w:r>
      <w:r>
        <w:t xml:space="preserve"> </w:t>
      </w:r>
      <w:r>
        <w:tab/>
      </w:r>
      <w:r w:rsidR="0051427E">
        <w:rPr>
          <w:bCs/>
        </w:rPr>
        <w:t xml:space="preserve">It is unclear why the juvenile court felt compelled to address the parents’ </w:t>
      </w:r>
      <w:r w:rsidR="0051427E">
        <w:rPr>
          <w:szCs w:val="26"/>
        </w:rPr>
        <w:t xml:space="preserve">“lack of significant and consistent progress in this case,” whether additional services would be in A.G.’s best interest, or the other factors listed in subdivision (b)(1) through (3), considering </w:t>
      </w:r>
      <w:r w:rsidR="00D519B6">
        <w:rPr>
          <w:szCs w:val="26"/>
        </w:rPr>
        <w:t>subdivision (b) plainly does not apply here</w:t>
      </w:r>
      <w:r w:rsidR="0051427E">
        <w:rPr>
          <w:szCs w:val="26"/>
        </w:rPr>
        <w:t>.</w:t>
      </w:r>
      <w:r w:rsidR="004D48D7">
        <w:rPr>
          <w:szCs w:val="26"/>
        </w:rPr>
        <w:t xml:space="preserve">  But b</w:t>
      </w:r>
      <w:r>
        <w:t>ecause we conclude sub</w:t>
      </w:r>
      <w:r w:rsidR="00C32158">
        <w:t>divis</w:t>
      </w:r>
      <w:r>
        <w:t xml:space="preserve">ion (b) does not apply, we need not address Father’s contention that </w:t>
      </w:r>
      <w:r w:rsidR="003A7F89">
        <w:t>substantial evidence does not support the court’s application of sub</w:t>
      </w:r>
      <w:r w:rsidR="00C32158">
        <w:t>division</w:t>
      </w:r>
      <w:r w:rsidR="003A7F89">
        <w:t xml:space="preserve"> (b), including its finding that there was no substantial probability that A.G. could be returned to Father with additional servicing. </w:t>
      </w:r>
    </w:p>
  </w:footnote>
  <w:footnote w:id="5">
    <w:p w14:paraId="64A4EADC" w14:textId="1735C54F" w:rsidR="00291022" w:rsidRPr="00291022" w:rsidRDefault="00053863" w:rsidP="003115EB">
      <w:pPr>
        <w:pStyle w:val="FootnoteText"/>
        <w:ind w:firstLine="720"/>
      </w:pPr>
      <w:r>
        <w:rPr>
          <w:rStyle w:val="FootnoteReference"/>
        </w:rPr>
        <w:footnoteRef/>
      </w:r>
      <w:r>
        <w:t xml:space="preserve"> </w:t>
      </w:r>
      <w:r>
        <w:tab/>
        <w:t xml:space="preserve">We disagree with the </w:t>
      </w:r>
      <w:r>
        <w:rPr>
          <w:i/>
          <w:iCs/>
        </w:rPr>
        <w:t>M.F.</w:t>
      </w:r>
      <w:r>
        <w:t xml:space="preserve"> court’s conclusion </w:t>
      </w:r>
      <w:r w:rsidR="009F1C71">
        <w:t xml:space="preserve">that “section 361.5, subdivision (a)(4)(A), explicitly authorizes the extension of services to the 24-month date on specified circumstances not applicable here </w:t>
      </w:r>
      <w:r w:rsidR="009F1C71" w:rsidRPr="0048401C">
        <w:rPr>
          <w:i/>
          <w:iCs/>
        </w:rPr>
        <w:t>or on a finding that reasonable services were not offered or provided</w:t>
      </w:r>
      <w:r w:rsidR="006B4E45">
        <w:t>.”  (</w:t>
      </w:r>
      <w:r w:rsidR="006B4E45" w:rsidRPr="006B4E45">
        <w:rPr>
          <w:i/>
          <w:iCs/>
        </w:rPr>
        <w:t xml:space="preserve">See </w:t>
      </w:r>
      <w:bookmarkStart w:id="20" w:name="dabmci_755a84d189ae40728f2dc05345e93481"/>
      <w:r w:rsidR="009F1C71" w:rsidRPr="006B4E45">
        <w:rPr>
          <w:i/>
          <w:iCs/>
        </w:rPr>
        <w:t>M.F.</w:t>
      </w:r>
      <w:r w:rsidR="006B4E45" w:rsidRPr="006B4E45">
        <w:rPr>
          <w:i/>
          <w:iCs/>
        </w:rPr>
        <w:t>, supra</w:t>
      </w:r>
      <w:r w:rsidR="006B4E45">
        <w:t>,</w:t>
      </w:r>
      <w:r w:rsidR="009F1C71">
        <w:t xml:space="preserve"> 32 Cal.App.5th </w:t>
      </w:r>
      <w:r w:rsidR="006B4E45">
        <w:t xml:space="preserve">at p. </w:t>
      </w:r>
      <w:r w:rsidR="009F1C71">
        <w:t>23</w:t>
      </w:r>
      <w:bookmarkEnd w:id="20"/>
      <w:r w:rsidR="0048401C">
        <w:t>, italics added</w:t>
      </w:r>
      <w:r w:rsidR="006B4E45">
        <w:t xml:space="preserve">.)  </w:t>
      </w:r>
      <w:r w:rsidR="0028715B">
        <w:t>Section 361.5, subdivision (a)(4)(A), states that “</w:t>
      </w:r>
      <w:r w:rsidR="0028715B" w:rsidRPr="0028715B">
        <w:t xml:space="preserve">court-ordered services may be extended up to a maximum time period not to exceed 24 months after the date the child was originally removed from physical custody of the child’s parent or guardian if it is shown, </w:t>
      </w:r>
      <w:r w:rsidR="0028715B" w:rsidRPr="0028715B">
        <w:rPr>
          <w:i/>
          <w:iCs/>
        </w:rPr>
        <w:t>at the hearing held pursuant to subdivision (b) of Section 366.22</w:t>
      </w:r>
      <w:r w:rsidR="0028715B" w:rsidRPr="0028715B">
        <w:t xml:space="preserve">, that the permanent plan for the child is that the child will be returned and safely maintained in the home within the extended time period. </w:t>
      </w:r>
      <w:r w:rsidR="00C94D2B">
        <w:t xml:space="preserve"> </w:t>
      </w:r>
      <w:r w:rsidR="0028715B" w:rsidRPr="0028715B">
        <w:t xml:space="preserve">The court shall extend the time period only if it finds that it is in the child’s best interest to have the time period extended and that there is a substantial probability that the child will be returned to the physical custody of the child’s parent or guardian who is described in subdivision (b) of Section 366.22 within the extended time period, </w:t>
      </w:r>
      <w:r w:rsidR="00547D5C" w:rsidRPr="00547D5C">
        <w:t>or that reasonable services have not been provided to the parent or guardian.</w:t>
      </w:r>
      <w:r w:rsidR="00547D5C">
        <w:t xml:space="preserve">”  In our view, the italicized language </w:t>
      </w:r>
      <w:r w:rsidR="007B31DD">
        <w:t>above means a court</w:t>
      </w:r>
      <w:r w:rsidR="00076B05">
        <w:t xml:space="preserve"> only has the </w:t>
      </w:r>
      <w:r w:rsidR="007B31DD">
        <w:t xml:space="preserve">ability to extend reunification services past the 18-month mark </w:t>
      </w:r>
      <w:r w:rsidR="00076B05">
        <w:t>if subdivision (b) of section 366.22 applies (i.e., where the parent</w:t>
      </w:r>
      <w:r w:rsidR="003115EB">
        <w:t xml:space="preserve"> is a </w:t>
      </w:r>
      <w:r w:rsidR="003115EB">
        <w:rPr>
          <w:bCs/>
        </w:rPr>
        <w:t>minor or dependent parent, in a court-ordered substance abuse treatment program, or recently discharged from incarceration, institutionalization, or DHS custody</w:t>
      </w:r>
      <w:r w:rsidR="00076B05">
        <w:t xml:space="preserve">, </w:t>
      </w:r>
      <w:r w:rsidR="003115EB">
        <w:t xml:space="preserve">etc.), </w:t>
      </w:r>
      <w:r w:rsidR="00076B05">
        <w:t>not in any and all cases where reasonable services were not offered.</w:t>
      </w:r>
    </w:p>
  </w:footnote>
  <w:footnote w:id="6">
    <w:p w14:paraId="559B6626" w14:textId="5FE272D1" w:rsidR="00871112" w:rsidRDefault="00053863" w:rsidP="00055EB9">
      <w:pPr>
        <w:pStyle w:val="FootnoteText"/>
        <w:keepLines w:val="0"/>
        <w:spacing w:after="240"/>
        <w:ind w:firstLine="720"/>
      </w:pPr>
      <w:r>
        <w:rPr>
          <w:rStyle w:val="FootnoteReference"/>
        </w:rPr>
        <w:footnoteRef/>
      </w:r>
      <w:r>
        <w:t xml:space="preserve"> </w:t>
      </w:r>
      <w:r>
        <w:tab/>
        <w:t xml:space="preserve">Justice Liu gave the following examples: </w:t>
      </w:r>
      <w:r w:rsidRPr="00727A3B">
        <w:rPr>
          <w:bCs/>
        </w:rPr>
        <w:t xml:space="preserve"> (i)</w:t>
      </w:r>
      <w:r>
        <w:rPr>
          <w:bCs/>
        </w:rPr>
        <w:t xml:space="preserve"> </w:t>
      </w:r>
      <w:r w:rsidRPr="00727A3B">
        <w:rPr>
          <w:bCs/>
        </w:rPr>
        <w:t>section 366.22, subdivision</w:t>
      </w:r>
      <w:r w:rsidR="00C32158">
        <w:rPr>
          <w:bCs/>
        </w:rPr>
        <w:t> </w:t>
      </w:r>
      <w:r w:rsidRPr="00727A3B">
        <w:rPr>
          <w:bCs/>
        </w:rPr>
        <w:t>(a)(3)</w:t>
      </w:r>
      <w:r w:rsidR="00C32158">
        <w:rPr>
          <w:bCs/>
        </w:rPr>
        <w:t>,</w:t>
      </w:r>
      <w:r w:rsidRPr="00727A3B">
        <w:rPr>
          <w:bCs/>
        </w:rPr>
        <w:t xml:space="preserve"> </w:t>
      </w:r>
      <w:r w:rsidR="00C32158">
        <w:rPr>
          <w:bCs/>
        </w:rPr>
        <w:t>“</w:t>
      </w:r>
      <w:r w:rsidRPr="00727A3B">
        <w:rPr>
          <w:bCs/>
        </w:rPr>
        <w:t xml:space="preserve">requires the juvenile court to </w:t>
      </w:r>
      <w:r w:rsidR="00C32158">
        <w:rPr>
          <w:bCs/>
        </w:rPr>
        <w:t>‘</w:t>
      </w:r>
      <w:r w:rsidRPr="00727A3B">
        <w:rPr>
          <w:bCs/>
        </w:rPr>
        <w:t>determine whether reasonable servic</w:t>
      </w:r>
      <w:r w:rsidRPr="00727A3B">
        <w:rPr>
          <w:bCs/>
        </w:rPr>
        <w:t>es have been offered or provided to the parent or legal guardian</w:t>
      </w:r>
      <w:r w:rsidR="00560A02">
        <w:rPr>
          <w:bCs/>
        </w:rPr>
        <w:t>’</w:t>
      </w:r>
      <w:r w:rsidRPr="00727A3B">
        <w:rPr>
          <w:bCs/>
        </w:rPr>
        <w:t xml:space="preserve"> at the permanency hearing, although it does not expressly condition a placement hearing on a finding of reasonableness</w:t>
      </w:r>
      <w:r w:rsidR="00560A02">
        <w:rPr>
          <w:bCs/>
        </w:rPr>
        <w:t>”</w:t>
      </w:r>
      <w:r w:rsidRPr="00727A3B">
        <w:rPr>
          <w:bCs/>
        </w:rPr>
        <w:t>; (ii) section 366.21, subdivision (g)(1)(C)(ii)</w:t>
      </w:r>
      <w:r w:rsidR="00346BE9">
        <w:rPr>
          <w:bCs/>
        </w:rPr>
        <w:t>,</w:t>
      </w:r>
      <w:r w:rsidRPr="00727A3B">
        <w:rPr>
          <w:bCs/>
        </w:rPr>
        <w:t xml:space="preserve"> and section 366.22, s</w:t>
      </w:r>
      <w:r w:rsidRPr="00727A3B">
        <w:rPr>
          <w:bCs/>
        </w:rPr>
        <w:t>ubdivision (b)(3)</w:t>
      </w:r>
      <w:r w:rsidR="0006615F">
        <w:rPr>
          <w:bCs/>
        </w:rPr>
        <w:t>,</w:t>
      </w:r>
      <w:r w:rsidRPr="00727A3B">
        <w:rPr>
          <w:bCs/>
        </w:rPr>
        <w:t xml:space="preserve"> </w:t>
      </w:r>
      <w:r w:rsidR="00560A02">
        <w:rPr>
          <w:bCs/>
        </w:rPr>
        <w:t>“</w:t>
      </w:r>
      <w:r w:rsidRPr="00727A3B">
        <w:rPr>
          <w:bCs/>
        </w:rPr>
        <w:t xml:space="preserve">both state that the </w:t>
      </w:r>
      <w:r w:rsidR="00560A02">
        <w:rPr>
          <w:bCs/>
        </w:rPr>
        <w:t>‘</w:t>
      </w:r>
      <w:r w:rsidRPr="00727A3B">
        <w:rPr>
          <w:bCs/>
        </w:rPr>
        <w:t>court shall not order that a hearing pursuant to Section 366.26 be held unless there is clear and convincing evidence that reasonable services have been provided or offered to the parent or legal guardian</w:t>
      </w:r>
      <w:r w:rsidR="00560A02">
        <w:rPr>
          <w:bCs/>
        </w:rPr>
        <w:t>.’  But</w:t>
      </w:r>
      <w:r w:rsidRPr="00727A3B">
        <w:rPr>
          <w:bCs/>
        </w:rPr>
        <w:t xml:space="preserve"> this prohibitory language resides in a subdivision of each statute, and it is not clear whether the prohibition applies in all situations or only in the situations addressed by those subdivisions</w:t>
      </w:r>
      <w:r w:rsidR="00560A02">
        <w:rPr>
          <w:bCs/>
        </w:rPr>
        <w:t>”</w:t>
      </w:r>
      <w:r w:rsidRPr="00727A3B">
        <w:rPr>
          <w:bCs/>
        </w:rPr>
        <w:t>; and (iii) section 352, subdivision (a)</w:t>
      </w:r>
      <w:r w:rsidR="00560A02">
        <w:rPr>
          <w:bCs/>
        </w:rPr>
        <w:t>,</w:t>
      </w:r>
      <w:r w:rsidRPr="00727A3B">
        <w:rPr>
          <w:bCs/>
        </w:rPr>
        <w:t xml:space="preserve"> </w:t>
      </w:r>
      <w:r w:rsidR="00560A02">
        <w:rPr>
          <w:bCs/>
        </w:rPr>
        <w:t>“</w:t>
      </w:r>
      <w:r w:rsidRPr="00727A3B">
        <w:rPr>
          <w:bCs/>
        </w:rPr>
        <w:t>authorizes juven</w:t>
      </w:r>
      <w:r w:rsidRPr="00727A3B">
        <w:rPr>
          <w:bCs/>
        </w:rPr>
        <w:t xml:space="preserve">ile courts to </w:t>
      </w:r>
      <w:r w:rsidR="00560A02">
        <w:rPr>
          <w:bCs/>
        </w:rPr>
        <w:t>‘</w:t>
      </w:r>
      <w:r w:rsidRPr="00727A3B">
        <w:rPr>
          <w:bCs/>
        </w:rPr>
        <w:t>continue any hearing under this chapter beyond the time limit within which the hearing is otherwise required to be held, provided that no continuance shall be granted that is contrary to the interest of the minor</w:t>
      </w:r>
      <w:r w:rsidR="00560A02">
        <w:rPr>
          <w:bCs/>
        </w:rPr>
        <w:t>.’</w:t>
      </w:r>
      <w:r w:rsidRPr="00727A3B">
        <w:rPr>
          <w:bCs/>
        </w:rPr>
        <w:t xml:space="preserve"> </w:t>
      </w:r>
      <w:r w:rsidR="00560A02">
        <w:rPr>
          <w:bCs/>
        </w:rPr>
        <w:t xml:space="preserve"> This provision</w:t>
      </w:r>
      <w:r w:rsidRPr="00727A3B">
        <w:rPr>
          <w:bCs/>
        </w:rPr>
        <w:t xml:space="preserve"> could be r</w:t>
      </w:r>
      <w:r w:rsidRPr="00727A3B">
        <w:rPr>
          <w:bCs/>
        </w:rPr>
        <w:t>ead to authorize trial courts to continue a section 366.26 placement hearing after 18</w:t>
      </w:r>
      <w:r w:rsidR="00560A02">
        <w:rPr>
          <w:bCs/>
        </w:rPr>
        <w:t> </w:t>
      </w:r>
      <w:r w:rsidRPr="00727A3B">
        <w:rPr>
          <w:bCs/>
        </w:rPr>
        <w:t>months in the event that reasonable reunification services have not been provided.</w:t>
      </w:r>
      <w:r w:rsidR="00560A02">
        <w:rPr>
          <w:bCs/>
        </w:rPr>
        <w:t>”  (Statement, Liu, J.,</w:t>
      </w:r>
      <w:r w:rsidR="00560A02" w:rsidRPr="004E101B">
        <w:rPr>
          <w:bCs/>
          <w:i/>
          <w:iCs/>
        </w:rPr>
        <w:t xml:space="preserve"> supra</w:t>
      </w:r>
      <w:r w:rsidR="00560A02">
        <w:rPr>
          <w:bCs/>
        </w:rPr>
        <w:t>, at pp. *7</w:t>
      </w:r>
      <w:r w:rsidR="00560A02">
        <w:rPr>
          <w:bCs/>
        </w:rPr>
        <w:noBreakHyphen/>
        <w:t>8.)</w:t>
      </w:r>
      <w:r w:rsidRPr="00727A3B">
        <w:rPr>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08D4" w14:textId="77777777" w:rsidR="00D72C75" w:rsidRDefault="00D72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5A7D" w14:textId="77777777" w:rsidR="00D72C75" w:rsidRDefault="00D72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0531" w14:textId="77777777" w:rsidR="00D72C75" w:rsidRDefault="00D72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135B"/>
    <w:multiLevelType w:val="hybridMultilevel"/>
    <w:tmpl w:val="E88E1948"/>
    <w:lvl w:ilvl="0" w:tplc="7D525ABE">
      <w:numFmt w:val="bullet"/>
      <w:lvlText w:val=""/>
      <w:lvlJc w:val="left"/>
      <w:pPr>
        <w:ind w:left="1800" w:hanging="360"/>
      </w:pPr>
      <w:rPr>
        <w:rFonts w:ascii="Symbol" w:eastAsia="Times New Roman" w:hAnsi="Symbol" w:cs="Times New Roman" w:hint="default"/>
      </w:rPr>
    </w:lvl>
    <w:lvl w:ilvl="1" w:tplc="A67675F6" w:tentative="1">
      <w:start w:val="1"/>
      <w:numFmt w:val="bullet"/>
      <w:lvlText w:val="o"/>
      <w:lvlJc w:val="left"/>
      <w:pPr>
        <w:ind w:left="2520" w:hanging="360"/>
      </w:pPr>
      <w:rPr>
        <w:rFonts w:ascii="Courier New" w:hAnsi="Courier New" w:cs="Courier New" w:hint="default"/>
      </w:rPr>
    </w:lvl>
    <w:lvl w:ilvl="2" w:tplc="F612BA46" w:tentative="1">
      <w:start w:val="1"/>
      <w:numFmt w:val="bullet"/>
      <w:lvlText w:val=""/>
      <w:lvlJc w:val="left"/>
      <w:pPr>
        <w:ind w:left="3240" w:hanging="360"/>
      </w:pPr>
      <w:rPr>
        <w:rFonts w:ascii="Wingdings" w:hAnsi="Wingdings" w:hint="default"/>
      </w:rPr>
    </w:lvl>
    <w:lvl w:ilvl="3" w:tplc="A7806BDA" w:tentative="1">
      <w:start w:val="1"/>
      <w:numFmt w:val="bullet"/>
      <w:lvlText w:val=""/>
      <w:lvlJc w:val="left"/>
      <w:pPr>
        <w:ind w:left="3960" w:hanging="360"/>
      </w:pPr>
      <w:rPr>
        <w:rFonts w:ascii="Symbol" w:hAnsi="Symbol" w:hint="default"/>
      </w:rPr>
    </w:lvl>
    <w:lvl w:ilvl="4" w:tplc="24841FEA" w:tentative="1">
      <w:start w:val="1"/>
      <w:numFmt w:val="bullet"/>
      <w:lvlText w:val="o"/>
      <w:lvlJc w:val="left"/>
      <w:pPr>
        <w:ind w:left="4680" w:hanging="360"/>
      </w:pPr>
      <w:rPr>
        <w:rFonts w:ascii="Courier New" w:hAnsi="Courier New" w:cs="Courier New" w:hint="default"/>
      </w:rPr>
    </w:lvl>
    <w:lvl w:ilvl="5" w:tplc="C2585786" w:tentative="1">
      <w:start w:val="1"/>
      <w:numFmt w:val="bullet"/>
      <w:lvlText w:val=""/>
      <w:lvlJc w:val="left"/>
      <w:pPr>
        <w:ind w:left="5400" w:hanging="360"/>
      </w:pPr>
      <w:rPr>
        <w:rFonts w:ascii="Wingdings" w:hAnsi="Wingdings" w:hint="default"/>
      </w:rPr>
    </w:lvl>
    <w:lvl w:ilvl="6" w:tplc="092E70EE" w:tentative="1">
      <w:start w:val="1"/>
      <w:numFmt w:val="bullet"/>
      <w:lvlText w:val=""/>
      <w:lvlJc w:val="left"/>
      <w:pPr>
        <w:ind w:left="6120" w:hanging="360"/>
      </w:pPr>
      <w:rPr>
        <w:rFonts w:ascii="Symbol" w:hAnsi="Symbol" w:hint="default"/>
      </w:rPr>
    </w:lvl>
    <w:lvl w:ilvl="7" w:tplc="C98EE66A" w:tentative="1">
      <w:start w:val="1"/>
      <w:numFmt w:val="bullet"/>
      <w:lvlText w:val="o"/>
      <w:lvlJc w:val="left"/>
      <w:pPr>
        <w:ind w:left="6840" w:hanging="360"/>
      </w:pPr>
      <w:rPr>
        <w:rFonts w:ascii="Courier New" w:hAnsi="Courier New" w:cs="Courier New" w:hint="default"/>
      </w:rPr>
    </w:lvl>
    <w:lvl w:ilvl="8" w:tplc="F210CF92" w:tentative="1">
      <w:start w:val="1"/>
      <w:numFmt w:val="bullet"/>
      <w:lvlText w:val=""/>
      <w:lvlJc w:val="left"/>
      <w:pPr>
        <w:ind w:left="7560" w:hanging="360"/>
      </w:pPr>
      <w:rPr>
        <w:rFonts w:ascii="Wingdings" w:hAnsi="Wingdings" w:hint="default"/>
      </w:rPr>
    </w:lvl>
  </w:abstractNum>
  <w:abstractNum w:abstractNumId="1" w15:restartNumberingAfterBreak="0">
    <w:nsid w:val="59BB11C9"/>
    <w:multiLevelType w:val="hybridMultilevel"/>
    <w:tmpl w:val="931AE16E"/>
    <w:lvl w:ilvl="0" w:tplc="9E6E6D72">
      <w:start w:val="366"/>
      <w:numFmt w:val="bullet"/>
      <w:lvlText w:val=""/>
      <w:lvlJc w:val="left"/>
      <w:pPr>
        <w:ind w:left="720" w:hanging="360"/>
      </w:pPr>
      <w:rPr>
        <w:rFonts w:ascii="Symbol" w:eastAsia="Times New Roman" w:hAnsi="Symbol" w:cs="Times New Roman" w:hint="default"/>
      </w:rPr>
    </w:lvl>
    <w:lvl w:ilvl="1" w:tplc="30905720" w:tentative="1">
      <w:start w:val="1"/>
      <w:numFmt w:val="bullet"/>
      <w:lvlText w:val="o"/>
      <w:lvlJc w:val="left"/>
      <w:pPr>
        <w:ind w:left="1440" w:hanging="360"/>
      </w:pPr>
      <w:rPr>
        <w:rFonts w:ascii="Courier New" w:hAnsi="Courier New" w:cs="Courier New" w:hint="default"/>
      </w:rPr>
    </w:lvl>
    <w:lvl w:ilvl="2" w:tplc="F34C4130" w:tentative="1">
      <w:start w:val="1"/>
      <w:numFmt w:val="bullet"/>
      <w:lvlText w:val=""/>
      <w:lvlJc w:val="left"/>
      <w:pPr>
        <w:ind w:left="2160" w:hanging="360"/>
      </w:pPr>
      <w:rPr>
        <w:rFonts w:ascii="Wingdings" w:hAnsi="Wingdings" w:hint="default"/>
      </w:rPr>
    </w:lvl>
    <w:lvl w:ilvl="3" w:tplc="262CE248" w:tentative="1">
      <w:start w:val="1"/>
      <w:numFmt w:val="bullet"/>
      <w:lvlText w:val=""/>
      <w:lvlJc w:val="left"/>
      <w:pPr>
        <w:ind w:left="2880" w:hanging="360"/>
      </w:pPr>
      <w:rPr>
        <w:rFonts w:ascii="Symbol" w:hAnsi="Symbol" w:hint="default"/>
      </w:rPr>
    </w:lvl>
    <w:lvl w:ilvl="4" w:tplc="707A6674" w:tentative="1">
      <w:start w:val="1"/>
      <w:numFmt w:val="bullet"/>
      <w:lvlText w:val="o"/>
      <w:lvlJc w:val="left"/>
      <w:pPr>
        <w:ind w:left="3600" w:hanging="360"/>
      </w:pPr>
      <w:rPr>
        <w:rFonts w:ascii="Courier New" w:hAnsi="Courier New" w:cs="Courier New" w:hint="default"/>
      </w:rPr>
    </w:lvl>
    <w:lvl w:ilvl="5" w:tplc="CE008926" w:tentative="1">
      <w:start w:val="1"/>
      <w:numFmt w:val="bullet"/>
      <w:lvlText w:val=""/>
      <w:lvlJc w:val="left"/>
      <w:pPr>
        <w:ind w:left="4320" w:hanging="360"/>
      </w:pPr>
      <w:rPr>
        <w:rFonts w:ascii="Wingdings" w:hAnsi="Wingdings" w:hint="default"/>
      </w:rPr>
    </w:lvl>
    <w:lvl w:ilvl="6" w:tplc="D9C05CB4" w:tentative="1">
      <w:start w:val="1"/>
      <w:numFmt w:val="bullet"/>
      <w:lvlText w:val=""/>
      <w:lvlJc w:val="left"/>
      <w:pPr>
        <w:ind w:left="5040" w:hanging="360"/>
      </w:pPr>
      <w:rPr>
        <w:rFonts w:ascii="Symbol" w:hAnsi="Symbol" w:hint="default"/>
      </w:rPr>
    </w:lvl>
    <w:lvl w:ilvl="7" w:tplc="B88A15CE" w:tentative="1">
      <w:start w:val="1"/>
      <w:numFmt w:val="bullet"/>
      <w:lvlText w:val="o"/>
      <w:lvlJc w:val="left"/>
      <w:pPr>
        <w:ind w:left="5760" w:hanging="360"/>
      </w:pPr>
      <w:rPr>
        <w:rFonts w:ascii="Courier New" w:hAnsi="Courier New" w:cs="Courier New" w:hint="default"/>
      </w:rPr>
    </w:lvl>
    <w:lvl w:ilvl="8" w:tplc="BD668AA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A7"/>
    <w:rsid w:val="00011A9A"/>
    <w:rsid w:val="000167A0"/>
    <w:rsid w:val="00017F9F"/>
    <w:rsid w:val="00023F01"/>
    <w:rsid w:val="0002480F"/>
    <w:rsid w:val="000277B9"/>
    <w:rsid w:val="00030F1C"/>
    <w:rsid w:val="00031F8B"/>
    <w:rsid w:val="000339D6"/>
    <w:rsid w:val="00036338"/>
    <w:rsid w:val="00037558"/>
    <w:rsid w:val="00042695"/>
    <w:rsid w:val="00042A5E"/>
    <w:rsid w:val="00045771"/>
    <w:rsid w:val="0004647D"/>
    <w:rsid w:val="0004695D"/>
    <w:rsid w:val="00053863"/>
    <w:rsid w:val="00054F25"/>
    <w:rsid w:val="00055EB9"/>
    <w:rsid w:val="0005730A"/>
    <w:rsid w:val="0006181D"/>
    <w:rsid w:val="000636C5"/>
    <w:rsid w:val="0006615F"/>
    <w:rsid w:val="0006663B"/>
    <w:rsid w:val="0007068B"/>
    <w:rsid w:val="00070C9B"/>
    <w:rsid w:val="0007108F"/>
    <w:rsid w:val="000732E0"/>
    <w:rsid w:val="00074726"/>
    <w:rsid w:val="0007558E"/>
    <w:rsid w:val="00076B05"/>
    <w:rsid w:val="0007716E"/>
    <w:rsid w:val="000813F9"/>
    <w:rsid w:val="000818A0"/>
    <w:rsid w:val="00082439"/>
    <w:rsid w:val="0008344E"/>
    <w:rsid w:val="00084FBC"/>
    <w:rsid w:val="00090D05"/>
    <w:rsid w:val="000A21E9"/>
    <w:rsid w:val="000A24E9"/>
    <w:rsid w:val="000A7567"/>
    <w:rsid w:val="000A7AC0"/>
    <w:rsid w:val="000B0DB3"/>
    <w:rsid w:val="000B1380"/>
    <w:rsid w:val="000B2056"/>
    <w:rsid w:val="000B28F0"/>
    <w:rsid w:val="000B39A5"/>
    <w:rsid w:val="000B76DC"/>
    <w:rsid w:val="000B7ECA"/>
    <w:rsid w:val="000C0BBC"/>
    <w:rsid w:val="000C26AA"/>
    <w:rsid w:val="000C4205"/>
    <w:rsid w:val="000C66C5"/>
    <w:rsid w:val="000C6A38"/>
    <w:rsid w:val="000C6C14"/>
    <w:rsid w:val="000D0A85"/>
    <w:rsid w:val="000D2108"/>
    <w:rsid w:val="000D70F4"/>
    <w:rsid w:val="000E25CD"/>
    <w:rsid w:val="000E5759"/>
    <w:rsid w:val="000E5883"/>
    <w:rsid w:val="000F52CB"/>
    <w:rsid w:val="000F5DEB"/>
    <w:rsid w:val="0010433A"/>
    <w:rsid w:val="00104C2B"/>
    <w:rsid w:val="00105281"/>
    <w:rsid w:val="00111AD2"/>
    <w:rsid w:val="0011533E"/>
    <w:rsid w:val="0011620D"/>
    <w:rsid w:val="00116BCF"/>
    <w:rsid w:val="00117989"/>
    <w:rsid w:val="0012120D"/>
    <w:rsid w:val="001218A2"/>
    <w:rsid w:val="00126CAE"/>
    <w:rsid w:val="00127113"/>
    <w:rsid w:val="00131DF4"/>
    <w:rsid w:val="001322CA"/>
    <w:rsid w:val="00134E4D"/>
    <w:rsid w:val="00135F95"/>
    <w:rsid w:val="00137CDD"/>
    <w:rsid w:val="00141192"/>
    <w:rsid w:val="00141B78"/>
    <w:rsid w:val="00144EF8"/>
    <w:rsid w:val="00150AFC"/>
    <w:rsid w:val="00152149"/>
    <w:rsid w:val="001534C0"/>
    <w:rsid w:val="00154528"/>
    <w:rsid w:val="00157DFF"/>
    <w:rsid w:val="00160AA5"/>
    <w:rsid w:val="0016435D"/>
    <w:rsid w:val="00170807"/>
    <w:rsid w:val="001720BB"/>
    <w:rsid w:val="0018104B"/>
    <w:rsid w:val="00182774"/>
    <w:rsid w:val="00185977"/>
    <w:rsid w:val="00186756"/>
    <w:rsid w:val="0019073D"/>
    <w:rsid w:val="0019154D"/>
    <w:rsid w:val="001920CE"/>
    <w:rsid w:val="00197239"/>
    <w:rsid w:val="001A410D"/>
    <w:rsid w:val="001A4ADC"/>
    <w:rsid w:val="001C0E1A"/>
    <w:rsid w:val="001C6C8B"/>
    <w:rsid w:val="001C7672"/>
    <w:rsid w:val="001C7A0B"/>
    <w:rsid w:val="001D32FD"/>
    <w:rsid w:val="001D4D1B"/>
    <w:rsid w:val="001E14F0"/>
    <w:rsid w:val="001E5DEE"/>
    <w:rsid w:val="001F28D1"/>
    <w:rsid w:val="001F2E83"/>
    <w:rsid w:val="001F3987"/>
    <w:rsid w:val="00201862"/>
    <w:rsid w:val="00203942"/>
    <w:rsid w:val="00210E13"/>
    <w:rsid w:val="00213A4C"/>
    <w:rsid w:val="002158F8"/>
    <w:rsid w:val="00217B0F"/>
    <w:rsid w:val="0022098D"/>
    <w:rsid w:val="00220D7D"/>
    <w:rsid w:val="0022102C"/>
    <w:rsid w:val="0022309C"/>
    <w:rsid w:val="0022368B"/>
    <w:rsid w:val="00224F77"/>
    <w:rsid w:val="00225C7C"/>
    <w:rsid w:val="00226D4C"/>
    <w:rsid w:val="002339BD"/>
    <w:rsid w:val="00233FEE"/>
    <w:rsid w:val="00234A7F"/>
    <w:rsid w:val="00235FE5"/>
    <w:rsid w:val="00236D56"/>
    <w:rsid w:val="00237013"/>
    <w:rsid w:val="00250346"/>
    <w:rsid w:val="00253BAE"/>
    <w:rsid w:val="00254444"/>
    <w:rsid w:val="00260911"/>
    <w:rsid w:val="00262060"/>
    <w:rsid w:val="00262BEC"/>
    <w:rsid w:val="002639EE"/>
    <w:rsid w:val="00272EDB"/>
    <w:rsid w:val="0027586D"/>
    <w:rsid w:val="00275D96"/>
    <w:rsid w:val="0027742A"/>
    <w:rsid w:val="00277A30"/>
    <w:rsid w:val="0028023E"/>
    <w:rsid w:val="00281D13"/>
    <w:rsid w:val="00285624"/>
    <w:rsid w:val="0028655E"/>
    <w:rsid w:val="002866F0"/>
    <w:rsid w:val="0028715B"/>
    <w:rsid w:val="00291022"/>
    <w:rsid w:val="00291EEE"/>
    <w:rsid w:val="002947C2"/>
    <w:rsid w:val="00296F26"/>
    <w:rsid w:val="002A4654"/>
    <w:rsid w:val="002A629F"/>
    <w:rsid w:val="002A6FAD"/>
    <w:rsid w:val="002B23D0"/>
    <w:rsid w:val="002B46AE"/>
    <w:rsid w:val="002B5FCD"/>
    <w:rsid w:val="002C72ED"/>
    <w:rsid w:val="002D0C93"/>
    <w:rsid w:val="002D0FE4"/>
    <w:rsid w:val="002E3085"/>
    <w:rsid w:val="002F1C8C"/>
    <w:rsid w:val="002F687D"/>
    <w:rsid w:val="002F6F3E"/>
    <w:rsid w:val="002F7E83"/>
    <w:rsid w:val="003002AC"/>
    <w:rsid w:val="00300B88"/>
    <w:rsid w:val="00301776"/>
    <w:rsid w:val="00302069"/>
    <w:rsid w:val="003115EB"/>
    <w:rsid w:val="00312DD6"/>
    <w:rsid w:val="00313499"/>
    <w:rsid w:val="003207F1"/>
    <w:rsid w:val="003332FD"/>
    <w:rsid w:val="00333E96"/>
    <w:rsid w:val="00346BE9"/>
    <w:rsid w:val="00350F70"/>
    <w:rsid w:val="00352919"/>
    <w:rsid w:val="00356281"/>
    <w:rsid w:val="003613A4"/>
    <w:rsid w:val="00361E7C"/>
    <w:rsid w:val="0036229E"/>
    <w:rsid w:val="003631E8"/>
    <w:rsid w:val="003756A6"/>
    <w:rsid w:val="003772EB"/>
    <w:rsid w:val="00380FAB"/>
    <w:rsid w:val="00381AA8"/>
    <w:rsid w:val="00381C19"/>
    <w:rsid w:val="00387183"/>
    <w:rsid w:val="0038799F"/>
    <w:rsid w:val="00387E61"/>
    <w:rsid w:val="003914D8"/>
    <w:rsid w:val="003945F2"/>
    <w:rsid w:val="003A14CC"/>
    <w:rsid w:val="003A3CB2"/>
    <w:rsid w:val="003A7C4A"/>
    <w:rsid w:val="003A7F89"/>
    <w:rsid w:val="003B4C25"/>
    <w:rsid w:val="003B56E0"/>
    <w:rsid w:val="003B5929"/>
    <w:rsid w:val="003B68C3"/>
    <w:rsid w:val="003C12CA"/>
    <w:rsid w:val="003C1E6C"/>
    <w:rsid w:val="003C31F5"/>
    <w:rsid w:val="003C58A8"/>
    <w:rsid w:val="003C5C75"/>
    <w:rsid w:val="003C6BCA"/>
    <w:rsid w:val="003D0B01"/>
    <w:rsid w:val="003D0E4D"/>
    <w:rsid w:val="003D374F"/>
    <w:rsid w:val="003D3D89"/>
    <w:rsid w:val="003D615C"/>
    <w:rsid w:val="003E1243"/>
    <w:rsid w:val="003E2D69"/>
    <w:rsid w:val="003E7E0E"/>
    <w:rsid w:val="003F0EA3"/>
    <w:rsid w:val="003F2728"/>
    <w:rsid w:val="003F2F2E"/>
    <w:rsid w:val="003F403A"/>
    <w:rsid w:val="003F4116"/>
    <w:rsid w:val="00402C54"/>
    <w:rsid w:val="004037C3"/>
    <w:rsid w:val="004037D7"/>
    <w:rsid w:val="0040657F"/>
    <w:rsid w:val="004101EF"/>
    <w:rsid w:val="0041128C"/>
    <w:rsid w:val="004157B4"/>
    <w:rsid w:val="0041640D"/>
    <w:rsid w:val="00417205"/>
    <w:rsid w:val="004207AB"/>
    <w:rsid w:val="00422E62"/>
    <w:rsid w:val="00426005"/>
    <w:rsid w:val="00426E68"/>
    <w:rsid w:val="00432F2E"/>
    <w:rsid w:val="00434322"/>
    <w:rsid w:val="004358FB"/>
    <w:rsid w:val="0043663A"/>
    <w:rsid w:val="00437463"/>
    <w:rsid w:val="00440B12"/>
    <w:rsid w:val="00440F9C"/>
    <w:rsid w:val="00442B73"/>
    <w:rsid w:val="004475FC"/>
    <w:rsid w:val="00452166"/>
    <w:rsid w:val="00453072"/>
    <w:rsid w:val="00454FB8"/>
    <w:rsid w:val="004564A4"/>
    <w:rsid w:val="00462A60"/>
    <w:rsid w:val="00462FC6"/>
    <w:rsid w:val="004634F1"/>
    <w:rsid w:val="00464FB9"/>
    <w:rsid w:val="00466859"/>
    <w:rsid w:val="00471E97"/>
    <w:rsid w:val="0047231C"/>
    <w:rsid w:val="004758DB"/>
    <w:rsid w:val="00475D61"/>
    <w:rsid w:val="00476126"/>
    <w:rsid w:val="00476DC2"/>
    <w:rsid w:val="00480018"/>
    <w:rsid w:val="00483930"/>
    <w:rsid w:val="0048401C"/>
    <w:rsid w:val="004870EF"/>
    <w:rsid w:val="00490475"/>
    <w:rsid w:val="00493439"/>
    <w:rsid w:val="004A01B8"/>
    <w:rsid w:val="004A2063"/>
    <w:rsid w:val="004A4671"/>
    <w:rsid w:val="004A4C26"/>
    <w:rsid w:val="004A5CDE"/>
    <w:rsid w:val="004B02B6"/>
    <w:rsid w:val="004B157E"/>
    <w:rsid w:val="004B261F"/>
    <w:rsid w:val="004B717B"/>
    <w:rsid w:val="004C3467"/>
    <w:rsid w:val="004C351A"/>
    <w:rsid w:val="004C3B07"/>
    <w:rsid w:val="004C5668"/>
    <w:rsid w:val="004C6735"/>
    <w:rsid w:val="004C6AD3"/>
    <w:rsid w:val="004C7584"/>
    <w:rsid w:val="004D0EF3"/>
    <w:rsid w:val="004D48D7"/>
    <w:rsid w:val="004E101B"/>
    <w:rsid w:val="004E66FD"/>
    <w:rsid w:val="004E7CB6"/>
    <w:rsid w:val="004F2B79"/>
    <w:rsid w:val="004F38BD"/>
    <w:rsid w:val="004F4F24"/>
    <w:rsid w:val="00503A07"/>
    <w:rsid w:val="00505D2C"/>
    <w:rsid w:val="00510B70"/>
    <w:rsid w:val="005126B5"/>
    <w:rsid w:val="0051427E"/>
    <w:rsid w:val="005206DD"/>
    <w:rsid w:val="005215B8"/>
    <w:rsid w:val="00521797"/>
    <w:rsid w:val="00523C77"/>
    <w:rsid w:val="00525CE3"/>
    <w:rsid w:val="00527E4A"/>
    <w:rsid w:val="00540DD7"/>
    <w:rsid w:val="005410DC"/>
    <w:rsid w:val="00546918"/>
    <w:rsid w:val="00547BF2"/>
    <w:rsid w:val="00547D5C"/>
    <w:rsid w:val="00550980"/>
    <w:rsid w:val="00551304"/>
    <w:rsid w:val="00552C33"/>
    <w:rsid w:val="005541D8"/>
    <w:rsid w:val="00557790"/>
    <w:rsid w:val="0055795F"/>
    <w:rsid w:val="00560A02"/>
    <w:rsid w:val="00561D9B"/>
    <w:rsid w:val="005624E8"/>
    <w:rsid w:val="00563E0D"/>
    <w:rsid w:val="0057142B"/>
    <w:rsid w:val="00572396"/>
    <w:rsid w:val="00573531"/>
    <w:rsid w:val="00580864"/>
    <w:rsid w:val="0058230B"/>
    <w:rsid w:val="0058696E"/>
    <w:rsid w:val="00586EAB"/>
    <w:rsid w:val="00587E39"/>
    <w:rsid w:val="005901B9"/>
    <w:rsid w:val="00590B1E"/>
    <w:rsid w:val="00590E34"/>
    <w:rsid w:val="005975DC"/>
    <w:rsid w:val="005A1811"/>
    <w:rsid w:val="005A65D5"/>
    <w:rsid w:val="005A6A5A"/>
    <w:rsid w:val="005A6C76"/>
    <w:rsid w:val="005B429D"/>
    <w:rsid w:val="005B5E08"/>
    <w:rsid w:val="005C7BA5"/>
    <w:rsid w:val="005D014A"/>
    <w:rsid w:val="005D0DA3"/>
    <w:rsid w:val="005D1DEC"/>
    <w:rsid w:val="005D3B31"/>
    <w:rsid w:val="005D532E"/>
    <w:rsid w:val="005E1E4C"/>
    <w:rsid w:val="005E54B9"/>
    <w:rsid w:val="005E7D84"/>
    <w:rsid w:val="005F6319"/>
    <w:rsid w:val="005F64A8"/>
    <w:rsid w:val="005F79EF"/>
    <w:rsid w:val="006011DC"/>
    <w:rsid w:val="0060287B"/>
    <w:rsid w:val="006045D3"/>
    <w:rsid w:val="006138A6"/>
    <w:rsid w:val="0061526F"/>
    <w:rsid w:val="0062330A"/>
    <w:rsid w:val="006254E2"/>
    <w:rsid w:val="006270D1"/>
    <w:rsid w:val="00627BCD"/>
    <w:rsid w:val="0063258D"/>
    <w:rsid w:val="006403C7"/>
    <w:rsid w:val="00641152"/>
    <w:rsid w:val="006428C5"/>
    <w:rsid w:val="00642AF3"/>
    <w:rsid w:val="0064750E"/>
    <w:rsid w:val="00652DA1"/>
    <w:rsid w:val="006608C5"/>
    <w:rsid w:val="00665054"/>
    <w:rsid w:val="0066766A"/>
    <w:rsid w:val="00670916"/>
    <w:rsid w:val="00670E79"/>
    <w:rsid w:val="00672074"/>
    <w:rsid w:val="006731DC"/>
    <w:rsid w:val="006760A6"/>
    <w:rsid w:val="00677B58"/>
    <w:rsid w:val="00680CE8"/>
    <w:rsid w:val="00686693"/>
    <w:rsid w:val="00686912"/>
    <w:rsid w:val="006947CF"/>
    <w:rsid w:val="00694A9B"/>
    <w:rsid w:val="006A0170"/>
    <w:rsid w:val="006A2F4F"/>
    <w:rsid w:val="006A5472"/>
    <w:rsid w:val="006A6609"/>
    <w:rsid w:val="006A6B28"/>
    <w:rsid w:val="006B3848"/>
    <w:rsid w:val="006B4E45"/>
    <w:rsid w:val="006B4FD4"/>
    <w:rsid w:val="006B6716"/>
    <w:rsid w:val="006C0257"/>
    <w:rsid w:val="006C3E74"/>
    <w:rsid w:val="006C4FA7"/>
    <w:rsid w:val="006C539B"/>
    <w:rsid w:val="006C5C65"/>
    <w:rsid w:val="006C70A9"/>
    <w:rsid w:val="006D63D5"/>
    <w:rsid w:val="006E2B58"/>
    <w:rsid w:val="006E51AD"/>
    <w:rsid w:val="006E59BA"/>
    <w:rsid w:val="006F1EB8"/>
    <w:rsid w:val="006F21C5"/>
    <w:rsid w:val="006F6FD8"/>
    <w:rsid w:val="00702A07"/>
    <w:rsid w:val="00705E40"/>
    <w:rsid w:val="0071055C"/>
    <w:rsid w:val="00715ADC"/>
    <w:rsid w:val="007178A1"/>
    <w:rsid w:val="007213A0"/>
    <w:rsid w:val="00721B77"/>
    <w:rsid w:val="00724813"/>
    <w:rsid w:val="00727A3B"/>
    <w:rsid w:val="00736CC9"/>
    <w:rsid w:val="00737036"/>
    <w:rsid w:val="0074032B"/>
    <w:rsid w:val="0074239E"/>
    <w:rsid w:val="00743710"/>
    <w:rsid w:val="0074381F"/>
    <w:rsid w:val="007442CF"/>
    <w:rsid w:val="00745144"/>
    <w:rsid w:val="0074584C"/>
    <w:rsid w:val="00750B15"/>
    <w:rsid w:val="0075454A"/>
    <w:rsid w:val="0075797D"/>
    <w:rsid w:val="00776B42"/>
    <w:rsid w:val="00784E5E"/>
    <w:rsid w:val="0079207D"/>
    <w:rsid w:val="007A28EF"/>
    <w:rsid w:val="007A6F07"/>
    <w:rsid w:val="007B051B"/>
    <w:rsid w:val="007B0A04"/>
    <w:rsid w:val="007B31DD"/>
    <w:rsid w:val="007B4B1D"/>
    <w:rsid w:val="007B6683"/>
    <w:rsid w:val="007B6F7B"/>
    <w:rsid w:val="007C122F"/>
    <w:rsid w:val="007C17BA"/>
    <w:rsid w:val="007C2204"/>
    <w:rsid w:val="007C2CD2"/>
    <w:rsid w:val="007D4B0F"/>
    <w:rsid w:val="007D678B"/>
    <w:rsid w:val="007D73D1"/>
    <w:rsid w:val="007E4DB9"/>
    <w:rsid w:val="007E7768"/>
    <w:rsid w:val="007F05A9"/>
    <w:rsid w:val="007F568B"/>
    <w:rsid w:val="007F7FA5"/>
    <w:rsid w:val="00800B8A"/>
    <w:rsid w:val="00811625"/>
    <w:rsid w:val="008135FD"/>
    <w:rsid w:val="00814481"/>
    <w:rsid w:val="00814C6A"/>
    <w:rsid w:val="00815A5A"/>
    <w:rsid w:val="00820044"/>
    <w:rsid w:val="008208A8"/>
    <w:rsid w:val="008243F1"/>
    <w:rsid w:val="00827711"/>
    <w:rsid w:val="00827FC6"/>
    <w:rsid w:val="008326D3"/>
    <w:rsid w:val="00835D22"/>
    <w:rsid w:val="008410FD"/>
    <w:rsid w:val="00841F54"/>
    <w:rsid w:val="00843B47"/>
    <w:rsid w:val="00846376"/>
    <w:rsid w:val="00863847"/>
    <w:rsid w:val="00863EF7"/>
    <w:rsid w:val="00865DF3"/>
    <w:rsid w:val="008673F7"/>
    <w:rsid w:val="00867C68"/>
    <w:rsid w:val="0087036C"/>
    <w:rsid w:val="00871112"/>
    <w:rsid w:val="008720FB"/>
    <w:rsid w:val="00872507"/>
    <w:rsid w:val="00874547"/>
    <w:rsid w:val="008765DE"/>
    <w:rsid w:val="008821C6"/>
    <w:rsid w:val="00884484"/>
    <w:rsid w:val="008868DC"/>
    <w:rsid w:val="008878D9"/>
    <w:rsid w:val="0089091B"/>
    <w:rsid w:val="00891756"/>
    <w:rsid w:val="00895EC3"/>
    <w:rsid w:val="008960F4"/>
    <w:rsid w:val="008B0581"/>
    <w:rsid w:val="008C4964"/>
    <w:rsid w:val="008C4B70"/>
    <w:rsid w:val="008D5376"/>
    <w:rsid w:val="008D5B23"/>
    <w:rsid w:val="008D7AE3"/>
    <w:rsid w:val="008E0A99"/>
    <w:rsid w:val="008E13B0"/>
    <w:rsid w:val="008E31CF"/>
    <w:rsid w:val="008F5EB7"/>
    <w:rsid w:val="009027DF"/>
    <w:rsid w:val="00902D97"/>
    <w:rsid w:val="0090422C"/>
    <w:rsid w:val="00906261"/>
    <w:rsid w:val="009201FC"/>
    <w:rsid w:val="00921040"/>
    <w:rsid w:val="00932CAC"/>
    <w:rsid w:val="00933C6C"/>
    <w:rsid w:val="009455FD"/>
    <w:rsid w:val="0095113A"/>
    <w:rsid w:val="009545ED"/>
    <w:rsid w:val="00954C10"/>
    <w:rsid w:val="00956715"/>
    <w:rsid w:val="00956C87"/>
    <w:rsid w:val="00962DCF"/>
    <w:rsid w:val="00964073"/>
    <w:rsid w:val="0096587B"/>
    <w:rsid w:val="009673C6"/>
    <w:rsid w:val="009704D3"/>
    <w:rsid w:val="009722DC"/>
    <w:rsid w:val="0097645F"/>
    <w:rsid w:val="00982CBA"/>
    <w:rsid w:val="0098418B"/>
    <w:rsid w:val="00984FBD"/>
    <w:rsid w:val="00987147"/>
    <w:rsid w:val="009A0919"/>
    <w:rsid w:val="009A5793"/>
    <w:rsid w:val="009B5561"/>
    <w:rsid w:val="009B5D0B"/>
    <w:rsid w:val="009C3E54"/>
    <w:rsid w:val="009D215C"/>
    <w:rsid w:val="009D25A1"/>
    <w:rsid w:val="009D62C9"/>
    <w:rsid w:val="009E0D79"/>
    <w:rsid w:val="009E1D99"/>
    <w:rsid w:val="009E2F66"/>
    <w:rsid w:val="009F11C4"/>
    <w:rsid w:val="009F1C71"/>
    <w:rsid w:val="009F1E94"/>
    <w:rsid w:val="009F68E0"/>
    <w:rsid w:val="009F70CB"/>
    <w:rsid w:val="009F77FB"/>
    <w:rsid w:val="00A007C5"/>
    <w:rsid w:val="00A015A6"/>
    <w:rsid w:val="00A02934"/>
    <w:rsid w:val="00A03B16"/>
    <w:rsid w:val="00A03C0A"/>
    <w:rsid w:val="00A05A63"/>
    <w:rsid w:val="00A0715B"/>
    <w:rsid w:val="00A118CC"/>
    <w:rsid w:val="00A11B0D"/>
    <w:rsid w:val="00A12C39"/>
    <w:rsid w:val="00A20A5C"/>
    <w:rsid w:val="00A24880"/>
    <w:rsid w:val="00A30374"/>
    <w:rsid w:val="00A345C3"/>
    <w:rsid w:val="00A36AC3"/>
    <w:rsid w:val="00A446ED"/>
    <w:rsid w:val="00A45A47"/>
    <w:rsid w:val="00A54405"/>
    <w:rsid w:val="00A57B81"/>
    <w:rsid w:val="00A613CD"/>
    <w:rsid w:val="00A67B4D"/>
    <w:rsid w:val="00A73090"/>
    <w:rsid w:val="00A741C1"/>
    <w:rsid w:val="00A747CF"/>
    <w:rsid w:val="00A778F4"/>
    <w:rsid w:val="00A84E68"/>
    <w:rsid w:val="00A85AAD"/>
    <w:rsid w:val="00A91695"/>
    <w:rsid w:val="00A91982"/>
    <w:rsid w:val="00AA1D85"/>
    <w:rsid w:val="00AA27A5"/>
    <w:rsid w:val="00AA78C5"/>
    <w:rsid w:val="00AB23A6"/>
    <w:rsid w:val="00AB407A"/>
    <w:rsid w:val="00AB7372"/>
    <w:rsid w:val="00AC308D"/>
    <w:rsid w:val="00AD3272"/>
    <w:rsid w:val="00AD4383"/>
    <w:rsid w:val="00AD5B14"/>
    <w:rsid w:val="00AD7D16"/>
    <w:rsid w:val="00AD7ECF"/>
    <w:rsid w:val="00AE154F"/>
    <w:rsid w:val="00AE16E5"/>
    <w:rsid w:val="00AE328B"/>
    <w:rsid w:val="00AE7181"/>
    <w:rsid w:val="00AF24F3"/>
    <w:rsid w:val="00AF5783"/>
    <w:rsid w:val="00AF7B00"/>
    <w:rsid w:val="00AF7CD3"/>
    <w:rsid w:val="00B04520"/>
    <w:rsid w:val="00B114A4"/>
    <w:rsid w:val="00B136CA"/>
    <w:rsid w:val="00B17A51"/>
    <w:rsid w:val="00B2191D"/>
    <w:rsid w:val="00B25A4F"/>
    <w:rsid w:val="00B27144"/>
    <w:rsid w:val="00B3040A"/>
    <w:rsid w:val="00B32385"/>
    <w:rsid w:val="00B37ECC"/>
    <w:rsid w:val="00B42AC6"/>
    <w:rsid w:val="00B515D1"/>
    <w:rsid w:val="00B54B62"/>
    <w:rsid w:val="00B55A79"/>
    <w:rsid w:val="00B57D60"/>
    <w:rsid w:val="00B644EE"/>
    <w:rsid w:val="00B65609"/>
    <w:rsid w:val="00B66DFD"/>
    <w:rsid w:val="00B6735E"/>
    <w:rsid w:val="00B740BC"/>
    <w:rsid w:val="00B77112"/>
    <w:rsid w:val="00B81B82"/>
    <w:rsid w:val="00B845D7"/>
    <w:rsid w:val="00B87920"/>
    <w:rsid w:val="00B90886"/>
    <w:rsid w:val="00B931A9"/>
    <w:rsid w:val="00B934B1"/>
    <w:rsid w:val="00B9636A"/>
    <w:rsid w:val="00BA0F41"/>
    <w:rsid w:val="00BA2742"/>
    <w:rsid w:val="00BA7C4B"/>
    <w:rsid w:val="00BB5F1F"/>
    <w:rsid w:val="00BB7F2F"/>
    <w:rsid w:val="00BC2F34"/>
    <w:rsid w:val="00BC3251"/>
    <w:rsid w:val="00BC4251"/>
    <w:rsid w:val="00BC4A91"/>
    <w:rsid w:val="00BD0C85"/>
    <w:rsid w:val="00BD107D"/>
    <w:rsid w:val="00BD11B6"/>
    <w:rsid w:val="00BD7A63"/>
    <w:rsid w:val="00BE53DD"/>
    <w:rsid w:val="00BF294A"/>
    <w:rsid w:val="00BF34E3"/>
    <w:rsid w:val="00BF37EC"/>
    <w:rsid w:val="00BF6B82"/>
    <w:rsid w:val="00C00FE5"/>
    <w:rsid w:val="00C01DD0"/>
    <w:rsid w:val="00C04257"/>
    <w:rsid w:val="00C06FB3"/>
    <w:rsid w:val="00C11E83"/>
    <w:rsid w:val="00C14984"/>
    <w:rsid w:val="00C14A10"/>
    <w:rsid w:val="00C16AF7"/>
    <w:rsid w:val="00C20245"/>
    <w:rsid w:val="00C2436A"/>
    <w:rsid w:val="00C32158"/>
    <w:rsid w:val="00C33B04"/>
    <w:rsid w:val="00C413AF"/>
    <w:rsid w:val="00C47986"/>
    <w:rsid w:val="00C53ED5"/>
    <w:rsid w:val="00C566E6"/>
    <w:rsid w:val="00C60965"/>
    <w:rsid w:val="00C60A9F"/>
    <w:rsid w:val="00C6131D"/>
    <w:rsid w:val="00C62375"/>
    <w:rsid w:val="00C7210F"/>
    <w:rsid w:val="00C84D81"/>
    <w:rsid w:val="00C858A9"/>
    <w:rsid w:val="00C87A45"/>
    <w:rsid w:val="00C94D2B"/>
    <w:rsid w:val="00CA35D4"/>
    <w:rsid w:val="00CB0281"/>
    <w:rsid w:val="00CB2156"/>
    <w:rsid w:val="00CB5937"/>
    <w:rsid w:val="00CC18C1"/>
    <w:rsid w:val="00CC293C"/>
    <w:rsid w:val="00CC6BCF"/>
    <w:rsid w:val="00CD3BC4"/>
    <w:rsid w:val="00CD41C2"/>
    <w:rsid w:val="00CD45D7"/>
    <w:rsid w:val="00CD52A0"/>
    <w:rsid w:val="00CD554E"/>
    <w:rsid w:val="00CD72FD"/>
    <w:rsid w:val="00CE03C6"/>
    <w:rsid w:val="00CE066A"/>
    <w:rsid w:val="00CE4424"/>
    <w:rsid w:val="00CF1251"/>
    <w:rsid w:val="00CF161B"/>
    <w:rsid w:val="00CF17C6"/>
    <w:rsid w:val="00CF2CBB"/>
    <w:rsid w:val="00CF3DD6"/>
    <w:rsid w:val="00CF4C4E"/>
    <w:rsid w:val="00D06D1A"/>
    <w:rsid w:val="00D1010F"/>
    <w:rsid w:val="00D10FD2"/>
    <w:rsid w:val="00D11570"/>
    <w:rsid w:val="00D12D73"/>
    <w:rsid w:val="00D13012"/>
    <w:rsid w:val="00D149BB"/>
    <w:rsid w:val="00D17FDE"/>
    <w:rsid w:val="00D20B2A"/>
    <w:rsid w:val="00D21364"/>
    <w:rsid w:val="00D21484"/>
    <w:rsid w:val="00D2213E"/>
    <w:rsid w:val="00D24FF2"/>
    <w:rsid w:val="00D26133"/>
    <w:rsid w:val="00D32BC5"/>
    <w:rsid w:val="00D36617"/>
    <w:rsid w:val="00D37B80"/>
    <w:rsid w:val="00D41859"/>
    <w:rsid w:val="00D43108"/>
    <w:rsid w:val="00D43FA7"/>
    <w:rsid w:val="00D4662B"/>
    <w:rsid w:val="00D519B6"/>
    <w:rsid w:val="00D520CF"/>
    <w:rsid w:val="00D52CE4"/>
    <w:rsid w:val="00D52E90"/>
    <w:rsid w:val="00D618D7"/>
    <w:rsid w:val="00D64527"/>
    <w:rsid w:val="00D65F93"/>
    <w:rsid w:val="00D65FB6"/>
    <w:rsid w:val="00D66F95"/>
    <w:rsid w:val="00D70D33"/>
    <w:rsid w:val="00D72C75"/>
    <w:rsid w:val="00D74419"/>
    <w:rsid w:val="00D8379E"/>
    <w:rsid w:val="00D9024A"/>
    <w:rsid w:val="00D91711"/>
    <w:rsid w:val="00D94CB3"/>
    <w:rsid w:val="00D9583E"/>
    <w:rsid w:val="00D96479"/>
    <w:rsid w:val="00D96D5E"/>
    <w:rsid w:val="00D97084"/>
    <w:rsid w:val="00D9774A"/>
    <w:rsid w:val="00DA039C"/>
    <w:rsid w:val="00DA2EAE"/>
    <w:rsid w:val="00DA5ECD"/>
    <w:rsid w:val="00DA791B"/>
    <w:rsid w:val="00DB1BCA"/>
    <w:rsid w:val="00DB3F24"/>
    <w:rsid w:val="00DC226C"/>
    <w:rsid w:val="00DD4A64"/>
    <w:rsid w:val="00DD619E"/>
    <w:rsid w:val="00DD65E1"/>
    <w:rsid w:val="00DD745E"/>
    <w:rsid w:val="00DE0FC7"/>
    <w:rsid w:val="00DE47C9"/>
    <w:rsid w:val="00DE4885"/>
    <w:rsid w:val="00DE4E1E"/>
    <w:rsid w:val="00DF0072"/>
    <w:rsid w:val="00E0584D"/>
    <w:rsid w:val="00E05BCB"/>
    <w:rsid w:val="00E064D2"/>
    <w:rsid w:val="00E13A93"/>
    <w:rsid w:val="00E26D2D"/>
    <w:rsid w:val="00E32534"/>
    <w:rsid w:val="00E335FF"/>
    <w:rsid w:val="00E47814"/>
    <w:rsid w:val="00E50F49"/>
    <w:rsid w:val="00E540DC"/>
    <w:rsid w:val="00E6032C"/>
    <w:rsid w:val="00E61262"/>
    <w:rsid w:val="00E6197C"/>
    <w:rsid w:val="00E61A9E"/>
    <w:rsid w:val="00E649DF"/>
    <w:rsid w:val="00E65B63"/>
    <w:rsid w:val="00E71680"/>
    <w:rsid w:val="00E729AC"/>
    <w:rsid w:val="00E850E8"/>
    <w:rsid w:val="00E8563C"/>
    <w:rsid w:val="00E90640"/>
    <w:rsid w:val="00E90D9B"/>
    <w:rsid w:val="00E92125"/>
    <w:rsid w:val="00E94483"/>
    <w:rsid w:val="00E97109"/>
    <w:rsid w:val="00EA4409"/>
    <w:rsid w:val="00EA4E8C"/>
    <w:rsid w:val="00EA6EBA"/>
    <w:rsid w:val="00EA7563"/>
    <w:rsid w:val="00EB5973"/>
    <w:rsid w:val="00EB672F"/>
    <w:rsid w:val="00EB6DB5"/>
    <w:rsid w:val="00EB73AE"/>
    <w:rsid w:val="00EC0AAC"/>
    <w:rsid w:val="00EC1AD7"/>
    <w:rsid w:val="00EC2CC6"/>
    <w:rsid w:val="00EC2E90"/>
    <w:rsid w:val="00EC312C"/>
    <w:rsid w:val="00EC3913"/>
    <w:rsid w:val="00EC470E"/>
    <w:rsid w:val="00EC55A6"/>
    <w:rsid w:val="00EC59EA"/>
    <w:rsid w:val="00ED1BFF"/>
    <w:rsid w:val="00ED216A"/>
    <w:rsid w:val="00ED4AE5"/>
    <w:rsid w:val="00ED670E"/>
    <w:rsid w:val="00ED7F5C"/>
    <w:rsid w:val="00EE017E"/>
    <w:rsid w:val="00EE620D"/>
    <w:rsid w:val="00EF06E5"/>
    <w:rsid w:val="00EF3B08"/>
    <w:rsid w:val="00EF543E"/>
    <w:rsid w:val="00EF704D"/>
    <w:rsid w:val="00F004C6"/>
    <w:rsid w:val="00F06809"/>
    <w:rsid w:val="00F12FE4"/>
    <w:rsid w:val="00F1316A"/>
    <w:rsid w:val="00F13894"/>
    <w:rsid w:val="00F200B9"/>
    <w:rsid w:val="00F208E8"/>
    <w:rsid w:val="00F229EB"/>
    <w:rsid w:val="00F26B52"/>
    <w:rsid w:val="00F300F7"/>
    <w:rsid w:val="00F35398"/>
    <w:rsid w:val="00F40027"/>
    <w:rsid w:val="00F4523A"/>
    <w:rsid w:val="00F45FBC"/>
    <w:rsid w:val="00F52B3B"/>
    <w:rsid w:val="00F54E6F"/>
    <w:rsid w:val="00F57359"/>
    <w:rsid w:val="00F575F5"/>
    <w:rsid w:val="00F57DFF"/>
    <w:rsid w:val="00F60C7D"/>
    <w:rsid w:val="00F667A0"/>
    <w:rsid w:val="00F67282"/>
    <w:rsid w:val="00F74610"/>
    <w:rsid w:val="00F812C5"/>
    <w:rsid w:val="00F825A4"/>
    <w:rsid w:val="00F854D5"/>
    <w:rsid w:val="00F85A82"/>
    <w:rsid w:val="00F87B0C"/>
    <w:rsid w:val="00F91EA4"/>
    <w:rsid w:val="00F937B8"/>
    <w:rsid w:val="00F9645C"/>
    <w:rsid w:val="00F97A01"/>
    <w:rsid w:val="00FA5064"/>
    <w:rsid w:val="00FB30B6"/>
    <w:rsid w:val="00FC207C"/>
    <w:rsid w:val="00FC38F8"/>
    <w:rsid w:val="00FC3A3F"/>
    <w:rsid w:val="00FE562B"/>
    <w:rsid w:val="00FE620C"/>
    <w:rsid w:val="00FF2DE3"/>
    <w:rsid w:val="00FF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964"/>
    <w:rPr>
      <w:rFonts w:ascii="Times New Roman" w:hAnsi="Times New Roman"/>
      <w:szCs w:val="20"/>
    </w:rPr>
  </w:style>
  <w:style w:type="paragraph" w:styleId="Heading1">
    <w:name w:val="heading 1"/>
    <w:basedOn w:val="Normal"/>
    <w:next w:val="Normal"/>
    <w:link w:val="Heading1Char"/>
    <w:uiPriority w:val="9"/>
    <w:qFormat/>
    <w:rsid w:val="003F2F2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3F2F2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3F2F2E"/>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3F2F2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3F2F2E"/>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3F2F2E"/>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3F2F2E"/>
    <w:pPr>
      <w:spacing w:before="240" w:after="60"/>
      <w:outlineLvl w:val="6"/>
    </w:pPr>
    <w:rPr>
      <w:sz w:val="24"/>
    </w:rPr>
  </w:style>
  <w:style w:type="paragraph" w:styleId="Heading8">
    <w:name w:val="heading 8"/>
    <w:basedOn w:val="Normal"/>
    <w:next w:val="Normal"/>
    <w:link w:val="Heading8Char"/>
    <w:uiPriority w:val="9"/>
    <w:semiHidden/>
    <w:unhideWhenUsed/>
    <w:qFormat/>
    <w:rsid w:val="003F2F2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3F2F2E"/>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F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F2F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F2F2E"/>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3F2F2E"/>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3F2F2E"/>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3F2F2E"/>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3F2F2E"/>
    <w:rPr>
      <w:rFonts w:asciiTheme="majorHAnsi" w:eastAsiaTheme="majorEastAsia" w:hAnsiTheme="majorHAnsi"/>
    </w:rPr>
  </w:style>
  <w:style w:type="paragraph" w:styleId="Title">
    <w:name w:val="Title"/>
    <w:basedOn w:val="Normal"/>
    <w:next w:val="Normal"/>
    <w:link w:val="TitleChar"/>
    <w:uiPriority w:val="10"/>
    <w:qFormat/>
    <w:rsid w:val="003F2F2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2F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2F2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3F2F2E"/>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3F2F2E"/>
    <w:pPr>
      <w:outlineLvl w:val="9"/>
    </w:pPr>
  </w:style>
  <w:style w:type="character" w:customStyle="1" w:styleId="Heading4Char">
    <w:name w:val="Heading 4 Char"/>
    <w:basedOn w:val="DefaultParagraphFont"/>
    <w:link w:val="Heading4"/>
    <w:uiPriority w:val="9"/>
    <w:semiHidden/>
    <w:rsid w:val="003F2F2E"/>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3F2F2E"/>
    <w:rPr>
      <w:rFonts w:ascii="Times New Roman" w:eastAsia="Times New Roman" w:hAnsi="Times New Roman"/>
      <w:b/>
      <w:bCs/>
      <w:i/>
      <w:iCs/>
    </w:rPr>
  </w:style>
  <w:style w:type="character" w:styleId="Strong">
    <w:name w:val="Strong"/>
    <w:basedOn w:val="DefaultParagraphFont"/>
    <w:uiPriority w:val="22"/>
    <w:rsid w:val="003F2F2E"/>
    <w:rPr>
      <w:b/>
      <w:bCs/>
    </w:rPr>
  </w:style>
  <w:style w:type="character" w:styleId="Emphasis">
    <w:name w:val="Emphasis"/>
    <w:basedOn w:val="DefaultParagraphFont"/>
    <w:uiPriority w:val="20"/>
    <w:qFormat/>
    <w:rsid w:val="003F2F2E"/>
    <w:rPr>
      <w:rFonts w:asciiTheme="minorHAnsi" w:hAnsiTheme="minorHAnsi"/>
      <w:b/>
      <w:i/>
      <w:iCs/>
    </w:rPr>
  </w:style>
  <w:style w:type="paragraph" w:styleId="NoSpacing">
    <w:name w:val="No Spacing"/>
    <w:basedOn w:val="Normal"/>
    <w:uiPriority w:val="1"/>
    <w:rsid w:val="003F2F2E"/>
    <w:rPr>
      <w:szCs w:val="32"/>
    </w:rPr>
  </w:style>
  <w:style w:type="paragraph" w:styleId="ListParagraph">
    <w:name w:val="List Paragraph"/>
    <w:basedOn w:val="Normal"/>
    <w:uiPriority w:val="34"/>
    <w:rsid w:val="003F2F2E"/>
    <w:pPr>
      <w:ind w:left="720"/>
      <w:contextualSpacing/>
    </w:pPr>
  </w:style>
  <w:style w:type="paragraph" w:styleId="Quote">
    <w:name w:val="Quote"/>
    <w:basedOn w:val="Normal"/>
    <w:next w:val="Normal"/>
    <w:link w:val="QuoteChar"/>
    <w:uiPriority w:val="29"/>
    <w:rsid w:val="003F2F2E"/>
    <w:rPr>
      <w:i/>
    </w:rPr>
  </w:style>
  <w:style w:type="character" w:customStyle="1" w:styleId="QuoteChar">
    <w:name w:val="Quote Char"/>
    <w:basedOn w:val="DefaultParagraphFont"/>
    <w:link w:val="Quote"/>
    <w:uiPriority w:val="29"/>
    <w:rsid w:val="003F2F2E"/>
    <w:rPr>
      <w:rFonts w:ascii="Times New Roman" w:eastAsia="Times New Roman" w:hAnsi="Times New Roman"/>
      <w:i/>
      <w:szCs w:val="20"/>
    </w:rPr>
  </w:style>
  <w:style w:type="paragraph" w:styleId="IntenseQuote">
    <w:name w:val="Intense Quote"/>
    <w:basedOn w:val="Normal"/>
    <w:next w:val="Normal"/>
    <w:link w:val="IntenseQuoteChar"/>
    <w:uiPriority w:val="30"/>
    <w:rsid w:val="003F2F2E"/>
    <w:pPr>
      <w:ind w:left="720" w:right="720"/>
    </w:pPr>
    <w:rPr>
      <w:b/>
      <w:i/>
      <w:szCs w:val="22"/>
    </w:rPr>
  </w:style>
  <w:style w:type="character" w:customStyle="1" w:styleId="IntenseQuoteChar">
    <w:name w:val="Intense Quote Char"/>
    <w:basedOn w:val="DefaultParagraphFont"/>
    <w:link w:val="IntenseQuote"/>
    <w:uiPriority w:val="30"/>
    <w:rsid w:val="003F2F2E"/>
    <w:rPr>
      <w:rFonts w:ascii="Times New Roman" w:eastAsia="Times New Roman" w:hAnsi="Times New Roman"/>
      <w:b/>
      <w:i/>
      <w:szCs w:val="22"/>
    </w:rPr>
  </w:style>
  <w:style w:type="character" w:styleId="SubtleEmphasis">
    <w:name w:val="Subtle Emphasis"/>
    <w:uiPriority w:val="19"/>
    <w:rsid w:val="003F2F2E"/>
    <w:rPr>
      <w:i/>
      <w:color w:val="5A5A5A" w:themeColor="text1" w:themeTint="A5"/>
    </w:rPr>
  </w:style>
  <w:style w:type="character" w:styleId="IntenseEmphasis">
    <w:name w:val="Intense Emphasis"/>
    <w:basedOn w:val="DefaultParagraphFont"/>
    <w:uiPriority w:val="21"/>
    <w:rsid w:val="003F2F2E"/>
    <w:rPr>
      <w:b/>
      <w:i/>
      <w:sz w:val="24"/>
      <w:szCs w:val="24"/>
      <w:u w:val="single"/>
    </w:rPr>
  </w:style>
  <w:style w:type="character" w:styleId="SubtleReference">
    <w:name w:val="Subtle Reference"/>
    <w:basedOn w:val="DefaultParagraphFont"/>
    <w:uiPriority w:val="31"/>
    <w:rsid w:val="003F2F2E"/>
    <w:rPr>
      <w:sz w:val="24"/>
      <w:szCs w:val="24"/>
      <w:u w:val="single"/>
    </w:rPr>
  </w:style>
  <w:style w:type="character" w:styleId="IntenseReference">
    <w:name w:val="Intense Reference"/>
    <w:basedOn w:val="DefaultParagraphFont"/>
    <w:uiPriority w:val="32"/>
    <w:rsid w:val="003F2F2E"/>
    <w:rPr>
      <w:b/>
      <w:sz w:val="24"/>
      <w:u w:val="single"/>
    </w:rPr>
  </w:style>
  <w:style w:type="character" w:styleId="BookTitle">
    <w:name w:val="Book Title"/>
    <w:basedOn w:val="DefaultParagraphFont"/>
    <w:uiPriority w:val="33"/>
    <w:rsid w:val="003F2F2E"/>
    <w:rPr>
      <w:rFonts w:asciiTheme="majorHAnsi" w:eastAsiaTheme="majorEastAsia" w:hAnsiTheme="majorHAnsi"/>
      <w:b/>
      <w:i/>
      <w:sz w:val="24"/>
      <w:szCs w:val="24"/>
    </w:rPr>
  </w:style>
  <w:style w:type="paragraph" w:styleId="EnvelopeAddress">
    <w:name w:val="envelope address"/>
    <w:basedOn w:val="Normal"/>
    <w:rsid w:val="003F2F2E"/>
    <w:pPr>
      <w:framePr w:w="7920" w:h="1980" w:hRule="exact" w:hSpace="180" w:wrap="auto" w:hAnchor="page" w:xAlign="center" w:yAlign="bottom"/>
      <w:ind w:left="2880"/>
    </w:pPr>
  </w:style>
  <w:style w:type="paragraph" w:styleId="EnvelopeReturn">
    <w:name w:val="envelope return"/>
    <w:basedOn w:val="Normal"/>
    <w:rsid w:val="003F2F2E"/>
  </w:style>
  <w:style w:type="paragraph" w:styleId="Footer">
    <w:name w:val="footer"/>
    <w:basedOn w:val="Normal"/>
    <w:link w:val="FooterChar"/>
    <w:rsid w:val="003F2F2E"/>
    <w:pPr>
      <w:tabs>
        <w:tab w:val="center" w:pos="4320"/>
        <w:tab w:val="right" w:pos="8640"/>
      </w:tabs>
      <w:spacing w:line="520" w:lineRule="exact"/>
    </w:pPr>
  </w:style>
  <w:style w:type="character" w:customStyle="1" w:styleId="FooterChar">
    <w:name w:val="Footer Char"/>
    <w:basedOn w:val="DefaultParagraphFont"/>
    <w:link w:val="Footer"/>
    <w:rsid w:val="003F2F2E"/>
    <w:rPr>
      <w:rFonts w:ascii="Times New Roman" w:eastAsia="Times New Roman" w:hAnsi="Times New Roman"/>
      <w:szCs w:val="20"/>
    </w:rPr>
  </w:style>
  <w:style w:type="character" w:styleId="FootnoteReference">
    <w:name w:val="footnote reference"/>
    <w:basedOn w:val="DefaultParagraphFont"/>
    <w:rsid w:val="008C4964"/>
    <w:rPr>
      <w:rFonts w:ascii="Times New Roman" w:hAnsi="Times New Roman"/>
      <w:b w:val="0"/>
      <w:color w:val="auto"/>
      <w:position w:val="6"/>
      <w:sz w:val="26"/>
      <w:vertAlign w:val="superscript"/>
    </w:rPr>
  </w:style>
  <w:style w:type="paragraph" w:styleId="FootnoteText">
    <w:name w:val="footnote text"/>
    <w:basedOn w:val="Normal"/>
    <w:link w:val="FootnoteTextChar"/>
    <w:rsid w:val="003F2F2E"/>
    <w:pPr>
      <w:keepLines/>
      <w:widowControl w:val="0"/>
    </w:pPr>
  </w:style>
  <w:style w:type="character" w:customStyle="1" w:styleId="FootnoteTextChar">
    <w:name w:val="Footnote Text Char"/>
    <w:basedOn w:val="DefaultParagraphFont"/>
    <w:link w:val="FootnoteText"/>
    <w:rsid w:val="003F2F2E"/>
    <w:rPr>
      <w:rFonts w:ascii="Times New Roman" w:eastAsia="Times New Roman" w:hAnsi="Times New Roman"/>
      <w:szCs w:val="20"/>
    </w:rPr>
  </w:style>
  <w:style w:type="paragraph" w:styleId="Header">
    <w:name w:val="header"/>
    <w:basedOn w:val="Normal"/>
    <w:link w:val="HeaderChar"/>
    <w:rsid w:val="003F2F2E"/>
    <w:pPr>
      <w:tabs>
        <w:tab w:val="center" w:pos="4320"/>
        <w:tab w:val="right" w:pos="8640"/>
      </w:tabs>
    </w:pPr>
  </w:style>
  <w:style w:type="character" w:customStyle="1" w:styleId="HeaderChar">
    <w:name w:val="Header Char"/>
    <w:basedOn w:val="DefaultParagraphFont"/>
    <w:link w:val="Header"/>
    <w:rsid w:val="003F2F2E"/>
    <w:rPr>
      <w:rFonts w:ascii="Times New Roman" w:eastAsia="Times New Roman" w:hAnsi="Times New Roman"/>
      <w:szCs w:val="20"/>
    </w:rPr>
  </w:style>
  <w:style w:type="paragraph" w:customStyle="1" w:styleId="IndentedQuote">
    <w:name w:val="IndentedQuote"/>
    <w:basedOn w:val="Normal"/>
    <w:rsid w:val="003F2F2E"/>
    <w:pPr>
      <w:spacing w:line="260" w:lineRule="exact"/>
      <w:ind w:left="1080" w:right="1080"/>
    </w:pPr>
  </w:style>
  <w:style w:type="paragraph" w:styleId="MacroText">
    <w:name w:val="macro"/>
    <w:link w:val="MacroTextChar"/>
    <w:semiHidden/>
    <w:rsid w:val="003F2F2E"/>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rPr>
  </w:style>
  <w:style w:type="character" w:customStyle="1" w:styleId="MacroTextChar">
    <w:name w:val="Macro Text Char"/>
    <w:basedOn w:val="DefaultParagraphFont"/>
    <w:link w:val="MacroText"/>
    <w:semiHidden/>
    <w:rsid w:val="003F2F2E"/>
    <w:rPr>
      <w:rFonts w:ascii="Times New Roman" w:eastAsia="Times New Roman" w:hAnsi="Times New Roman"/>
      <w:sz w:val="22"/>
      <w:szCs w:val="20"/>
    </w:rPr>
  </w:style>
  <w:style w:type="character" w:styleId="PageNumber">
    <w:name w:val="page number"/>
    <w:basedOn w:val="DefaultParagraphFont"/>
    <w:rsid w:val="003F2F2E"/>
  </w:style>
  <w:style w:type="character" w:customStyle="1" w:styleId="costarpage">
    <w:name w:val="co_starpage"/>
    <w:basedOn w:val="DefaultParagraphFont"/>
    <w:rsid w:val="005901B9"/>
  </w:style>
  <w:style w:type="paragraph" w:styleId="NormalWeb">
    <w:name w:val="Normal (Web)"/>
    <w:basedOn w:val="Normal"/>
    <w:uiPriority w:val="99"/>
    <w:semiHidden/>
    <w:unhideWhenUsed/>
    <w:rsid w:val="00A446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EAC48-4A7F-4BD1-94A3-2CC12EF3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3060</Words>
  <Characters>16660</Characters>
  <Application>Microsoft Office Word</Application>
  <DocSecurity>0</DocSecurity>
  <Lines>300</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2022-01-24T20:52:00Z</dcterms:created>
  <dcterms:modified xsi:type="dcterms:W3CDTF">2022-01-24T20:52:00Z</dcterms:modified>
  <cp:category/>
</cp:coreProperties>
</file>