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269D" w14:textId="71C3E5E4" w:rsidR="00C805E2" w:rsidRPr="00DC4945" w:rsidRDefault="00625ACD" w:rsidP="006B3ECC">
      <w:pPr>
        <w:spacing w:line="240" w:lineRule="auto"/>
        <w:jc w:val="center"/>
        <w:rPr>
          <w:bCs/>
          <w:sz w:val="20"/>
          <w:szCs w:val="20"/>
        </w:rPr>
      </w:pPr>
      <w:r w:rsidRPr="00DC4945">
        <w:rPr>
          <w:bCs/>
          <w:sz w:val="20"/>
          <w:szCs w:val="20"/>
        </w:rPr>
        <w:t>Filed 7</w:t>
      </w:r>
      <w:r w:rsidRPr="00713921">
        <w:rPr>
          <w:bCs/>
          <w:sz w:val="20"/>
          <w:szCs w:val="20"/>
        </w:rPr>
        <w:t>/2</w:t>
      </w:r>
      <w:r>
        <w:rPr>
          <w:bCs/>
          <w:sz w:val="20"/>
          <w:szCs w:val="20"/>
        </w:rPr>
        <w:t>2</w:t>
      </w:r>
      <w:r w:rsidRPr="00DC4945">
        <w:rPr>
          <w:bCs/>
          <w:sz w:val="20"/>
          <w:szCs w:val="20"/>
        </w:rPr>
        <w:t>/21</w:t>
      </w:r>
      <w:bookmarkStart w:id="0" w:name="_Hlk81990535"/>
      <w:r w:rsidR="006B3ECC" w:rsidRPr="008E26C3">
        <w:rPr>
          <w:sz w:val="20"/>
        </w:rPr>
        <w:t>; REVIEW GRANTED.  See Cal. Rules of Court, rules 8.1105 and 8.1115 (and corresponding Comment, par. 2, concerning rule 8.1115(e)(3)).</w:t>
      </w:r>
      <w:bookmarkEnd w:id="0"/>
    </w:p>
    <w:p w14:paraId="70D514A6" w14:textId="77777777" w:rsidR="00D7466F" w:rsidRDefault="000C68E6" w:rsidP="00D7466F">
      <w:pPr>
        <w:spacing w:line="240" w:lineRule="auto"/>
        <w:jc w:val="center"/>
      </w:pPr>
    </w:p>
    <w:p w14:paraId="39860650" w14:textId="77777777" w:rsidR="00D7466F" w:rsidRPr="00563EB7" w:rsidRDefault="00625ACD" w:rsidP="00D7466F">
      <w:pPr>
        <w:spacing w:line="240" w:lineRule="auto"/>
        <w:jc w:val="center"/>
      </w:pPr>
      <w:r w:rsidRPr="00563EB7">
        <w:t>CERTIFIED FOR PUBLICATION</w:t>
      </w:r>
    </w:p>
    <w:p w14:paraId="65ACF504" w14:textId="77777777" w:rsidR="00C805E2" w:rsidRDefault="000C68E6" w:rsidP="00C805E2">
      <w:pPr>
        <w:spacing w:line="240" w:lineRule="auto"/>
      </w:pPr>
    </w:p>
    <w:p w14:paraId="37407F02" w14:textId="77777777" w:rsidR="00C805E2" w:rsidRDefault="00625ACD" w:rsidP="00C805E2">
      <w:pPr>
        <w:spacing w:line="240" w:lineRule="auto"/>
        <w:jc w:val="center"/>
      </w:pPr>
      <w:r>
        <w:t>IN THE COURT OF APPEAL OF THE STATE OF CALIFORNIA</w:t>
      </w:r>
    </w:p>
    <w:p w14:paraId="4055406D" w14:textId="77777777" w:rsidR="00C805E2" w:rsidRDefault="000C68E6" w:rsidP="00C805E2">
      <w:pPr>
        <w:spacing w:line="240" w:lineRule="auto"/>
        <w:jc w:val="center"/>
      </w:pPr>
    </w:p>
    <w:p w14:paraId="21956121" w14:textId="77777777" w:rsidR="00C805E2" w:rsidRDefault="00625ACD" w:rsidP="00C805E2">
      <w:pPr>
        <w:spacing w:line="240" w:lineRule="auto"/>
        <w:jc w:val="center"/>
      </w:pPr>
      <w:r>
        <w:t>SIXTH APPELLATE DISTRICT</w:t>
      </w:r>
    </w:p>
    <w:p w14:paraId="7ABBE60F" w14:textId="77777777" w:rsidR="00510FEE" w:rsidRDefault="000C68E6" w:rsidP="00510FEE">
      <w:pPr>
        <w:spacing w:line="240" w:lineRule="auto"/>
        <w:jc w:val="center"/>
      </w:pPr>
    </w:p>
    <w:tbl>
      <w:tblPr>
        <w:tblW w:w="0" w:type="auto"/>
        <w:tblLayout w:type="fixed"/>
        <w:tblLook w:val="0000" w:firstRow="0" w:lastRow="0" w:firstColumn="0" w:lastColumn="0" w:noHBand="0" w:noVBand="0"/>
      </w:tblPr>
      <w:tblGrid>
        <w:gridCol w:w="4680"/>
        <w:gridCol w:w="4680"/>
      </w:tblGrid>
      <w:tr w:rsidR="00FF111B" w14:paraId="4EB7BD1C" w14:textId="77777777" w:rsidTr="00510FEE">
        <w:tc>
          <w:tcPr>
            <w:tcW w:w="4680" w:type="dxa"/>
            <w:tcBorders>
              <w:bottom w:val="single" w:sz="4" w:space="0" w:color="auto"/>
              <w:right w:val="single" w:sz="4" w:space="0" w:color="auto"/>
            </w:tcBorders>
            <w:shd w:val="clear" w:color="auto" w:fill="auto"/>
          </w:tcPr>
          <w:p w14:paraId="1575BAB3" w14:textId="77777777" w:rsidR="00510FEE" w:rsidRDefault="00625ACD" w:rsidP="00510FEE">
            <w:pPr>
              <w:spacing w:line="240" w:lineRule="auto"/>
            </w:pPr>
            <w:r>
              <w:t>THE PEOPLE,</w:t>
            </w:r>
          </w:p>
          <w:p w14:paraId="60881235" w14:textId="77777777" w:rsidR="00510FEE" w:rsidRDefault="000C68E6" w:rsidP="00510FEE">
            <w:pPr>
              <w:spacing w:line="240" w:lineRule="auto"/>
            </w:pPr>
          </w:p>
          <w:p w14:paraId="5F2F6966" w14:textId="77777777" w:rsidR="00510FEE" w:rsidRDefault="00625ACD" w:rsidP="00510FEE">
            <w:pPr>
              <w:spacing w:line="240" w:lineRule="auto"/>
              <w:ind w:left="720"/>
            </w:pPr>
            <w:r>
              <w:t>Plaintiff and Respondent,</w:t>
            </w:r>
          </w:p>
          <w:p w14:paraId="38EB4858" w14:textId="77777777" w:rsidR="00510FEE" w:rsidRDefault="000C68E6" w:rsidP="00510FEE">
            <w:pPr>
              <w:spacing w:line="240" w:lineRule="auto"/>
              <w:ind w:left="720"/>
            </w:pPr>
          </w:p>
          <w:p w14:paraId="35432D17" w14:textId="77777777" w:rsidR="00510FEE" w:rsidRDefault="00625ACD" w:rsidP="00510FEE">
            <w:pPr>
              <w:spacing w:line="240" w:lineRule="auto"/>
              <w:ind w:left="720"/>
            </w:pPr>
            <w:r>
              <w:t>v.</w:t>
            </w:r>
          </w:p>
          <w:p w14:paraId="6D258C04" w14:textId="77777777" w:rsidR="00510FEE" w:rsidRDefault="000C68E6" w:rsidP="00510FEE">
            <w:pPr>
              <w:spacing w:line="240" w:lineRule="auto"/>
            </w:pPr>
          </w:p>
          <w:p w14:paraId="54796C4A" w14:textId="77777777" w:rsidR="00510FEE" w:rsidRDefault="00625ACD" w:rsidP="00510FEE">
            <w:pPr>
              <w:spacing w:line="240" w:lineRule="auto"/>
            </w:pPr>
            <w:r>
              <w:t>HAN QUOC HOANG,</w:t>
            </w:r>
          </w:p>
          <w:p w14:paraId="513C3005" w14:textId="77777777" w:rsidR="00510FEE" w:rsidRDefault="000C68E6" w:rsidP="00510FEE">
            <w:pPr>
              <w:spacing w:line="240" w:lineRule="auto"/>
            </w:pPr>
          </w:p>
          <w:p w14:paraId="0D0B0131" w14:textId="77777777" w:rsidR="00510FEE" w:rsidRDefault="00625ACD" w:rsidP="00510FEE">
            <w:pPr>
              <w:spacing w:line="240" w:lineRule="auto"/>
              <w:ind w:left="720"/>
            </w:pPr>
            <w:r>
              <w:t>Defendant and Appellant.</w:t>
            </w:r>
          </w:p>
          <w:p w14:paraId="7A397250" w14:textId="77777777" w:rsidR="00510FEE" w:rsidRDefault="000C68E6" w:rsidP="00510FEE">
            <w:pPr>
              <w:spacing w:line="240" w:lineRule="auto"/>
            </w:pPr>
          </w:p>
        </w:tc>
        <w:tc>
          <w:tcPr>
            <w:tcW w:w="4680" w:type="dxa"/>
            <w:tcBorders>
              <w:left w:val="single" w:sz="4" w:space="0" w:color="auto"/>
            </w:tcBorders>
            <w:shd w:val="clear" w:color="auto" w:fill="auto"/>
          </w:tcPr>
          <w:p w14:paraId="08E36C24" w14:textId="77777777" w:rsidR="00510FEE" w:rsidRDefault="00625ACD" w:rsidP="00510FEE">
            <w:pPr>
              <w:spacing w:line="240" w:lineRule="auto"/>
            </w:pPr>
            <w:r>
              <w:t xml:space="preserve">      H046550</w:t>
            </w:r>
          </w:p>
          <w:p w14:paraId="17B844F9" w14:textId="77777777" w:rsidR="00510FEE" w:rsidRDefault="00625ACD" w:rsidP="00510FEE">
            <w:pPr>
              <w:spacing w:line="240" w:lineRule="auto"/>
            </w:pPr>
            <w:r>
              <w:t xml:space="preserve">     (Santa Clara County</w:t>
            </w:r>
          </w:p>
          <w:p w14:paraId="133AB829" w14:textId="77777777" w:rsidR="00510FEE" w:rsidRDefault="00625ACD" w:rsidP="00510FEE">
            <w:pPr>
              <w:spacing w:line="240" w:lineRule="auto"/>
            </w:pPr>
            <w:r>
              <w:t xml:space="preserve">      Super. Ct. No. C1370251)</w:t>
            </w:r>
          </w:p>
        </w:tc>
      </w:tr>
    </w:tbl>
    <w:p w14:paraId="79DEA832" w14:textId="77777777" w:rsidR="00510FEE" w:rsidRDefault="00625ACD" w:rsidP="00510FEE">
      <w:r>
        <w:tab/>
        <w:t>Defendant Han Quoc Hoang challenges the trial court’s ruling declining to exercise its discretion, under Penal Code section 12022.53, subdivision (h),</w:t>
      </w:r>
      <w:r>
        <w:rPr>
          <w:rStyle w:val="FootnoteReference"/>
          <w:b/>
          <w:bCs/>
        </w:rPr>
        <w:footnoteReference w:id="1"/>
      </w:r>
      <w:r>
        <w:t xml:space="preserve"> to strike defendant’s section 12022.53, subdivision (d) firearm enhancement.  Defendant argues that the court abused its discretion by refusing to consider imposing a lesser firearm enhancement, as provided for in </w:t>
      </w:r>
      <w:r w:rsidRPr="00405D4C">
        <w:rPr>
          <w:i/>
          <w:iCs/>
        </w:rPr>
        <w:t>People v. Morrison</w:t>
      </w:r>
      <w:r>
        <w:t xml:space="preserve"> (2019) 34 Cal.App.5th 217 (</w:t>
      </w:r>
      <w:r w:rsidRPr="003E06E6">
        <w:rPr>
          <w:i/>
          <w:iCs/>
        </w:rPr>
        <w:t>Morrison</w:t>
      </w:r>
      <w:r>
        <w:t xml:space="preserve">).  We conclude, contrary to </w:t>
      </w:r>
      <w:r w:rsidRPr="00405D4C">
        <w:rPr>
          <w:i/>
          <w:iCs/>
        </w:rPr>
        <w:t>Morrison</w:t>
      </w:r>
      <w:r>
        <w:t>, that section 12022.53, subdivision (h) authorizes a court to exercise discretion to strike or dismiss a firearm enhancement only; it does not authorize a court, in the furtherance of justice, to impose a lesser firearm enhancement that was neither alleged nor found to be true.</w:t>
      </w:r>
    </w:p>
    <w:p w14:paraId="6DE77BE0" w14:textId="77777777" w:rsidR="00405D4C" w:rsidRDefault="00625ACD" w:rsidP="00BF2E94">
      <w:pPr>
        <w:keepNext/>
        <w:rPr>
          <w:b/>
          <w:bCs/>
        </w:rPr>
      </w:pPr>
      <w:r w:rsidRPr="00405D4C">
        <w:rPr>
          <w:b/>
          <w:bCs/>
        </w:rPr>
        <w:t>I.</w:t>
      </w:r>
      <w:r>
        <w:rPr>
          <w:b/>
          <w:bCs/>
        </w:rPr>
        <w:tab/>
      </w:r>
      <w:r w:rsidRPr="00BF2E94">
        <w:rPr>
          <w:b/>
          <w:bCs/>
          <w:smallCaps/>
        </w:rPr>
        <w:t>Background</w:t>
      </w:r>
      <w:r>
        <w:rPr>
          <w:rStyle w:val="FootnoteReference"/>
          <w:b/>
          <w:bCs/>
        </w:rPr>
        <w:footnoteReference w:id="2"/>
      </w:r>
    </w:p>
    <w:p w14:paraId="64882800" w14:textId="77777777" w:rsidR="00653AE5" w:rsidRDefault="00625ACD" w:rsidP="00666338">
      <w:r>
        <w:rPr>
          <w:b/>
          <w:bCs/>
        </w:rPr>
        <w:tab/>
      </w:r>
      <w:r>
        <w:t xml:space="preserve">On November 14, 2013, the victim went to a parking lot to purchase cocaine from another individual.  The victim was in his car.  Defendant approached the victim, passed </w:t>
      </w:r>
      <w:r>
        <w:lastRenderedPageBreak/>
        <w:t>his hand in and then out of the driver’s side window, and pulled out a gun.  He then moved away from the car and fatally shot the victim.  The prosecution’s theory was that defendant intended to rob the victim and shot him when he resisted.  Defendant testified at trial that he shot the victim in self defense.</w:t>
      </w:r>
    </w:p>
    <w:p w14:paraId="567369EE" w14:textId="77777777" w:rsidR="00617C8F" w:rsidRDefault="00625ACD" w:rsidP="00666338">
      <w:r>
        <w:tab/>
        <w:t>Defendant was charged with murder (§ 187) and second degree robbery (§§ 211-215, subd. (c)).  As to each count, it was also alleged that defendant personally discharged a firearm, causing the victim’s death (§ 12022.53, subd. (d)).</w:t>
      </w:r>
    </w:p>
    <w:p w14:paraId="24B3B8D0" w14:textId="77777777" w:rsidR="00653AE5" w:rsidRDefault="00625ACD" w:rsidP="00666338">
      <w:r>
        <w:tab/>
        <w:t>A jury convicted defendant of second degree murder, found true the firearm enhancement allegation, but could not reach a verdict on the robbery count, and the trial court declared a mistrial on that count.  The court sentenced defendant to an indeterminate term of 40 years to life, consisting of 15 years to life for the murder and 25 years to life for the section 12022.53, subdivision (d) enhancement.  Defendant appealed.</w:t>
      </w:r>
    </w:p>
    <w:p w14:paraId="1DC5C5E0" w14:textId="77777777" w:rsidR="00653AE5" w:rsidRPr="00666338" w:rsidRDefault="00625ACD" w:rsidP="00666338">
      <w:r>
        <w:tab/>
        <w:t>While the appeal was pending, section 12022.53, subdivision (h) was amended</w:t>
      </w:r>
      <w:r>
        <w:rPr>
          <w:rStyle w:val="FootnoteReference"/>
          <w:b/>
          <w:bCs/>
        </w:rPr>
        <w:footnoteReference w:id="3"/>
      </w:r>
      <w:r>
        <w:t xml:space="preserve"> to state:  “The court may, in the interests of justice pursuant to Section 1385 and at the time of sentencing, strike or dismiss an enhancement otherwise required to be imposed by this section.”  This court reversed the judgment and “remanded for the sole purpose of allowing the trial court to exercise its discretion under section 12022.53, subdivision (h), by deciding whether to strike defendant’s section 12022.53 firearm enhancement.”</w:t>
      </w:r>
    </w:p>
    <w:p w14:paraId="4744F2B3" w14:textId="77777777" w:rsidR="00510FEE" w:rsidRDefault="00625ACD" w:rsidP="00510FEE">
      <w:r>
        <w:tab/>
        <w:t xml:space="preserve">After a hearing, the trial court declined to exercise its discretion to strike the firearm enhancement, finding that it would not be “in the interest of justice to strike or dismiss the enhancement” as requested.  Defense counsel also requested that the court consider “the possibility of giving a ten- or a 20-year enhancement.”  The court stated it would not consider the request:  “[T]he remittitur specifically says that it’s remitted to the </w:t>
      </w:r>
      <w:r>
        <w:lastRenderedPageBreak/>
        <w:t>Court for determination as to whether or not the Court will dismiss, now that it has the discretion, to dismiss or strike punishment for the 25-year-to-life enhancement.  It does not say that the Court can resentence with a different enhancement.  It says it’s remanding just for that consideration as to whether or not the Court would strike the enhancement . . . that’s the way I read the remittitur.”</w:t>
      </w:r>
    </w:p>
    <w:p w14:paraId="3B1F8C14" w14:textId="77777777" w:rsidR="00121046" w:rsidRDefault="00625ACD" w:rsidP="00BF2E94">
      <w:pPr>
        <w:rPr>
          <w:b/>
          <w:bCs/>
        </w:rPr>
      </w:pPr>
      <w:r w:rsidRPr="00121046">
        <w:rPr>
          <w:b/>
          <w:bCs/>
        </w:rPr>
        <w:t>II.</w:t>
      </w:r>
      <w:r>
        <w:rPr>
          <w:b/>
          <w:bCs/>
        </w:rPr>
        <w:tab/>
      </w:r>
      <w:r w:rsidRPr="00BF2E94">
        <w:rPr>
          <w:b/>
          <w:bCs/>
          <w:smallCaps/>
        </w:rPr>
        <w:t>Discussion</w:t>
      </w:r>
    </w:p>
    <w:p w14:paraId="444DA6F1" w14:textId="77777777" w:rsidR="00A1526D" w:rsidRDefault="00625ACD" w:rsidP="00A1526D">
      <w:r>
        <w:tab/>
        <w:t>“</w:t>
      </w:r>
      <w:r w:rsidRPr="00A1526D">
        <w:t>Section 12022.53 sets forth the following escalating additional and consecutive penalties, beyond that imposed for the substantive crime, for use of a firearm in the commission of specified felonies, including attempted premeditated murder:</w:t>
      </w:r>
      <w:r>
        <w:t xml:space="preserve"> </w:t>
      </w:r>
      <w:r w:rsidRPr="00A1526D">
        <w:t xml:space="preserve"> a 10</w:t>
      </w:r>
      <w:r>
        <w:t>-</w:t>
      </w:r>
      <w:r w:rsidRPr="00A1526D">
        <w:t>year prison term for personal use of a firearm, even if the weapon is not operable or loaded (</w:t>
      </w:r>
      <w:r w:rsidRPr="00E83B83">
        <w:rPr>
          <w:i/>
          <w:iCs/>
        </w:rPr>
        <w:t>id.</w:t>
      </w:r>
      <w:r w:rsidRPr="00A1526D">
        <w:t>, subd. (b)); a 20</w:t>
      </w:r>
      <w:r>
        <w:t>-</w:t>
      </w:r>
      <w:r w:rsidRPr="00A1526D">
        <w:t xml:space="preserve">year term if the defendant </w:t>
      </w:r>
      <w:r>
        <w:t>‘</w:t>
      </w:r>
      <w:r w:rsidRPr="00A1526D">
        <w:t>personally and intentionally discharges a firearm</w:t>
      </w:r>
      <w:r>
        <w:t>’</w:t>
      </w:r>
      <w:r w:rsidRPr="00A1526D">
        <w:t xml:space="preserve"> (</w:t>
      </w:r>
      <w:r w:rsidRPr="00E83B83">
        <w:rPr>
          <w:i/>
          <w:iCs/>
        </w:rPr>
        <w:t>id.</w:t>
      </w:r>
      <w:r w:rsidRPr="00A1526D">
        <w:t>, subd. (c)); and a 25</w:t>
      </w:r>
      <w:r>
        <w:t>-</w:t>
      </w:r>
      <w:r w:rsidRPr="00A1526D">
        <w:t>year</w:t>
      </w:r>
      <w:r>
        <w:t>-</w:t>
      </w:r>
      <w:r w:rsidRPr="00A1526D">
        <w:t>to</w:t>
      </w:r>
      <w:r>
        <w:t>-</w:t>
      </w:r>
      <w:r w:rsidRPr="00A1526D">
        <w:t xml:space="preserve">life term if the intentional discharge of the firearm causes </w:t>
      </w:r>
      <w:r>
        <w:t>‘</w:t>
      </w:r>
      <w:r w:rsidRPr="00A1526D">
        <w:t>great bodily injury</w:t>
      </w:r>
      <w:r>
        <w:t>’</w:t>
      </w:r>
      <w:r w:rsidRPr="00A1526D">
        <w:t xml:space="preserve"> or </w:t>
      </w:r>
      <w:r>
        <w:t>‘</w:t>
      </w:r>
      <w:r w:rsidRPr="00A1526D">
        <w:t>death, to any person other than an accomplice</w:t>
      </w:r>
      <w:r>
        <w:t>’</w:t>
      </w:r>
      <w:r w:rsidRPr="00A1526D">
        <w:t xml:space="preserve"> (</w:t>
      </w:r>
      <w:r w:rsidRPr="00E83B83">
        <w:rPr>
          <w:i/>
          <w:iCs/>
        </w:rPr>
        <w:t>id.</w:t>
      </w:r>
      <w:r w:rsidRPr="00A1526D">
        <w:t>, subd. (d)).</w:t>
      </w:r>
      <w:r>
        <w:t>”  (</w:t>
      </w:r>
      <w:r w:rsidRPr="00E83B83">
        <w:rPr>
          <w:i/>
          <w:iCs/>
        </w:rPr>
        <w:t>People v. Gonzalez</w:t>
      </w:r>
      <w:r>
        <w:t xml:space="preserve"> (2008) 43 Cal.4th 1118, 1124 (</w:t>
      </w:r>
      <w:r w:rsidRPr="00BD0046">
        <w:rPr>
          <w:i/>
          <w:iCs/>
        </w:rPr>
        <w:t>Gonzalez</w:t>
      </w:r>
      <w:r>
        <w:t>).)  Under section 12022.53, subdivision (j), “[f]</w:t>
      </w:r>
      <w:r w:rsidRPr="00A1526D">
        <w:t xml:space="preserve">or these enhancements to apply, the requisite facts must be alleged in the information or indictment, and </w:t>
      </w:r>
      <w:r>
        <w:t xml:space="preserve">the </w:t>
      </w:r>
      <w:r w:rsidRPr="00A1526D">
        <w:t>defendant must admit those facts or the trier of fact must find them to be true.</w:t>
      </w:r>
      <w:r>
        <w:t>”  (</w:t>
      </w:r>
      <w:r w:rsidRPr="00E83B83">
        <w:rPr>
          <w:i/>
          <w:iCs/>
        </w:rPr>
        <w:t>Gonzalez</w:t>
      </w:r>
      <w:r>
        <w:t>, at pp. 1124-1125.)</w:t>
      </w:r>
    </w:p>
    <w:p w14:paraId="720A56EC" w14:textId="77777777" w:rsidR="007D6709" w:rsidRPr="00A1526D" w:rsidRDefault="00625ACD" w:rsidP="00A1526D">
      <w:r>
        <w:tab/>
      </w:r>
      <w:r w:rsidRPr="007D6709">
        <w:t>Senate Bill No. 620 amended section 12022.53, subdivision (h), to grant courts discretion to “</w:t>
      </w:r>
      <w:r>
        <w:t> </w:t>
      </w:r>
      <w:r w:rsidRPr="007D6709">
        <w:t>‘strike or dismiss’</w:t>
      </w:r>
      <w:r>
        <w:t> </w:t>
      </w:r>
      <w:r w:rsidRPr="007D6709">
        <w:t>” firearm enhancement</w:t>
      </w:r>
      <w:r>
        <w:t>s</w:t>
      </w:r>
      <w:r w:rsidRPr="007D6709">
        <w:t xml:space="preserve"> imposed under section</w:t>
      </w:r>
      <w:r>
        <w:t> </w:t>
      </w:r>
      <w:r w:rsidRPr="007D6709">
        <w:t>12022.53 “</w:t>
      </w:r>
      <w:r>
        <w:t> </w:t>
      </w:r>
      <w:r w:rsidRPr="007D6709">
        <w:t>‘in the interest of justice pursuant to [s]ection 1385.’</w:t>
      </w:r>
      <w:r>
        <w:t> </w:t>
      </w:r>
      <w:r w:rsidRPr="007D6709">
        <w:t>”</w:t>
      </w:r>
      <w:r>
        <w:t xml:space="preserve"> </w:t>
      </w:r>
      <w:r w:rsidRPr="007D6709">
        <w:t xml:space="preserve"> (</w:t>
      </w:r>
      <w:r w:rsidRPr="007D6709">
        <w:rPr>
          <w:i/>
          <w:iCs/>
        </w:rPr>
        <w:t>People v. Tirado</w:t>
      </w:r>
      <w:r w:rsidRPr="007D6709">
        <w:t xml:space="preserve"> (2019) 38 Cal.App.5th 637, 642, review granted Nov. 13, 2019, S257658</w:t>
      </w:r>
      <w:r>
        <w:t xml:space="preserve"> (</w:t>
      </w:r>
      <w:r w:rsidRPr="007D6709">
        <w:rPr>
          <w:i/>
          <w:iCs/>
        </w:rPr>
        <w:t>Tirado</w:t>
      </w:r>
      <w:r>
        <w:t>)</w:t>
      </w:r>
      <w:r w:rsidRPr="007D6709">
        <w:t xml:space="preserve">.) </w:t>
      </w:r>
      <w:r>
        <w:t xml:space="preserve"> </w:t>
      </w:r>
      <w:r w:rsidRPr="007D6709">
        <w:t>Former section 12022.53, subdivision (h), prohibited courts from striking or dismissing firearm enhancements found true under section 12022.53, “</w:t>
      </w:r>
      <w:r>
        <w:t> </w:t>
      </w:r>
      <w:r w:rsidRPr="007D6709">
        <w:t>‘[n]otwithstanding [s]ection 1385 or any other provision of law.’</w:t>
      </w:r>
      <w:r>
        <w:t> </w:t>
      </w:r>
      <w:r w:rsidRPr="007D6709">
        <w:t>”</w:t>
      </w:r>
      <w:r>
        <w:t xml:space="preserve"> </w:t>
      </w:r>
      <w:r w:rsidRPr="007D6709">
        <w:t xml:space="preserve"> (Stats. 2010, ch.</w:t>
      </w:r>
      <w:r>
        <w:t> </w:t>
      </w:r>
      <w:r w:rsidRPr="007D6709">
        <w:t xml:space="preserve">711, § 5; see </w:t>
      </w:r>
      <w:r w:rsidRPr="00E83B83">
        <w:rPr>
          <w:i/>
          <w:iCs/>
        </w:rPr>
        <w:t>Tirado</w:t>
      </w:r>
      <w:r w:rsidRPr="007D6709">
        <w:t>, at p. 642 &amp; fn. 6.)</w:t>
      </w:r>
    </w:p>
    <w:p w14:paraId="11B580BE" w14:textId="77777777" w:rsidR="00AB2E4E" w:rsidRDefault="00625ACD" w:rsidP="00F45A3C">
      <w:r>
        <w:rPr>
          <w:b/>
          <w:bCs/>
        </w:rPr>
        <w:tab/>
      </w:r>
      <w:r>
        <w:t xml:space="preserve">In April 2019, Division Five of the First District Court of Appeal held in </w:t>
      </w:r>
      <w:r w:rsidRPr="00E83B83">
        <w:rPr>
          <w:i/>
          <w:iCs/>
        </w:rPr>
        <w:t>Morrison</w:t>
      </w:r>
      <w:r>
        <w:t xml:space="preserve"> that amended section 12022.53, subdivision (h) not only gave a trial court the authority to </w:t>
      </w:r>
      <w:r>
        <w:lastRenderedPageBreak/>
        <w:t>strike or dismiss a firearm enhancement, but also to impose a lesser firearm enhancement in the exercise of the court’s discretion.  (</w:t>
      </w:r>
      <w:r w:rsidRPr="00E83B83">
        <w:rPr>
          <w:i/>
          <w:iCs/>
        </w:rPr>
        <w:t>Morrison</w:t>
      </w:r>
      <w:r>
        <w:t xml:space="preserve">, </w:t>
      </w:r>
      <w:r w:rsidRPr="00E83B83">
        <w:rPr>
          <w:i/>
          <w:iCs/>
        </w:rPr>
        <w:t>supra</w:t>
      </w:r>
      <w:r>
        <w:t>, 34 Cal.App.5th</w:t>
      </w:r>
      <w:r w:rsidRPr="00E83B83">
        <w:rPr>
          <w:i/>
          <w:iCs/>
        </w:rPr>
        <w:t>.</w:t>
      </w:r>
      <w:r>
        <w:t xml:space="preserve"> at p. 222.)  Since </w:t>
      </w:r>
      <w:r w:rsidRPr="00E83B83">
        <w:rPr>
          <w:i/>
          <w:iCs/>
        </w:rPr>
        <w:t>Morrison</w:t>
      </w:r>
      <w:r>
        <w:t xml:space="preserve"> issued, however, subsequent cases have disagreed and concluded that “nothing in the plain language of sections 1385 or 12022.53, subdivision (h) suggests an intent to allow a trial court discretion to substitute one sentencing enhancement for another.”  (</w:t>
      </w:r>
      <w:r w:rsidRPr="004D773C">
        <w:rPr>
          <w:i/>
          <w:iCs/>
        </w:rPr>
        <w:t>People v. Yanez</w:t>
      </w:r>
      <w:r>
        <w:t xml:space="preserve"> (2020) 44 Cal.App.5th 452, 459, review granted April 22, 2020, S260819; accord, </w:t>
      </w:r>
      <w:r w:rsidRPr="004D773C">
        <w:rPr>
          <w:i/>
          <w:iCs/>
        </w:rPr>
        <w:t>Tirado</w:t>
      </w:r>
      <w:r>
        <w:t xml:space="preserve">, </w:t>
      </w:r>
      <w:r w:rsidRPr="00E83B83">
        <w:rPr>
          <w:i/>
          <w:iCs/>
        </w:rPr>
        <w:t>supra</w:t>
      </w:r>
      <w:r>
        <w:t>,</w:t>
      </w:r>
      <w:r w:rsidRPr="009E7EAB">
        <w:t xml:space="preserve"> 38 Cal.App.5th </w:t>
      </w:r>
      <w:r>
        <w:t>at p.</w:t>
      </w:r>
      <w:r w:rsidRPr="009E7EAB">
        <w:t xml:space="preserve"> </w:t>
      </w:r>
      <w:r>
        <w:t xml:space="preserve">643; </w:t>
      </w:r>
      <w:r w:rsidRPr="004D773C">
        <w:rPr>
          <w:i/>
          <w:iCs/>
        </w:rPr>
        <w:t>People v. Valles</w:t>
      </w:r>
      <w:r w:rsidRPr="0052381F">
        <w:t xml:space="preserve"> (2020) 49 Cal.App.5th 156, 166</w:t>
      </w:r>
      <w:r>
        <w:t>-</w:t>
      </w:r>
      <w:r w:rsidRPr="0052381F">
        <w:t xml:space="preserve">167, review granted July 22, 2020, S262757; </w:t>
      </w:r>
      <w:r w:rsidRPr="004D773C">
        <w:rPr>
          <w:i/>
          <w:iCs/>
        </w:rPr>
        <w:t>People v. Garcia</w:t>
      </w:r>
      <w:r w:rsidRPr="0052381F">
        <w:t xml:space="preserve"> (2020) 46 Cal.App.5th 786, </w:t>
      </w:r>
      <w:r>
        <w:t>791</w:t>
      </w:r>
      <w:r w:rsidRPr="0052381F">
        <w:t>, review granted Jun</w:t>
      </w:r>
      <w:r>
        <w:t>e</w:t>
      </w:r>
      <w:r w:rsidRPr="0052381F">
        <w:t xml:space="preserve"> 10, 2020, S261772</w:t>
      </w:r>
      <w:r>
        <w:t xml:space="preserve">.)  Recently, in </w:t>
      </w:r>
      <w:r w:rsidRPr="004D773C">
        <w:rPr>
          <w:i/>
          <w:iCs/>
        </w:rPr>
        <w:t>People v. Delavega</w:t>
      </w:r>
      <w:r>
        <w:t xml:space="preserve"> (2021) 59 Cal.App.5th 1074, review granted April 14, 2021, S267293, Division One of the First District Court of Appeal examined the cases addressing the issue (</w:t>
      </w:r>
      <w:r w:rsidRPr="004D773C">
        <w:rPr>
          <w:i/>
          <w:iCs/>
        </w:rPr>
        <w:t>id.</w:t>
      </w:r>
      <w:r>
        <w:t xml:space="preserve"> at pp. 1083-1094) and concluded that </w:t>
      </w:r>
      <w:r w:rsidRPr="00E83B83">
        <w:rPr>
          <w:i/>
          <w:iCs/>
        </w:rPr>
        <w:t>Morrison</w:t>
      </w:r>
      <w:r>
        <w:t xml:space="preserve"> was wrongly decided:  “[A] trial court does not have authority, under section 12022.53[, subdivision (h)] or otherwise, to strike a greater firearm enhancement that is legally and factually sound and impose a lesser one that was neither charged nor found by the jury.”  (</w:t>
      </w:r>
      <w:r w:rsidRPr="004D773C">
        <w:rPr>
          <w:i/>
          <w:iCs/>
        </w:rPr>
        <w:t>Id.</w:t>
      </w:r>
      <w:r>
        <w:t xml:space="preserve"> at p. 1094.)</w:t>
      </w:r>
    </w:p>
    <w:p w14:paraId="7B18A6CD" w14:textId="77777777" w:rsidR="00AB51A2" w:rsidRPr="00F45A3C" w:rsidRDefault="00625ACD" w:rsidP="00AB51A2">
      <w:r>
        <w:tab/>
        <w:t>Consistent with the most recent published authority, we conclude that the plain language of section 12022.53, subdivision (h) authorizes a trial court to strike or dismiss a firearm enhancement only; it does not permit the court to substitute a lesser firearm enhancement.  Here, only a section 12022.53, subdivision (d) firearm enhancement was alleged and found true by the jury.  The firearm enhancements under section 12022.53, subdivision (b) and subdivision (c) were neither charged nor found true by the jury.  Thus, the trial court did not have discretion to impose a lesser firearm enhancement.  Accordingly, the court did not abuse its discretion in declining defendant’s request to consider imposing a lesser firearm enhancement.</w:t>
      </w:r>
    </w:p>
    <w:p w14:paraId="7BC405FF" w14:textId="77777777" w:rsidR="008106B5" w:rsidRPr="00AB51A2" w:rsidRDefault="00625ACD" w:rsidP="00BF2E94">
      <w:pPr>
        <w:rPr>
          <w:b/>
          <w:bCs/>
        </w:rPr>
      </w:pPr>
      <w:r w:rsidRPr="00AB51A2">
        <w:rPr>
          <w:b/>
          <w:bCs/>
        </w:rPr>
        <w:t>III.</w:t>
      </w:r>
      <w:r>
        <w:rPr>
          <w:b/>
          <w:bCs/>
        </w:rPr>
        <w:tab/>
      </w:r>
      <w:r w:rsidRPr="00BF2E94">
        <w:rPr>
          <w:b/>
          <w:bCs/>
          <w:smallCaps/>
        </w:rPr>
        <w:t>Disposition</w:t>
      </w:r>
    </w:p>
    <w:p w14:paraId="2A270DD6" w14:textId="77777777" w:rsidR="00093729" w:rsidRDefault="00625ACD" w:rsidP="00F45A3C">
      <w:pPr>
        <w:sectPr w:rsidR="00093729" w:rsidSect="008106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tab/>
        <w:t>The judgment is affirmed.</w:t>
      </w:r>
    </w:p>
    <w:p w14:paraId="374A8A82" w14:textId="77777777" w:rsidR="00093729" w:rsidRDefault="000C68E6" w:rsidP="00093729">
      <w:pPr>
        <w:rPr>
          <w:bCs/>
          <w:iCs/>
        </w:rPr>
      </w:pPr>
      <w:bookmarkStart w:id="1" w:name="_Hlk47013804"/>
    </w:p>
    <w:p w14:paraId="41B066CE" w14:textId="77777777" w:rsidR="00093729" w:rsidRDefault="000C68E6" w:rsidP="00093729">
      <w:pPr>
        <w:rPr>
          <w:bCs/>
          <w:iCs/>
        </w:rPr>
      </w:pPr>
    </w:p>
    <w:p w14:paraId="2764D4EA" w14:textId="77777777" w:rsidR="00093729" w:rsidRDefault="000C68E6" w:rsidP="00093729">
      <w:pPr>
        <w:rPr>
          <w:bCs/>
          <w:iCs/>
        </w:rPr>
      </w:pPr>
    </w:p>
    <w:p w14:paraId="6248D3F2" w14:textId="77777777" w:rsidR="00093729" w:rsidRDefault="000C68E6" w:rsidP="00093729">
      <w:pPr>
        <w:rPr>
          <w:bCs/>
          <w:iCs/>
        </w:rPr>
      </w:pPr>
    </w:p>
    <w:p w14:paraId="1EF7DAEF" w14:textId="77777777" w:rsidR="00093729" w:rsidRDefault="00625ACD" w:rsidP="00093729">
      <w:pPr>
        <w:rPr>
          <w:bCs/>
          <w:iCs/>
        </w:rPr>
      </w:pPr>
      <w:r>
        <w:rPr>
          <w:bCs/>
          <w:iCs/>
        </w:rPr>
        <w:tab/>
      </w:r>
      <w:r>
        <w:rPr>
          <w:bCs/>
          <w:iCs/>
        </w:rPr>
        <w:tab/>
      </w:r>
      <w:r>
        <w:rPr>
          <w:bCs/>
          <w:iCs/>
        </w:rPr>
        <w:tab/>
      </w:r>
      <w:r>
        <w:rPr>
          <w:bCs/>
          <w:iCs/>
        </w:rPr>
        <w:tab/>
      </w:r>
      <w:r>
        <w:rPr>
          <w:bCs/>
          <w:iCs/>
        </w:rPr>
        <w:tab/>
      </w:r>
      <w:r>
        <w:rPr>
          <w:bCs/>
          <w:iCs/>
        </w:rPr>
        <w:tab/>
        <w:t>_________________________________</w:t>
      </w:r>
    </w:p>
    <w:p w14:paraId="2596CB82" w14:textId="77777777" w:rsidR="00093729" w:rsidRDefault="00625ACD" w:rsidP="00093729">
      <w:pPr>
        <w:rPr>
          <w:bCs/>
          <w:iCs/>
        </w:rPr>
      </w:pPr>
      <w:r>
        <w:rPr>
          <w:bCs/>
          <w:iCs/>
        </w:rPr>
        <w:tab/>
      </w:r>
      <w:r>
        <w:rPr>
          <w:bCs/>
          <w:iCs/>
        </w:rPr>
        <w:tab/>
      </w:r>
      <w:r>
        <w:rPr>
          <w:bCs/>
          <w:iCs/>
        </w:rPr>
        <w:tab/>
      </w:r>
      <w:r>
        <w:rPr>
          <w:bCs/>
          <w:iCs/>
        </w:rPr>
        <w:tab/>
      </w:r>
      <w:r>
        <w:rPr>
          <w:bCs/>
          <w:iCs/>
        </w:rPr>
        <w:tab/>
      </w:r>
      <w:r>
        <w:rPr>
          <w:bCs/>
          <w:iCs/>
        </w:rPr>
        <w:tab/>
        <w:t>ELIA, ACTING P.J.</w:t>
      </w:r>
    </w:p>
    <w:p w14:paraId="2509F50C" w14:textId="77777777" w:rsidR="00093729" w:rsidRDefault="000C68E6" w:rsidP="00093729">
      <w:pPr>
        <w:rPr>
          <w:bCs/>
          <w:iCs/>
        </w:rPr>
      </w:pPr>
    </w:p>
    <w:p w14:paraId="0A0A9764" w14:textId="77777777" w:rsidR="00093729" w:rsidRDefault="00625ACD" w:rsidP="00093729">
      <w:pPr>
        <w:rPr>
          <w:bCs/>
          <w:iCs/>
        </w:rPr>
      </w:pPr>
      <w:r>
        <w:rPr>
          <w:bCs/>
          <w:iCs/>
        </w:rPr>
        <w:t>WE CONCUR:</w:t>
      </w:r>
    </w:p>
    <w:p w14:paraId="535E9C7C" w14:textId="77777777" w:rsidR="00093729" w:rsidRDefault="000C68E6" w:rsidP="00093729">
      <w:pPr>
        <w:rPr>
          <w:bCs/>
          <w:iCs/>
        </w:rPr>
      </w:pPr>
    </w:p>
    <w:p w14:paraId="6FA633FC" w14:textId="77777777" w:rsidR="00093729" w:rsidRDefault="000C68E6" w:rsidP="00093729">
      <w:pPr>
        <w:rPr>
          <w:bCs/>
          <w:iCs/>
        </w:rPr>
      </w:pPr>
    </w:p>
    <w:p w14:paraId="56253CD0" w14:textId="77777777" w:rsidR="00093729" w:rsidRDefault="000C68E6" w:rsidP="00093729">
      <w:pPr>
        <w:rPr>
          <w:bCs/>
          <w:iCs/>
        </w:rPr>
      </w:pPr>
    </w:p>
    <w:p w14:paraId="6D9AD18D" w14:textId="77777777" w:rsidR="00093729" w:rsidRDefault="00625ACD" w:rsidP="00093729">
      <w:pPr>
        <w:rPr>
          <w:bCs/>
          <w:iCs/>
        </w:rPr>
      </w:pPr>
      <w:r>
        <w:rPr>
          <w:bCs/>
          <w:iCs/>
        </w:rPr>
        <w:t>_______________________________</w:t>
      </w:r>
    </w:p>
    <w:p w14:paraId="6765EDD4" w14:textId="77777777" w:rsidR="00093729" w:rsidRDefault="00625ACD" w:rsidP="00093729">
      <w:pPr>
        <w:rPr>
          <w:bCs/>
          <w:iCs/>
        </w:rPr>
      </w:pPr>
      <w:r>
        <w:rPr>
          <w:bCs/>
          <w:iCs/>
        </w:rPr>
        <w:t>BAMATTRE-MANOUKIAN, J.</w:t>
      </w:r>
    </w:p>
    <w:p w14:paraId="4C61D587" w14:textId="77777777" w:rsidR="00093729" w:rsidRDefault="000C68E6" w:rsidP="00093729">
      <w:pPr>
        <w:rPr>
          <w:bCs/>
          <w:iCs/>
        </w:rPr>
      </w:pPr>
    </w:p>
    <w:p w14:paraId="60496B04" w14:textId="77777777" w:rsidR="00093729" w:rsidRDefault="000C68E6" w:rsidP="00093729">
      <w:pPr>
        <w:rPr>
          <w:bCs/>
          <w:iCs/>
        </w:rPr>
      </w:pPr>
    </w:p>
    <w:p w14:paraId="7B9B6386" w14:textId="77777777" w:rsidR="00093729" w:rsidRDefault="000C68E6" w:rsidP="00093729">
      <w:pPr>
        <w:rPr>
          <w:bCs/>
          <w:iCs/>
        </w:rPr>
      </w:pPr>
    </w:p>
    <w:p w14:paraId="1345FB2D" w14:textId="77777777" w:rsidR="00093729" w:rsidRDefault="00625ACD" w:rsidP="00093729">
      <w:pPr>
        <w:rPr>
          <w:bCs/>
          <w:iCs/>
        </w:rPr>
      </w:pPr>
      <w:r>
        <w:rPr>
          <w:bCs/>
          <w:iCs/>
        </w:rPr>
        <w:t>_______________________________</w:t>
      </w:r>
    </w:p>
    <w:p w14:paraId="7EC1AB9C" w14:textId="77777777" w:rsidR="00093729" w:rsidRDefault="00625ACD" w:rsidP="00093729">
      <w:pPr>
        <w:rPr>
          <w:bCs/>
          <w:iCs/>
        </w:rPr>
      </w:pPr>
      <w:r>
        <w:rPr>
          <w:bCs/>
          <w:iCs/>
        </w:rPr>
        <w:t>DANNER, J.</w:t>
      </w:r>
    </w:p>
    <w:p w14:paraId="66E17DB3" w14:textId="77777777" w:rsidR="00093729" w:rsidRDefault="000C68E6" w:rsidP="00093729">
      <w:pPr>
        <w:spacing w:line="240" w:lineRule="auto"/>
        <w:rPr>
          <w:bCs/>
          <w:iCs/>
        </w:rPr>
      </w:pPr>
    </w:p>
    <w:p w14:paraId="73A029F2" w14:textId="77777777" w:rsidR="00093729" w:rsidRDefault="000C68E6" w:rsidP="00093729">
      <w:pPr>
        <w:spacing w:line="240" w:lineRule="auto"/>
        <w:rPr>
          <w:bCs/>
          <w:iCs/>
        </w:rPr>
      </w:pPr>
    </w:p>
    <w:p w14:paraId="627614A9" w14:textId="77777777" w:rsidR="00093729" w:rsidRDefault="000C68E6" w:rsidP="00093729">
      <w:pPr>
        <w:spacing w:line="240" w:lineRule="auto"/>
        <w:rPr>
          <w:bCs/>
          <w:iCs/>
        </w:rPr>
      </w:pPr>
    </w:p>
    <w:p w14:paraId="67037906" w14:textId="77777777" w:rsidR="00093729" w:rsidRDefault="000C68E6" w:rsidP="00093729">
      <w:pPr>
        <w:spacing w:line="240" w:lineRule="auto"/>
        <w:rPr>
          <w:bCs/>
          <w:iCs/>
        </w:rPr>
      </w:pPr>
    </w:p>
    <w:p w14:paraId="0B46CF06" w14:textId="77777777" w:rsidR="00093729" w:rsidRDefault="000C68E6" w:rsidP="00093729">
      <w:pPr>
        <w:spacing w:line="240" w:lineRule="auto"/>
        <w:rPr>
          <w:bCs/>
          <w:iCs/>
        </w:rPr>
      </w:pPr>
    </w:p>
    <w:p w14:paraId="3680C59D" w14:textId="77777777" w:rsidR="00093729" w:rsidRDefault="000C68E6" w:rsidP="00093729">
      <w:pPr>
        <w:spacing w:line="240" w:lineRule="auto"/>
        <w:rPr>
          <w:bCs/>
          <w:i/>
          <w:iCs/>
        </w:rPr>
      </w:pPr>
    </w:p>
    <w:p w14:paraId="0529E6DD" w14:textId="77777777" w:rsidR="00093729" w:rsidRDefault="000C68E6" w:rsidP="00093729">
      <w:pPr>
        <w:spacing w:line="240" w:lineRule="auto"/>
        <w:rPr>
          <w:bCs/>
          <w:i/>
          <w:iCs/>
        </w:rPr>
      </w:pPr>
    </w:p>
    <w:p w14:paraId="338A630F" w14:textId="77777777" w:rsidR="00093729" w:rsidRDefault="000C68E6" w:rsidP="00093729">
      <w:pPr>
        <w:spacing w:line="240" w:lineRule="auto"/>
        <w:rPr>
          <w:bCs/>
          <w:i/>
          <w:iCs/>
        </w:rPr>
      </w:pPr>
    </w:p>
    <w:p w14:paraId="5F0707D2" w14:textId="77777777" w:rsidR="00093729" w:rsidRDefault="000C68E6" w:rsidP="00093729">
      <w:pPr>
        <w:spacing w:line="240" w:lineRule="auto"/>
        <w:rPr>
          <w:bCs/>
          <w:i/>
          <w:iCs/>
        </w:rPr>
      </w:pPr>
    </w:p>
    <w:p w14:paraId="2BC3E72C" w14:textId="77777777" w:rsidR="00093729" w:rsidRDefault="000C68E6" w:rsidP="00093729">
      <w:pPr>
        <w:spacing w:line="240" w:lineRule="auto"/>
        <w:rPr>
          <w:bCs/>
          <w:i/>
          <w:iCs/>
        </w:rPr>
      </w:pPr>
    </w:p>
    <w:p w14:paraId="15883B55" w14:textId="77777777" w:rsidR="00093729" w:rsidRDefault="000C68E6" w:rsidP="00093729">
      <w:pPr>
        <w:spacing w:line="240" w:lineRule="auto"/>
        <w:rPr>
          <w:bCs/>
          <w:i/>
          <w:iCs/>
        </w:rPr>
      </w:pPr>
    </w:p>
    <w:p w14:paraId="2658F622" w14:textId="77777777" w:rsidR="00093729" w:rsidRDefault="000C68E6" w:rsidP="00093729">
      <w:pPr>
        <w:spacing w:line="240" w:lineRule="auto"/>
        <w:rPr>
          <w:bCs/>
          <w:i/>
          <w:iCs/>
        </w:rPr>
      </w:pPr>
    </w:p>
    <w:p w14:paraId="3DE7506A" w14:textId="77777777" w:rsidR="00093729" w:rsidRDefault="00625ACD" w:rsidP="00093729">
      <w:pPr>
        <w:spacing w:line="240" w:lineRule="auto"/>
        <w:rPr>
          <w:bCs/>
          <w:i/>
          <w:iCs/>
        </w:rPr>
      </w:pPr>
      <w:r>
        <w:rPr>
          <w:bCs/>
          <w:i/>
          <w:iCs/>
        </w:rPr>
        <w:t>People</w:t>
      </w:r>
      <w:r w:rsidRPr="00666EC2">
        <w:rPr>
          <w:bCs/>
          <w:i/>
          <w:iCs/>
        </w:rPr>
        <w:t xml:space="preserve"> v</w:t>
      </w:r>
      <w:r w:rsidRPr="00666EC2">
        <w:rPr>
          <w:bCs/>
        </w:rPr>
        <w:t>.</w:t>
      </w:r>
      <w:r w:rsidRPr="00666EC2">
        <w:rPr>
          <w:bCs/>
          <w:i/>
          <w:iCs/>
        </w:rPr>
        <w:t xml:space="preserve"> </w:t>
      </w:r>
      <w:r>
        <w:rPr>
          <w:bCs/>
          <w:i/>
          <w:iCs/>
        </w:rPr>
        <w:t>Hoang</w:t>
      </w:r>
    </w:p>
    <w:p w14:paraId="6E04D915" w14:textId="77777777" w:rsidR="00D7466F" w:rsidRDefault="00625ACD" w:rsidP="00093729">
      <w:pPr>
        <w:spacing w:line="240" w:lineRule="auto"/>
        <w:rPr>
          <w:bCs/>
          <w:iCs/>
        </w:rPr>
        <w:sectPr w:rsidR="00D7466F" w:rsidSect="00093729">
          <w:pgSz w:w="12240" w:h="15840"/>
          <w:pgMar w:top="1440" w:right="1440" w:bottom="1440" w:left="1440" w:header="720" w:footer="720" w:gutter="0"/>
          <w:cols w:space="720"/>
          <w:titlePg/>
          <w:docGrid w:linePitch="360"/>
        </w:sectPr>
      </w:pPr>
      <w:r>
        <w:rPr>
          <w:bCs/>
          <w:iCs/>
        </w:rPr>
        <w:t>H04</w:t>
      </w:r>
      <w:bookmarkEnd w:id="1"/>
      <w:r>
        <w:rPr>
          <w:bCs/>
          <w:iCs/>
        </w:rPr>
        <w:t>6550</w:t>
      </w: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7"/>
        <w:gridCol w:w="6055"/>
      </w:tblGrid>
      <w:tr w:rsidR="00FF111B" w14:paraId="05F303D0" w14:textId="77777777" w:rsidTr="00A82AD3">
        <w:trPr>
          <w:trHeight w:val="293"/>
        </w:trPr>
        <w:tc>
          <w:tcPr>
            <w:tcW w:w="4737" w:type="dxa"/>
            <w:tcBorders>
              <w:top w:val="nil"/>
              <w:left w:val="nil"/>
              <w:bottom w:val="nil"/>
              <w:right w:val="nil"/>
            </w:tcBorders>
          </w:tcPr>
          <w:p w14:paraId="4B08EE05" w14:textId="77777777" w:rsidR="00D7466F" w:rsidRPr="003140AC" w:rsidRDefault="00625ACD" w:rsidP="00A82AD3">
            <w:pPr>
              <w:spacing w:line="240" w:lineRule="auto"/>
            </w:pPr>
            <w:r w:rsidRPr="003140AC">
              <w:lastRenderedPageBreak/>
              <w:t>Trial Court:</w:t>
            </w:r>
          </w:p>
        </w:tc>
        <w:tc>
          <w:tcPr>
            <w:tcW w:w="6055" w:type="dxa"/>
            <w:tcBorders>
              <w:top w:val="nil"/>
              <w:left w:val="nil"/>
              <w:bottom w:val="nil"/>
              <w:right w:val="nil"/>
            </w:tcBorders>
          </w:tcPr>
          <w:p w14:paraId="30A0052B" w14:textId="77777777" w:rsidR="00D7466F" w:rsidRPr="003140AC" w:rsidRDefault="00625ACD" w:rsidP="00A82AD3">
            <w:pPr>
              <w:overflowPunct w:val="0"/>
              <w:autoSpaceDE w:val="0"/>
              <w:autoSpaceDN w:val="0"/>
              <w:adjustRightInd w:val="0"/>
              <w:spacing w:line="240" w:lineRule="auto"/>
              <w:textAlignment w:val="baseline"/>
            </w:pPr>
            <w:r>
              <w:t>Santa Clara</w:t>
            </w:r>
            <w:r w:rsidRPr="003140AC">
              <w:t xml:space="preserve"> County Superior Court</w:t>
            </w:r>
          </w:p>
        </w:tc>
      </w:tr>
      <w:tr w:rsidR="00FF111B" w14:paraId="2257E732" w14:textId="77777777" w:rsidTr="00A82AD3">
        <w:trPr>
          <w:trHeight w:val="293"/>
        </w:trPr>
        <w:tc>
          <w:tcPr>
            <w:tcW w:w="4737" w:type="dxa"/>
            <w:tcBorders>
              <w:top w:val="nil"/>
              <w:left w:val="nil"/>
              <w:bottom w:val="nil"/>
              <w:right w:val="nil"/>
            </w:tcBorders>
          </w:tcPr>
          <w:p w14:paraId="56E5F716" w14:textId="77777777" w:rsidR="00D7466F" w:rsidRPr="003140AC" w:rsidRDefault="000C68E6" w:rsidP="00A82AD3">
            <w:pPr>
              <w:spacing w:line="240" w:lineRule="auto"/>
            </w:pPr>
          </w:p>
        </w:tc>
        <w:tc>
          <w:tcPr>
            <w:tcW w:w="6055" w:type="dxa"/>
            <w:tcBorders>
              <w:top w:val="nil"/>
              <w:left w:val="nil"/>
              <w:bottom w:val="nil"/>
              <w:right w:val="nil"/>
            </w:tcBorders>
          </w:tcPr>
          <w:p w14:paraId="4F44ED7E" w14:textId="77777777" w:rsidR="00D7466F" w:rsidRPr="003140AC" w:rsidRDefault="00625ACD" w:rsidP="00A82AD3">
            <w:pPr>
              <w:spacing w:line="240" w:lineRule="auto"/>
            </w:pPr>
            <w:r w:rsidRPr="003140AC">
              <w:t xml:space="preserve">Superior Court No:  </w:t>
            </w:r>
            <w:r>
              <w:rPr>
                <w:rStyle w:val="right"/>
              </w:rPr>
              <w:t>C1370251</w:t>
            </w:r>
          </w:p>
        </w:tc>
      </w:tr>
      <w:tr w:rsidR="00FF111B" w14:paraId="6B53BCF3" w14:textId="77777777" w:rsidTr="00A82AD3">
        <w:trPr>
          <w:trHeight w:val="293"/>
        </w:trPr>
        <w:tc>
          <w:tcPr>
            <w:tcW w:w="4737" w:type="dxa"/>
            <w:tcBorders>
              <w:top w:val="nil"/>
              <w:left w:val="nil"/>
              <w:bottom w:val="nil"/>
              <w:right w:val="nil"/>
            </w:tcBorders>
          </w:tcPr>
          <w:p w14:paraId="214D3CA3" w14:textId="77777777" w:rsidR="00D7466F" w:rsidRPr="003140AC" w:rsidRDefault="000C68E6" w:rsidP="00A82AD3">
            <w:pPr>
              <w:spacing w:line="240" w:lineRule="auto"/>
            </w:pPr>
          </w:p>
        </w:tc>
        <w:tc>
          <w:tcPr>
            <w:tcW w:w="6055" w:type="dxa"/>
            <w:tcBorders>
              <w:top w:val="nil"/>
              <w:left w:val="nil"/>
              <w:bottom w:val="nil"/>
              <w:right w:val="nil"/>
            </w:tcBorders>
          </w:tcPr>
          <w:p w14:paraId="2B1BFA08" w14:textId="77777777" w:rsidR="00D7466F" w:rsidRPr="003140AC" w:rsidRDefault="000C68E6" w:rsidP="00A82AD3">
            <w:pPr>
              <w:spacing w:line="240" w:lineRule="auto"/>
            </w:pPr>
          </w:p>
        </w:tc>
      </w:tr>
      <w:tr w:rsidR="00FF111B" w14:paraId="30D461C1" w14:textId="77777777" w:rsidTr="00A82AD3">
        <w:trPr>
          <w:trHeight w:val="302"/>
        </w:trPr>
        <w:tc>
          <w:tcPr>
            <w:tcW w:w="4737" w:type="dxa"/>
            <w:tcBorders>
              <w:top w:val="nil"/>
              <w:left w:val="nil"/>
              <w:bottom w:val="nil"/>
              <w:right w:val="nil"/>
            </w:tcBorders>
          </w:tcPr>
          <w:p w14:paraId="0684B163" w14:textId="77777777" w:rsidR="00D7466F" w:rsidRPr="003140AC" w:rsidRDefault="000C68E6" w:rsidP="00A82AD3">
            <w:pPr>
              <w:spacing w:line="240" w:lineRule="auto"/>
            </w:pPr>
          </w:p>
        </w:tc>
        <w:tc>
          <w:tcPr>
            <w:tcW w:w="6055" w:type="dxa"/>
            <w:tcBorders>
              <w:top w:val="nil"/>
              <w:left w:val="nil"/>
              <w:bottom w:val="nil"/>
              <w:right w:val="nil"/>
            </w:tcBorders>
          </w:tcPr>
          <w:p w14:paraId="2B95E73A" w14:textId="77777777" w:rsidR="00D7466F" w:rsidRPr="003140AC" w:rsidRDefault="000C68E6" w:rsidP="00A82AD3">
            <w:pPr>
              <w:spacing w:line="240" w:lineRule="auto"/>
            </w:pPr>
          </w:p>
        </w:tc>
      </w:tr>
      <w:tr w:rsidR="00FF111B" w14:paraId="6A4C4A9B" w14:textId="77777777" w:rsidTr="00A82AD3">
        <w:trPr>
          <w:trHeight w:val="293"/>
        </w:trPr>
        <w:tc>
          <w:tcPr>
            <w:tcW w:w="4737" w:type="dxa"/>
            <w:tcBorders>
              <w:top w:val="nil"/>
              <w:left w:val="nil"/>
              <w:bottom w:val="nil"/>
              <w:right w:val="nil"/>
            </w:tcBorders>
          </w:tcPr>
          <w:p w14:paraId="5EB7001A" w14:textId="77777777" w:rsidR="00D7466F" w:rsidRPr="003140AC" w:rsidRDefault="00625ACD" w:rsidP="00A82AD3">
            <w:pPr>
              <w:spacing w:line="240" w:lineRule="auto"/>
            </w:pPr>
            <w:r w:rsidRPr="003140AC">
              <w:t>Trial Judge:</w:t>
            </w:r>
          </w:p>
        </w:tc>
        <w:tc>
          <w:tcPr>
            <w:tcW w:w="6055" w:type="dxa"/>
            <w:tcBorders>
              <w:top w:val="nil"/>
              <w:left w:val="nil"/>
              <w:bottom w:val="nil"/>
              <w:right w:val="nil"/>
            </w:tcBorders>
          </w:tcPr>
          <w:p w14:paraId="2D8BE13A" w14:textId="77777777" w:rsidR="00D7466F" w:rsidRPr="003140AC" w:rsidRDefault="00625ACD" w:rsidP="00A82AD3">
            <w:pPr>
              <w:spacing w:line="240" w:lineRule="auto"/>
            </w:pPr>
            <w:r w:rsidRPr="003140AC">
              <w:t xml:space="preserve">Honorable </w:t>
            </w:r>
            <w:r>
              <w:t>Ronald I. Toff</w:t>
            </w:r>
          </w:p>
        </w:tc>
      </w:tr>
      <w:tr w:rsidR="00FF111B" w14:paraId="299EF274" w14:textId="77777777" w:rsidTr="00A82AD3">
        <w:trPr>
          <w:trHeight w:val="293"/>
        </w:trPr>
        <w:tc>
          <w:tcPr>
            <w:tcW w:w="4737" w:type="dxa"/>
            <w:tcBorders>
              <w:top w:val="nil"/>
              <w:left w:val="nil"/>
              <w:bottom w:val="nil"/>
              <w:right w:val="nil"/>
            </w:tcBorders>
          </w:tcPr>
          <w:p w14:paraId="0BD702AA" w14:textId="77777777" w:rsidR="00D7466F" w:rsidRPr="003140AC" w:rsidRDefault="000C68E6" w:rsidP="00A82AD3">
            <w:pPr>
              <w:spacing w:line="240" w:lineRule="auto"/>
            </w:pPr>
          </w:p>
        </w:tc>
        <w:tc>
          <w:tcPr>
            <w:tcW w:w="6055" w:type="dxa"/>
            <w:tcBorders>
              <w:top w:val="nil"/>
              <w:left w:val="nil"/>
              <w:bottom w:val="nil"/>
              <w:right w:val="nil"/>
            </w:tcBorders>
          </w:tcPr>
          <w:p w14:paraId="528DEBE1" w14:textId="77777777" w:rsidR="00D7466F" w:rsidRPr="003140AC" w:rsidRDefault="000C68E6" w:rsidP="00A82AD3">
            <w:pPr>
              <w:spacing w:line="240" w:lineRule="auto"/>
              <w:rPr>
                <w:highlight w:val="cyan"/>
              </w:rPr>
            </w:pPr>
          </w:p>
        </w:tc>
      </w:tr>
      <w:tr w:rsidR="00FF111B" w14:paraId="5EAB638F" w14:textId="77777777" w:rsidTr="00A82AD3">
        <w:trPr>
          <w:trHeight w:val="293"/>
        </w:trPr>
        <w:tc>
          <w:tcPr>
            <w:tcW w:w="4737" w:type="dxa"/>
            <w:tcBorders>
              <w:top w:val="nil"/>
              <w:left w:val="nil"/>
              <w:bottom w:val="nil"/>
              <w:right w:val="nil"/>
            </w:tcBorders>
          </w:tcPr>
          <w:p w14:paraId="51C80C34" w14:textId="77777777" w:rsidR="00D7466F" w:rsidRPr="003140AC" w:rsidRDefault="000C68E6" w:rsidP="00A82AD3">
            <w:pPr>
              <w:spacing w:line="240" w:lineRule="auto"/>
            </w:pPr>
          </w:p>
        </w:tc>
        <w:tc>
          <w:tcPr>
            <w:tcW w:w="6055" w:type="dxa"/>
            <w:tcBorders>
              <w:top w:val="nil"/>
              <w:left w:val="nil"/>
              <w:bottom w:val="nil"/>
              <w:right w:val="nil"/>
            </w:tcBorders>
          </w:tcPr>
          <w:p w14:paraId="02890C59" w14:textId="77777777" w:rsidR="00D7466F" w:rsidRPr="003140AC" w:rsidRDefault="000C68E6" w:rsidP="00A82AD3">
            <w:pPr>
              <w:spacing w:line="240" w:lineRule="auto"/>
              <w:rPr>
                <w:highlight w:val="cyan"/>
              </w:rPr>
            </w:pPr>
          </w:p>
        </w:tc>
      </w:tr>
      <w:tr w:rsidR="00FF111B" w14:paraId="552E0302" w14:textId="77777777" w:rsidTr="00A82AD3">
        <w:trPr>
          <w:trHeight w:val="293"/>
        </w:trPr>
        <w:tc>
          <w:tcPr>
            <w:tcW w:w="4737" w:type="dxa"/>
            <w:tcBorders>
              <w:top w:val="nil"/>
              <w:left w:val="nil"/>
              <w:bottom w:val="nil"/>
              <w:right w:val="nil"/>
            </w:tcBorders>
          </w:tcPr>
          <w:p w14:paraId="70174BC0" w14:textId="77777777" w:rsidR="00D7466F" w:rsidRPr="003140AC" w:rsidRDefault="000C68E6" w:rsidP="00A82AD3">
            <w:pPr>
              <w:spacing w:line="240" w:lineRule="auto"/>
            </w:pPr>
          </w:p>
        </w:tc>
        <w:tc>
          <w:tcPr>
            <w:tcW w:w="6055" w:type="dxa"/>
            <w:tcBorders>
              <w:top w:val="nil"/>
              <w:left w:val="nil"/>
              <w:bottom w:val="nil"/>
              <w:right w:val="nil"/>
            </w:tcBorders>
          </w:tcPr>
          <w:p w14:paraId="48C1FDAF" w14:textId="77777777" w:rsidR="00D7466F" w:rsidRPr="003140AC" w:rsidRDefault="000C68E6" w:rsidP="00A82AD3">
            <w:pPr>
              <w:spacing w:line="240" w:lineRule="auto"/>
              <w:rPr>
                <w:highlight w:val="cyan"/>
              </w:rPr>
            </w:pPr>
          </w:p>
        </w:tc>
      </w:tr>
      <w:tr w:rsidR="00FF111B" w14:paraId="008914B1" w14:textId="77777777" w:rsidTr="00A82AD3">
        <w:trPr>
          <w:trHeight w:val="4121"/>
        </w:trPr>
        <w:tc>
          <w:tcPr>
            <w:tcW w:w="4737" w:type="dxa"/>
            <w:tcBorders>
              <w:top w:val="nil"/>
              <w:left w:val="nil"/>
              <w:bottom w:val="nil"/>
              <w:right w:val="nil"/>
            </w:tcBorders>
          </w:tcPr>
          <w:p w14:paraId="613634CC" w14:textId="77777777" w:rsidR="00D7466F" w:rsidRPr="003140AC" w:rsidRDefault="00625ACD" w:rsidP="00A82AD3">
            <w:pPr>
              <w:spacing w:line="240" w:lineRule="auto"/>
            </w:pPr>
            <w:r w:rsidRPr="003140AC">
              <w:t xml:space="preserve">Counsel for Plaintiff and </w:t>
            </w:r>
            <w:r>
              <w:t>Respondent</w:t>
            </w:r>
            <w:r w:rsidRPr="003140AC">
              <w:t>:</w:t>
            </w:r>
          </w:p>
          <w:p w14:paraId="7794647A" w14:textId="77777777" w:rsidR="00D7466F" w:rsidRPr="003140AC" w:rsidRDefault="00625ACD" w:rsidP="00A82AD3">
            <w:pPr>
              <w:spacing w:line="240" w:lineRule="auto"/>
            </w:pPr>
            <w:r w:rsidRPr="003140AC">
              <w:t>THE PEOPLE</w:t>
            </w:r>
          </w:p>
        </w:tc>
        <w:tc>
          <w:tcPr>
            <w:tcW w:w="6055" w:type="dxa"/>
            <w:tcBorders>
              <w:top w:val="nil"/>
              <w:left w:val="nil"/>
              <w:bottom w:val="nil"/>
              <w:right w:val="nil"/>
            </w:tcBorders>
          </w:tcPr>
          <w:p w14:paraId="12DF8B84" w14:textId="77777777" w:rsidR="00D7466F" w:rsidRPr="003140AC" w:rsidRDefault="00625ACD" w:rsidP="00A82AD3">
            <w:pPr>
              <w:widowControl w:val="0"/>
              <w:tabs>
                <w:tab w:val="left" w:pos="1440"/>
                <w:tab w:val="left" w:pos="2880"/>
                <w:tab w:val="left" w:pos="4320"/>
                <w:tab w:val="left" w:pos="5760"/>
                <w:tab w:val="left" w:pos="7200"/>
                <w:tab w:val="left" w:pos="8640"/>
              </w:tabs>
              <w:autoSpaceDE w:val="0"/>
              <w:autoSpaceDN w:val="0"/>
              <w:adjustRightInd w:val="0"/>
              <w:spacing w:line="240" w:lineRule="auto"/>
            </w:pPr>
            <w:r w:rsidRPr="003140AC">
              <w:t>Xavier Becerra</w:t>
            </w:r>
          </w:p>
          <w:p w14:paraId="24F80FB6" w14:textId="77777777" w:rsidR="00D7466F" w:rsidRPr="003140AC" w:rsidRDefault="00625ACD" w:rsidP="00A82AD3">
            <w:pPr>
              <w:widowControl w:val="0"/>
              <w:tabs>
                <w:tab w:val="left" w:pos="1440"/>
                <w:tab w:val="left" w:pos="2880"/>
                <w:tab w:val="left" w:pos="4320"/>
                <w:tab w:val="left" w:pos="5760"/>
                <w:tab w:val="left" w:pos="7200"/>
                <w:tab w:val="left" w:pos="8640"/>
              </w:tabs>
              <w:autoSpaceDE w:val="0"/>
              <w:autoSpaceDN w:val="0"/>
              <w:adjustRightInd w:val="0"/>
              <w:spacing w:line="240" w:lineRule="auto"/>
            </w:pPr>
            <w:r w:rsidRPr="003140AC">
              <w:t>Attorney General</w:t>
            </w:r>
          </w:p>
          <w:p w14:paraId="5B7F7AE7" w14:textId="77777777" w:rsidR="00D7466F" w:rsidRPr="003140AC" w:rsidRDefault="000C68E6" w:rsidP="00A82AD3">
            <w:pPr>
              <w:widowControl w:val="0"/>
              <w:tabs>
                <w:tab w:val="left" w:pos="1440"/>
                <w:tab w:val="left" w:pos="2880"/>
                <w:tab w:val="left" w:pos="4320"/>
                <w:tab w:val="left" w:pos="5760"/>
                <w:tab w:val="left" w:pos="7200"/>
                <w:tab w:val="left" w:pos="8640"/>
              </w:tabs>
              <w:autoSpaceDE w:val="0"/>
              <w:autoSpaceDN w:val="0"/>
              <w:adjustRightInd w:val="0"/>
              <w:spacing w:line="240" w:lineRule="auto"/>
            </w:pPr>
          </w:p>
          <w:p w14:paraId="449ADC30" w14:textId="77777777" w:rsidR="00D7466F" w:rsidRPr="003140AC" w:rsidRDefault="00625ACD" w:rsidP="00A82AD3">
            <w:pPr>
              <w:widowControl w:val="0"/>
              <w:tabs>
                <w:tab w:val="left" w:pos="1440"/>
                <w:tab w:val="left" w:pos="2880"/>
                <w:tab w:val="left" w:pos="4320"/>
                <w:tab w:val="left" w:pos="5760"/>
                <w:tab w:val="left" w:pos="7200"/>
                <w:tab w:val="left" w:pos="8640"/>
              </w:tabs>
              <w:autoSpaceDE w:val="0"/>
              <w:autoSpaceDN w:val="0"/>
              <w:adjustRightInd w:val="0"/>
              <w:spacing w:line="240" w:lineRule="auto"/>
            </w:pPr>
            <w:r w:rsidRPr="003140AC">
              <w:t>Lance E. Winters</w:t>
            </w:r>
          </w:p>
          <w:p w14:paraId="03FE0957" w14:textId="77777777" w:rsidR="00D7466F" w:rsidRPr="003140AC" w:rsidRDefault="00625ACD" w:rsidP="00A82AD3">
            <w:pPr>
              <w:widowControl w:val="0"/>
              <w:tabs>
                <w:tab w:val="left" w:pos="1440"/>
                <w:tab w:val="left" w:pos="2880"/>
                <w:tab w:val="left" w:pos="4320"/>
                <w:tab w:val="left" w:pos="5760"/>
                <w:tab w:val="left" w:pos="7200"/>
                <w:tab w:val="left" w:pos="8640"/>
              </w:tabs>
              <w:autoSpaceDE w:val="0"/>
              <w:autoSpaceDN w:val="0"/>
              <w:adjustRightInd w:val="0"/>
              <w:spacing w:line="240" w:lineRule="auto"/>
            </w:pPr>
            <w:r w:rsidRPr="003140AC">
              <w:t>Chief Assistant Attorney General</w:t>
            </w:r>
          </w:p>
          <w:p w14:paraId="43B8F14C" w14:textId="77777777" w:rsidR="00D7466F" w:rsidRPr="003140AC" w:rsidRDefault="000C68E6" w:rsidP="00A82AD3">
            <w:pPr>
              <w:widowControl w:val="0"/>
              <w:tabs>
                <w:tab w:val="left" w:pos="1440"/>
                <w:tab w:val="left" w:pos="2880"/>
                <w:tab w:val="left" w:pos="4320"/>
                <w:tab w:val="left" w:pos="5760"/>
                <w:tab w:val="left" w:pos="7200"/>
                <w:tab w:val="left" w:pos="8640"/>
              </w:tabs>
              <w:autoSpaceDE w:val="0"/>
              <w:autoSpaceDN w:val="0"/>
              <w:adjustRightInd w:val="0"/>
              <w:spacing w:line="240" w:lineRule="auto"/>
            </w:pPr>
          </w:p>
          <w:p w14:paraId="290DCE45" w14:textId="77777777" w:rsidR="00D7466F" w:rsidRPr="003140AC" w:rsidRDefault="00625ACD" w:rsidP="00A82AD3">
            <w:pPr>
              <w:spacing w:line="240" w:lineRule="auto"/>
            </w:pPr>
            <w:r w:rsidRPr="003140AC">
              <w:t>Jeffrey M. Laurence</w:t>
            </w:r>
          </w:p>
          <w:p w14:paraId="11AF08DB" w14:textId="77777777" w:rsidR="00D7466F" w:rsidRPr="003140AC" w:rsidRDefault="00625ACD" w:rsidP="00A82AD3">
            <w:pPr>
              <w:spacing w:line="240" w:lineRule="auto"/>
            </w:pPr>
            <w:r w:rsidRPr="003140AC">
              <w:t>Senior Assistant Attorney General</w:t>
            </w:r>
          </w:p>
          <w:p w14:paraId="02F38098" w14:textId="77777777" w:rsidR="00D7466F" w:rsidRPr="003140AC" w:rsidRDefault="000C68E6" w:rsidP="00A82AD3">
            <w:pPr>
              <w:spacing w:line="240" w:lineRule="auto"/>
            </w:pPr>
          </w:p>
          <w:p w14:paraId="52990230" w14:textId="77777777" w:rsidR="00D7466F" w:rsidRPr="003140AC" w:rsidRDefault="00625ACD" w:rsidP="00A82AD3">
            <w:pPr>
              <w:spacing w:line="240" w:lineRule="auto"/>
            </w:pPr>
            <w:r>
              <w:t>Eric D. Share</w:t>
            </w:r>
          </w:p>
          <w:p w14:paraId="52F5C368" w14:textId="77777777" w:rsidR="00D7466F" w:rsidRPr="003140AC" w:rsidRDefault="00625ACD" w:rsidP="00A82AD3">
            <w:pPr>
              <w:spacing w:line="240" w:lineRule="auto"/>
            </w:pPr>
            <w:r w:rsidRPr="003140AC">
              <w:t>Supervising Deputy Attorney General</w:t>
            </w:r>
          </w:p>
          <w:p w14:paraId="395640B4" w14:textId="77777777" w:rsidR="00D7466F" w:rsidRPr="003140AC" w:rsidRDefault="000C68E6" w:rsidP="00A82AD3">
            <w:pPr>
              <w:spacing w:line="240" w:lineRule="auto"/>
            </w:pPr>
          </w:p>
          <w:p w14:paraId="3CFCFDA7" w14:textId="77777777" w:rsidR="00D7466F" w:rsidRPr="003140AC" w:rsidRDefault="00625ACD" w:rsidP="00A82AD3">
            <w:pPr>
              <w:spacing w:line="240" w:lineRule="auto"/>
            </w:pPr>
            <w:r>
              <w:t>Katie L. Stowe</w:t>
            </w:r>
          </w:p>
          <w:p w14:paraId="509BB55A" w14:textId="77777777" w:rsidR="00D7466F" w:rsidRPr="003140AC" w:rsidRDefault="00625ACD" w:rsidP="00A82AD3">
            <w:pPr>
              <w:spacing w:line="240" w:lineRule="auto"/>
            </w:pPr>
            <w:r w:rsidRPr="003140AC">
              <w:t>Deputy Attorney General</w:t>
            </w:r>
          </w:p>
        </w:tc>
      </w:tr>
      <w:tr w:rsidR="00FF111B" w14:paraId="47D4DD12" w14:textId="77777777" w:rsidTr="00A82AD3">
        <w:trPr>
          <w:trHeight w:val="293"/>
        </w:trPr>
        <w:tc>
          <w:tcPr>
            <w:tcW w:w="4737" w:type="dxa"/>
            <w:tcBorders>
              <w:top w:val="nil"/>
              <w:left w:val="nil"/>
              <w:bottom w:val="nil"/>
              <w:right w:val="nil"/>
            </w:tcBorders>
          </w:tcPr>
          <w:p w14:paraId="25EB795C" w14:textId="77777777" w:rsidR="00D7466F" w:rsidRPr="003140AC" w:rsidRDefault="000C68E6" w:rsidP="00A82AD3">
            <w:pPr>
              <w:spacing w:line="240" w:lineRule="auto"/>
            </w:pPr>
          </w:p>
        </w:tc>
        <w:tc>
          <w:tcPr>
            <w:tcW w:w="6055" w:type="dxa"/>
            <w:tcBorders>
              <w:top w:val="nil"/>
              <w:left w:val="nil"/>
              <w:bottom w:val="nil"/>
              <w:right w:val="nil"/>
            </w:tcBorders>
          </w:tcPr>
          <w:p w14:paraId="559B7498" w14:textId="77777777" w:rsidR="00D7466F" w:rsidRPr="003140AC" w:rsidRDefault="000C68E6" w:rsidP="00A82AD3">
            <w:pPr>
              <w:spacing w:line="240" w:lineRule="auto"/>
            </w:pPr>
          </w:p>
        </w:tc>
      </w:tr>
      <w:tr w:rsidR="00FF111B" w14:paraId="7DF5BFB8" w14:textId="77777777" w:rsidTr="00A82AD3">
        <w:trPr>
          <w:trHeight w:val="595"/>
        </w:trPr>
        <w:tc>
          <w:tcPr>
            <w:tcW w:w="4737" w:type="dxa"/>
            <w:tcBorders>
              <w:top w:val="nil"/>
              <w:left w:val="nil"/>
              <w:bottom w:val="nil"/>
              <w:right w:val="nil"/>
            </w:tcBorders>
          </w:tcPr>
          <w:p w14:paraId="4C31E8A2" w14:textId="77777777" w:rsidR="00D7466F" w:rsidRPr="003140AC" w:rsidRDefault="00625ACD" w:rsidP="00A82AD3">
            <w:pPr>
              <w:spacing w:line="240" w:lineRule="auto"/>
            </w:pPr>
            <w:r w:rsidRPr="003140AC">
              <w:t xml:space="preserve">Counsel for Defendant and </w:t>
            </w:r>
            <w:r>
              <w:t>Appellant</w:t>
            </w:r>
            <w:r w:rsidRPr="003140AC">
              <w:t>:</w:t>
            </w:r>
          </w:p>
          <w:p w14:paraId="31B67AAD" w14:textId="77777777" w:rsidR="00D7466F" w:rsidRPr="003140AC" w:rsidRDefault="00625ACD" w:rsidP="00A82AD3">
            <w:pPr>
              <w:spacing w:line="240" w:lineRule="auto"/>
            </w:pPr>
            <w:r w:rsidRPr="00AC5968">
              <w:t>HAN QUOC HOANG</w:t>
            </w:r>
          </w:p>
        </w:tc>
        <w:tc>
          <w:tcPr>
            <w:tcW w:w="6055" w:type="dxa"/>
            <w:tcBorders>
              <w:top w:val="nil"/>
              <w:left w:val="nil"/>
              <w:bottom w:val="nil"/>
              <w:right w:val="nil"/>
            </w:tcBorders>
            <w:shd w:val="clear" w:color="auto" w:fill="auto"/>
          </w:tcPr>
          <w:p w14:paraId="408D00EF" w14:textId="77777777" w:rsidR="00D7466F" w:rsidRPr="003140AC" w:rsidRDefault="00625ACD" w:rsidP="00A82AD3">
            <w:pPr>
              <w:widowControl w:val="0"/>
              <w:tabs>
                <w:tab w:val="left" w:pos="1440"/>
                <w:tab w:val="left" w:pos="2880"/>
                <w:tab w:val="left" w:pos="4320"/>
                <w:tab w:val="left" w:pos="5760"/>
                <w:tab w:val="left" w:pos="7200"/>
                <w:tab w:val="left" w:pos="8640"/>
              </w:tabs>
              <w:autoSpaceDE w:val="0"/>
              <w:autoSpaceDN w:val="0"/>
              <w:adjustRightInd w:val="0"/>
              <w:spacing w:line="240" w:lineRule="auto"/>
            </w:pPr>
            <w:r>
              <w:t>Lori A. Quick</w:t>
            </w:r>
          </w:p>
          <w:p w14:paraId="7C69B29A" w14:textId="77777777" w:rsidR="00D7466F" w:rsidRPr="003140AC" w:rsidRDefault="00625ACD" w:rsidP="00A82AD3">
            <w:pPr>
              <w:widowControl w:val="0"/>
              <w:tabs>
                <w:tab w:val="left" w:pos="1440"/>
                <w:tab w:val="left" w:pos="2880"/>
                <w:tab w:val="left" w:pos="4320"/>
                <w:tab w:val="left" w:pos="5760"/>
                <w:tab w:val="left" w:pos="7200"/>
                <w:tab w:val="left" w:pos="8640"/>
              </w:tabs>
              <w:autoSpaceDE w:val="0"/>
              <w:autoSpaceDN w:val="0"/>
              <w:adjustRightInd w:val="0"/>
              <w:spacing w:line="240" w:lineRule="auto"/>
              <w:rPr>
                <w:highlight w:val="yellow"/>
              </w:rPr>
            </w:pPr>
            <w:r>
              <w:t>Sixth District Appellate Program</w:t>
            </w:r>
          </w:p>
        </w:tc>
      </w:tr>
    </w:tbl>
    <w:p w14:paraId="57C8E6C2" w14:textId="77777777" w:rsidR="00AB51A2" w:rsidRPr="00F45A3C" w:rsidRDefault="000C68E6" w:rsidP="00D60F0D">
      <w:pPr>
        <w:spacing w:line="240" w:lineRule="auto"/>
      </w:pPr>
    </w:p>
    <w:sectPr w:rsidR="00AB51A2" w:rsidRPr="00F45A3C" w:rsidSect="000937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1491" w14:textId="77777777" w:rsidR="00AB6B53" w:rsidRDefault="00625ACD">
      <w:pPr>
        <w:spacing w:line="240" w:lineRule="auto"/>
      </w:pPr>
      <w:r>
        <w:separator/>
      </w:r>
    </w:p>
  </w:endnote>
  <w:endnote w:type="continuationSeparator" w:id="0">
    <w:p w14:paraId="2DF1043C" w14:textId="77777777" w:rsidR="00AB6B53" w:rsidRDefault="00625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C43F" w14:textId="77777777" w:rsidR="002A4BD0" w:rsidRDefault="000C6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7747"/>
      <w:docPartObj>
        <w:docPartGallery w:val="Page Numbers (Bottom of Page)"/>
        <w:docPartUnique/>
      </w:docPartObj>
    </w:sdtPr>
    <w:sdtEndPr>
      <w:rPr>
        <w:noProof/>
      </w:rPr>
    </w:sdtEndPr>
    <w:sdtContent>
      <w:p w14:paraId="4540C7FF" w14:textId="77777777" w:rsidR="008106B5" w:rsidRDefault="00625A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5779" w14:textId="77777777" w:rsidR="002A4BD0" w:rsidRDefault="000C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9967D" w14:textId="77777777" w:rsidR="00525326" w:rsidRDefault="00625ACD" w:rsidP="00666338">
      <w:pPr>
        <w:spacing w:line="240" w:lineRule="auto"/>
      </w:pPr>
      <w:r>
        <w:separator/>
      </w:r>
    </w:p>
  </w:footnote>
  <w:footnote w:type="continuationSeparator" w:id="0">
    <w:p w14:paraId="36ADEA5D" w14:textId="77777777" w:rsidR="00525326" w:rsidRDefault="00625ACD" w:rsidP="00666338">
      <w:pPr>
        <w:spacing w:line="240" w:lineRule="auto"/>
      </w:pPr>
      <w:r>
        <w:continuationSeparator/>
      </w:r>
    </w:p>
  </w:footnote>
  <w:footnote w:id="1">
    <w:p w14:paraId="7B7CFD9E" w14:textId="77777777" w:rsidR="001B0946" w:rsidRDefault="00625ACD" w:rsidP="001B0946">
      <w:pPr>
        <w:pStyle w:val="FootnoteText"/>
      </w:pPr>
      <w:r>
        <w:tab/>
      </w:r>
      <w:r w:rsidRPr="00DC4945">
        <w:rPr>
          <w:rStyle w:val="FootnoteReference"/>
          <w:b/>
          <w:bCs/>
        </w:rPr>
        <w:footnoteRef/>
      </w:r>
      <w:r>
        <w:t xml:space="preserve"> </w:t>
      </w:r>
      <w:r w:rsidRPr="000A629A">
        <w:t>All further references are to the Penal Code unless otherwise indicated.</w:t>
      </w:r>
    </w:p>
  </w:footnote>
  <w:footnote w:id="2">
    <w:p w14:paraId="051A91CF" w14:textId="77777777" w:rsidR="00666338" w:rsidRDefault="00625ACD">
      <w:pPr>
        <w:pStyle w:val="FootnoteText"/>
      </w:pPr>
      <w:r>
        <w:tab/>
      </w:r>
      <w:r w:rsidRPr="00DC4945">
        <w:rPr>
          <w:rStyle w:val="FootnoteReference"/>
          <w:b/>
          <w:bCs/>
        </w:rPr>
        <w:footnoteRef/>
      </w:r>
      <w:r>
        <w:t xml:space="preserve"> This court granted defendant’s request for judicial notice of the record and opinion in his prior appeal (</w:t>
      </w:r>
      <w:r w:rsidRPr="00666338">
        <w:rPr>
          <w:i/>
          <w:iCs/>
        </w:rPr>
        <w:t>People v. Hoang</w:t>
      </w:r>
      <w:r>
        <w:t xml:space="preserve"> (April 27, 2018, H042876) [nonpub. opn.].)  The procedural history set forth below is taken in part from our prior opinion.</w:t>
      </w:r>
    </w:p>
  </w:footnote>
  <w:footnote w:id="3">
    <w:p w14:paraId="67586BF8" w14:textId="77777777" w:rsidR="001F15D7" w:rsidRDefault="00625ACD" w:rsidP="001F15D7">
      <w:pPr>
        <w:pStyle w:val="FootnoteText"/>
      </w:pPr>
      <w:r>
        <w:tab/>
      </w:r>
      <w:r w:rsidRPr="006D272F">
        <w:rPr>
          <w:rStyle w:val="FootnoteReference"/>
          <w:b/>
          <w:bCs/>
        </w:rPr>
        <w:footnoteRef/>
      </w:r>
      <w:r>
        <w:t xml:space="preserve"> </w:t>
      </w:r>
      <w:r>
        <w:rPr>
          <w:szCs w:val="26"/>
        </w:rPr>
        <w:t>Effective January 1, 2018, the Legislature enacted Senate Bill No. 620 (2017</w:t>
      </w:r>
      <w:r>
        <w:rPr>
          <w:szCs w:val="26"/>
        </w:rPr>
        <w:noBreakHyphen/>
        <w:t>2018 Reg. Sess.), which amended section 12022.53, subdivision (h).  (Stats. 2017, ch. 682, §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8D5A" w14:textId="77777777" w:rsidR="002A4BD0" w:rsidRDefault="000C6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135F" w14:textId="77777777" w:rsidR="002A4BD0" w:rsidRDefault="000C6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E8CA" w14:textId="77777777" w:rsidR="002A4BD0" w:rsidRDefault="000C6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1B"/>
    <w:rsid w:val="000C68E6"/>
    <w:rsid w:val="00625ACD"/>
    <w:rsid w:val="006B3ECC"/>
    <w:rsid w:val="00AB6B53"/>
    <w:rsid w:val="00E51B30"/>
    <w:rsid w:val="00FF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0FEE"/>
    <w:pPr>
      <w:spacing w:line="240" w:lineRule="auto"/>
    </w:pPr>
    <w:rPr>
      <w:szCs w:val="20"/>
    </w:rPr>
  </w:style>
  <w:style w:type="character" w:customStyle="1" w:styleId="FootnoteTextChar">
    <w:name w:val="Footnote Text Char"/>
    <w:basedOn w:val="DefaultParagraphFont"/>
    <w:link w:val="FootnoteText"/>
    <w:uiPriority w:val="99"/>
    <w:rsid w:val="00510FEE"/>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666338"/>
    <w:rPr>
      <w:vertAlign w:val="superscript"/>
    </w:rPr>
  </w:style>
  <w:style w:type="paragraph" w:styleId="Header">
    <w:name w:val="header"/>
    <w:basedOn w:val="Normal"/>
    <w:link w:val="HeaderChar"/>
    <w:uiPriority w:val="99"/>
    <w:unhideWhenUsed/>
    <w:rsid w:val="008106B5"/>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8106B5"/>
    <w:rPr>
      <w:rFonts w:ascii="Times New Roman" w:hAnsi="Times New Roman" w:cs="Times New Roman"/>
      <w:sz w:val="26"/>
    </w:rPr>
  </w:style>
  <w:style w:type="paragraph" w:styleId="Footer">
    <w:name w:val="footer"/>
    <w:basedOn w:val="Normal"/>
    <w:link w:val="FooterChar"/>
    <w:uiPriority w:val="99"/>
    <w:unhideWhenUsed/>
    <w:rsid w:val="008106B5"/>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8106B5"/>
    <w:rPr>
      <w:rFonts w:ascii="Times New Roman" w:hAnsi="Times New Roman" w:cs="Times New Roman"/>
      <w:sz w:val="26"/>
    </w:rPr>
  </w:style>
  <w:style w:type="character" w:styleId="CommentReference">
    <w:name w:val="annotation reference"/>
    <w:basedOn w:val="DefaultParagraphFont"/>
    <w:uiPriority w:val="99"/>
    <w:semiHidden/>
    <w:unhideWhenUsed/>
    <w:rsid w:val="00CB3FF8"/>
    <w:rPr>
      <w:sz w:val="16"/>
      <w:szCs w:val="16"/>
    </w:rPr>
  </w:style>
  <w:style w:type="paragraph" w:styleId="CommentText">
    <w:name w:val="annotation text"/>
    <w:basedOn w:val="Normal"/>
    <w:link w:val="CommentTextChar"/>
    <w:uiPriority w:val="99"/>
    <w:unhideWhenUsed/>
    <w:rsid w:val="00CB3FF8"/>
    <w:pPr>
      <w:spacing w:line="240" w:lineRule="auto"/>
    </w:pPr>
    <w:rPr>
      <w:sz w:val="20"/>
      <w:szCs w:val="20"/>
    </w:rPr>
  </w:style>
  <w:style w:type="character" w:customStyle="1" w:styleId="CommentTextChar">
    <w:name w:val="Comment Text Char"/>
    <w:basedOn w:val="DefaultParagraphFont"/>
    <w:link w:val="CommentText"/>
    <w:uiPriority w:val="99"/>
    <w:rsid w:val="00CB3FF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3FF8"/>
    <w:rPr>
      <w:b/>
      <w:bCs/>
    </w:rPr>
  </w:style>
  <w:style w:type="character" w:customStyle="1" w:styleId="CommentSubjectChar">
    <w:name w:val="Comment Subject Char"/>
    <w:basedOn w:val="CommentTextChar"/>
    <w:link w:val="CommentSubject"/>
    <w:uiPriority w:val="99"/>
    <w:semiHidden/>
    <w:rsid w:val="00CB3FF8"/>
    <w:rPr>
      <w:rFonts w:ascii="Times New Roman" w:hAnsi="Times New Roman" w:cs="Times New Roman"/>
      <w:b/>
      <w:bCs/>
      <w:sz w:val="20"/>
      <w:szCs w:val="20"/>
    </w:rPr>
  </w:style>
  <w:style w:type="paragraph" w:styleId="Revision">
    <w:name w:val="Revision"/>
    <w:hidden/>
    <w:uiPriority w:val="99"/>
    <w:semiHidden/>
    <w:rsid w:val="00181E99"/>
    <w:pPr>
      <w:spacing w:after="0" w:line="240" w:lineRule="auto"/>
    </w:pPr>
    <w:rPr>
      <w:rFonts w:ascii="Times New Roman" w:hAnsi="Times New Roman" w:cs="Times New Roman"/>
      <w:sz w:val="26"/>
    </w:rPr>
  </w:style>
  <w:style w:type="paragraph" w:styleId="BalloonText">
    <w:name w:val="Balloon Text"/>
    <w:basedOn w:val="Normal"/>
    <w:link w:val="BalloonTextChar"/>
    <w:uiPriority w:val="99"/>
    <w:semiHidden/>
    <w:unhideWhenUsed/>
    <w:rsid w:val="00181E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99"/>
    <w:rPr>
      <w:rFonts w:ascii="Segoe UI" w:hAnsi="Segoe UI" w:cs="Segoe UI"/>
      <w:sz w:val="18"/>
      <w:szCs w:val="18"/>
    </w:rPr>
  </w:style>
  <w:style w:type="paragraph" w:styleId="ListParagraph">
    <w:name w:val="List Paragraph"/>
    <w:basedOn w:val="Normal"/>
    <w:uiPriority w:val="34"/>
    <w:qFormat/>
    <w:rsid w:val="00BF2E94"/>
    <w:pPr>
      <w:ind w:left="720"/>
      <w:contextualSpacing/>
    </w:pPr>
  </w:style>
  <w:style w:type="character" w:customStyle="1" w:styleId="right">
    <w:name w:val="right"/>
    <w:basedOn w:val="DefaultParagraphFont"/>
    <w:rsid w:val="00D7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6861</Characters>
  <Application>Microsoft Office Word</Application>
  <DocSecurity>0</DocSecurity>
  <Lines>184</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2021-09-30T23:52:00Z</dcterms:created>
  <dcterms:modified xsi:type="dcterms:W3CDTF">2021-09-30T23:52:00Z</dcterms:modified>
  <cp:category/>
</cp:coreProperties>
</file>