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6DAF" w14:textId="4130791E" w:rsidR="00543EE4" w:rsidRPr="00543EE4" w:rsidRDefault="00024CFE" w:rsidP="002125B6">
      <w:pPr>
        <w:spacing w:line="240" w:lineRule="auto"/>
        <w:jc w:val="center"/>
        <w:rPr>
          <w:rFonts w:ascii="Arial" w:hAnsi="Arial" w:cs="Arial"/>
          <w:b/>
          <w:sz w:val="16"/>
          <w:shd w:val="clear" w:color="auto" w:fill="FFFFFF"/>
        </w:rPr>
      </w:pPr>
      <w:bookmarkStart w:id="0" w:name="_Hlk70587016"/>
      <w:r>
        <w:rPr>
          <w:sz w:val="20"/>
          <w:szCs w:val="20"/>
          <w:shd w:val="clear" w:color="auto" w:fill="FFFFFF"/>
        </w:rPr>
        <w:t>Filed 7/1</w:t>
      </w:r>
      <w:r w:rsidR="0063057C">
        <w:rPr>
          <w:sz w:val="20"/>
          <w:szCs w:val="20"/>
          <w:shd w:val="clear" w:color="auto" w:fill="FFFFFF"/>
        </w:rPr>
        <w:t>9</w:t>
      </w:r>
      <w:r>
        <w:rPr>
          <w:sz w:val="20"/>
          <w:szCs w:val="20"/>
          <w:shd w:val="clear" w:color="auto" w:fill="FFFFFF"/>
        </w:rPr>
        <w:t>/21</w:t>
      </w:r>
      <w:bookmarkStart w:id="1" w:name="_Hlk81990535"/>
      <w:r w:rsidR="002125B6" w:rsidRPr="00BC7EA3">
        <w:rPr>
          <w:sz w:val="20"/>
        </w:rPr>
        <w:t>; REVIEW GRANTED.  See Cal. Rules of Court, rules 8.1105 and 8.1115 (and corresponding Comment, par. 2, concerning rule 8.1115(e)(3)).</w:t>
      </w:r>
      <w:bookmarkEnd w:id="1"/>
    </w:p>
    <w:p w14:paraId="12917DAC" w14:textId="77777777" w:rsidR="0063057C" w:rsidRDefault="0063057C" w:rsidP="0063057C">
      <w:pPr>
        <w:spacing w:line="240" w:lineRule="auto"/>
        <w:jc w:val="center"/>
      </w:pPr>
    </w:p>
    <w:p w14:paraId="728EFD08" w14:textId="77777777" w:rsidR="0063057C" w:rsidRPr="00563EB7" w:rsidRDefault="00024CFE" w:rsidP="0063057C">
      <w:pPr>
        <w:spacing w:line="240" w:lineRule="auto"/>
        <w:jc w:val="center"/>
      </w:pPr>
      <w:r w:rsidRPr="00563EB7">
        <w:t>CERTIFIED FOR PUBLICATION</w:t>
      </w:r>
    </w:p>
    <w:p w14:paraId="08CAECBC" w14:textId="6BE89AB9" w:rsidR="00543EE4" w:rsidRDefault="00543EE4" w:rsidP="00543EE4">
      <w:pPr>
        <w:spacing w:line="240" w:lineRule="auto"/>
        <w:rPr>
          <w:shd w:val="clear" w:color="auto" w:fill="FFFFFF"/>
        </w:rPr>
      </w:pPr>
    </w:p>
    <w:p w14:paraId="55848E69" w14:textId="297093A1" w:rsidR="00543EE4" w:rsidRDefault="00024CFE" w:rsidP="00543EE4">
      <w:pPr>
        <w:spacing w:line="240" w:lineRule="auto"/>
        <w:jc w:val="center"/>
        <w:rPr>
          <w:shd w:val="clear" w:color="auto" w:fill="FFFFFF"/>
        </w:rPr>
      </w:pPr>
      <w:r>
        <w:rPr>
          <w:shd w:val="clear" w:color="auto" w:fill="FFFFFF"/>
        </w:rPr>
        <w:t>IN THE COURT OF APPEAL OF THE STATE OF CALIFORNIA</w:t>
      </w:r>
    </w:p>
    <w:p w14:paraId="5EDC5E2E" w14:textId="4715EA9E" w:rsidR="00543EE4" w:rsidRDefault="00543EE4" w:rsidP="00543EE4">
      <w:pPr>
        <w:spacing w:line="240" w:lineRule="auto"/>
        <w:jc w:val="center"/>
        <w:rPr>
          <w:shd w:val="clear" w:color="auto" w:fill="FFFFFF"/>
        </w:rPr>
      </w:pPr>
    </w:p>
    <w:p w14:paraId="2ED69C6C" w14:textId="5B853AC7" w:rsidR="00543EE4" w:rsidRDefault="00024CFE" w:rsidP="00543EE4">
      <w:pPr>
        <w:spacing w:line="240" w:lineRule="auto"/>
        <w:jc w:val="center"/>
        <w:rPr>
          <w:shd w:val="clear" w:color="auto" w:fill="FFFFFF"/>
        </w:rPr>
      </w:pPr>
      <w:r>
        <w:rPr>
          <w:shd w:val="clear" w:color="auto" w:fill="FFFFFF"/>
        </w:rPr>
        <w:t>SIXTH APPELLATE DISTRICT</w:t>
      </w:r>
    </w:p>
    <w:p w14:paraId="212CC5C7" w14:textId="4DAC22D5" w:rsidR="00543EE4" w:rsidRDefault="00543EE4" w:rsidP="00543EE4">
      <w:pPr>
        <w:spacing w:line="240" w:lineRule="auto"/>
        <w:jc w:val="center"/>
        <w:rPr>
          <w:shd w:val="clear" w:color="auto" w:fill="FFFFFF"/>
        </w:rPr>
      </w:pPr>
    </w:p>
    <w:tbl>
      <w:tblPr>
        <w:tblW w:w="0" w:type="auto"/>
        <w:tblLayout w:type="fixed"/>
        <w:tblLook w:val="0000" w:firstRow="0" w:lastRow="0" w:firstColumn="0" w:lastColumn="0" w:noHBand="0" w:noVBand="0"/>
      </w:tblPr>
      <w:tblGrid>
        <w:gridCol w:w="4680"/>
        <w:gridCol w:w="4680"/>
      </w:tblGrid>
      <w:tr w:rsidR="00075B87" w14:paraId="1264D3C6" w14:textId="77777777" w:rsidTr="00543EE4">
        <w:tc>
          <w:tcPr>
            <w:tcW w:w="4680" w:type="dxa"/>
            <w:tcBorders>
              <w:bottom w:val="single" w:sz="4" w:space="0" w:color="auto"/>
              <w:right w:val="single" w:sz="4" w:space="0" w:color="auto"/>
            </w:tcBorders>
            <w:shd w:val="clear" w:color="auto" w:fill="auto"/>
          </w:tcPr>
          <w:p w14:paraId="77F0D0E7" w14:textId="77777777" w:rsidR="00543EE4" w:rsidRDefault="00024CFE" w:rsidP="00543EE4">
            <w:pPr>
              <w:spacing w:line="240" w:lineRule="auto"/>
              <w:rPr>
                <w:shd w:val="clear" w:color="auto" w:fill="FFFFFF"/>
              </w:rPr>
            </w:pPr>
            <w:r>
              <w:rPr>
                <w:shd w:val="clear" w:color="auto" w:fill="FFFFFF"/>
              </w:rPr>
              <w:t>THE PEOPLE,</w:t>
            </w:r>
          </w:p>
          <w:p w14:paraId="2E78BAD8" w14:textId="77777777" w:rsidR="00543EE4" w:rsidRDefault="00543EE4" w:rsidP="00543EE4">
            <w:pPr>
              <w:spacing w:line="240" w:lineRule="auto"/>
              <w:rPr>
                <w:shd w:val="clear" w:color="auto" w:fill="FFFFFF"/>
              </w:rPr>
            </w:pPr>
          </w:p>
          <w:p w14:paraId="361F30E8" w14:textId="77777777" w:rsidR="00543EE4" w:rsidRDefault="00024CFE" w:rsidP="00543EE4">
            <w:pPr>
              <w:spacing w:line="240" w:lineRule="auto"/>
              <w:ind w:left="720"/>
              <w:rPr>
                <w:shd w:val="clear" w:color="auto" w:fill="FFFFFF"/>
              </w:rPr>
            </w:pPr>
            <w:r>
              <w:rPr>
                <w:shd w:val="clear" w:color="auto" w:fill="FFFFFF"/>
              </w:rPr>
              <w:t>Plaintiff and Respondent,</w:t>
            </w:r>
          </w:p>
          <w:p w14:paraId="5DD919CF" w14:textId="77777777" w:rsidR="00543EE4" w:rsidRDefault="00543EE4" w:rsidP="00543EE4">
            <w:pPr>
              <w:spacing w:line="240" w:lineRule="auto"/>
              <w:ind w:left="720"/>
              <w:rPr>
                <w:shd w:val="clear" w:color="auto" w:fill="FFFFFF"/>
              </w:rPr>
            </w:pPr>
          </w:p>
          <w:p w14:paraId="5C4E620A" w14:textId="77777777" w:rsidR="00543EE4" w:rsidRDefault="00024CFE" w:rsidP="00543EE4">
            <w:pPr>
              <w:spacing w:line="240" w:lineRule="auto"/>
              <w:ind w:left="720"/>
              <w:rPr>
                <w:shd w:val="clear" w:color="auto" w:fill="FFFFFF"/>
              </w:rPr>
            </w:pPr>
            <w:r>
              <w:rPr>
                <w:shd w:val="clear" w:color="auto" w:fill="FFFFFF"/>
              </w:rPr>
              <w:t>v.</w:t>
            </w:r>
          </w:p>
          <w:p w14:paraId="07928D92" w14:textId="77777777" w:rsidR="00543EE4" w:rsidRDefault="00543EE4" w:rsidP="00543EE4">
            <w:pPr>
              <w:spacing w:line="240" w:lineRule="auto"/>
              <w:rPr>
                <w:shd w:val="clear" w:color="auto" w:fill="FFFFFF"/>
              </w:rPr>
            </w:pPr>
          </w:p>
          <w:p w14:paraId="7EA8BBBF" w14:textId="77777777" w:rsidR="00543EE4" w:rsidRDefault="00024CFE" w:rsidP="00543EE4">
            <w:pPr>
              <w:spacing w:line="240" w:lineRule="auto"/>
              <w:rPr>
                <w:shd w:val="clear" w:color="auto" w:fill="FFFFFF"/>
              </w:rPr>
            </w:pPr>
            <w:r>
              <w:rPr>
                <w:shd w:val="clear" w:color="auto" w:fill="FFFFFF"/>
              </w:rPr>
              <w:t>SERGIO TIMOTHY PINEDA,</w:t>
            </w:r>
          </w:p>
          <w:p w14:paraId="32A4EEBD" w14:textId="77777777" w:rsidR="00543EE4" w:rsidRDefault="00543EE4" w:rsidP="00543EE4">
            <w:pPr>
              <w:spacing w:line="240" w:lineRule="auto"/>
              <w:rPr>
                <w:shd w:val="clear" w:color="auto" w:fill="FFFFFF"/>
              </w:rPr>
            </w:pPr>
          </w:p>
          <w:p w14:paraId="69630B0D" w14:textId="77777777" w:rsidR="00543EE4" w:rsidRDefault="00024CFE" w:rsidP="00543EE4">
            <w:pPr>
              <w:spacing w:line="240" w:lineRule="auto"/>
              <w:ind w:left="720"/>
              <w:rPr>
                <w:shd w:val="clear" w:color="auto" w:fill="FFFFFF"/>
              </w:rPr>
            </w:pPr>
            <w:r>
              <w:rPr>
                <w:shd w:val="clear" w:color="auto" w:fill="FFFFFF"/>
              </w:rPr>
              <w:t>Defendant and Appellant.</w:t>
            </w:r>
          </w:p>
          <w:p w14:paraId="4C872A5A" w14:textId="2D030EFF" w:rsidR="00543EE4" w:rsidRDefault="00543EE4" w:rsidP="00543EE4">
            <w:pPr>
              <w:spacing w:line="240" w:lineRule="auto"/>
              <w:rPr>
                <w:shd w:val="clear" w:color="auto" w:fill="FFFFFF"/>
              </w:rPr>
            </w:pPr>
          </w:p>
        </w:tc>
        <w:tc>
          <w:tcPr>
            <w:tcW w:w="4680" w:type="dxa"/>
            <w:tcBorders>
              <w:left w:val="single" w:sz="4" w:space="0" w:color="auto"/>
            </w:tcBorders>
            <w:shd w:val="clear" w:color="auto" w:fill="auto"/>
          </w:tcPr>
          <w:p w14:paraId="129FA1C6" w14:textId="77777777" w:rsidR="00543EE4" w:rsidRDefault="00024CFE" w:rsidP="00543EE4">
            <w:pPr>
              <w:spacing w:line="240" w:lineRule="auto"/>
              <w:rPr>
                <w:shd w:val="clear" w:color="auto" w:fill="FFFFFF"/>
              </w:rPr>
            </w:pPr>
            <w:r>
              <w:rPr>
                <w:shd w:val="clear" w:color="auto" w:fill="FFFFFF"/>
              </w:rPr>
              <w:t xml:space="preserve">      H047709</w:t>
            </w:r>
          </w:p>
          <w:p w14:paraId="437C31A1" w14:textId="77777777" w:rsidR="00543EE4" w:rsidRDefault="00024CFE" w:rsidP="00543EE4">
            <w:pPr>
              <w:spacing w:line="240" w:lineRule="auto"/>
              <w:rPr>
                <w:shd w:val="clear" w:color="auto" w:fill="FFFFFF"/>
              </w:rPr>
            </w:pPr>
            <w:r>
              <w:rPr>
                <w:shd w:val="clear" w:color="auto" w:fill="FFFFFF"/>
              </w:rPr>
              <w:t xml:space="preserve">     (Santa Clara County</w:t>
            </w:r>
          </w:p>
          <w:p w14:paraId="7870972F" w14:textId="0E88C190" w:rsidR="00543EE4" w:rsidRDefault="00024CFE" w:rsidP="00543EE4">
            <w:pPr>
              <w:spacing w:line="240" w:lineRule="auto"/>
              <w:rPr>
                <w:shd w:val="clear" w:color="auto" w:fill="FFFFFF"/>
              </w:rPr>
            </w:pPr>
            <w:r>
              <w:rPr>
                <w:shd w:val="clear" w:color="auto" w:fill="FFFFFF"/>
              </w:rPr>
              <w:t xml:space="preserve">      Super. Ct. No. CC319535)</w:t>
            </w:r>
          </w:p>
        </w:tc>
      </w:tr>
    </w:tbl>
    <w:p w14:paraId="0E3452EB" w14:textId="7B52EDBB" w:rsidR="00D202A1" w:rsidRPr="00D202A1" w:rsidRDefault="00024CFE" w:rsidP="004132FE">
      <w:pPr>
        <w:autoSpaceDE w:val="0"/>
        <w:autoSpaceDN w:val="0"/>
        <w:adjustRightInd w:val="0"/>
        <w:rPr>
          <w:rFonts w:asciiTheme="minorHAnsi" w:eastAsia="Times New Roman" w:hAnsiTheme="minorHAnsi" w:cstheme="minorHAnsi"/>
        </w:rPr>
      </w:pPr>
      <w:r w:rsidRPr="00D202A1">
        <w:rPr>
          <w:rFonts w:asciiTheme="minorHAnsi" w:hAnsiTheme="minorHAnsi" w:cstheme="minorHAnsi"/>
          <w:shd w:val="clear" w:color="auto" w:fill="FFFFFF"/>
        </w:rPr>
        <w:tab/>
      </w:r>
      <w:r w:rsidR="005D0C9B">
        <w:rPr>
          <w:rFonts w:asciiTheme="minorHAnsi" w:hAnsiTheme="minorHAnsi" w:cstheme="minorHAnsi"/>
        </w:rPr>
        <w:t>Defendant</w:t>
      </w:r>
      <w:r w:rsidR="005D0C9B" w:rsidRPr="00D202A1">
        <w:rPr>
          <w:rFonts w:asciiTheme="minorHAnsi" w:hAnsiTheme="minorHAnsi" w:cstheme="minorHAnsi"/>
        </w:rPr>
        <w:t xml:space="preserve"> </w:t>
      </w:r>
      <w:r w:rsidRPr="00D202A1">
        <w:rPr>
          <w:rFonts w:asciiTheme="minorHAnsi" w:hAnsiTheme="minorHAnsi" w:cstheme="minorHAnsi"/>
        </w:rPr>
        <w:t>Sergio Timothy Pineda</w:t>
      </w:r>
      <w:r w:rsidRPr="00D202A1">
        <w:rPr>
          <w:rFonts w:asciiTheme="minorHAnsi" w:hAnsiTheme="minorHAnsi" w:cstheme="minorHAnsi"/>
          <w:b/>
          <w:smallCaps/>
          <w:shd w:val="clear" w:color="auto" w:fill="FFFFFF"/>
        </w:rPr>
        <w:t xml:space="preserve"> </w:t>
      </w:r>
      <w:r w:rsidRPr="00D202A1">
        <w:rPr>
          <w:rFonts w:asciiTheme="minorHAnsi" w:hAnsiTheme="minorHAnsi" w:cstheme="minorHAnsi"/>
        </w:rPr>
        <w:t xml:space="preserve">appeals from the denial of his </w:t>
      </w:r>
      <w:bookmarkStart w:id="2" w:name="dabmci_cca23746b0d34bd590b1bead7ae5ffaf"/>
      <w:r w:rsidRPr="00D202A1">
        <w:rPr>
          <w:rFonts w:asciiTheme="minorHAnsi" w:hAnsiTheme="minorHAnsi" w:cstheme="minorHAnsi"/>
        </w:rPr>
        <w:t>Penal Code section 1170.95</w:t>
      </w:r>
      <w:bookmarkEnd w:id="2"/>
      <w:r>
        <w:rPr>
          <w:rStyle w:val="FootnoteReference"/>
          <w:rFonts w:asciiTheme="minorHAnsi" w:hAnsiTheme="minorHAnsi" w:cstheme="minorHAnsi"/>
          <w:b/>
          <w:bCs/>
        </w:rPr>
        <w:footnoteReference w:id="1"/>
      </w:r>
      <w:r w:rsidRPr="00D202A1">
        <w:rPr>
          <w:rFonts w:asciiTheme="minorHAnsi" w:hAnsiTheme="minorHAnsi" w:cstheme="minorHAnsi"/>
        </w:rPr>
        <w:t xml:space="preserve"> petition for failure to make a prima facie showing of entitlement to relief.  </w:t>
      </w:r>
      <w:r w:rsidR="00E600AE" w:rsidRPr="00D202A1">
        <w:rPr>
          <w:rFonts w:asciiTheme="minorHAnsi" w:hAnsiTheme="minorHAnsi" w:cstheme="minorHAnsi"/>
          <w:shd w:val="clear" w:color="auto" w:fill="FFFFFF"/>
        </w:rPr>
        <w:t>His</w:t>
      </w:r>
      <w:r w:rsidRPr="00D202A1">
        <w:rPr>
          <w:rFonts w:asciiTheme="minorHAnsi" w:hAnsiTheme="minorHAnsi" w:cstheme="minorHAnsi"/>
          <w:shd w:val="clear" w:color="auto" w:fill="FFFFFF"/>
        </w:rPr>
        <w:t xml:space="preserve"> appeal presents a question that has divided the courts of appeal and is currently pending before the California Supreme Court:  Does a felony-murder special circumstance fin</w:t>
      </w:r>
      <w:r w:rsidRPr="00D202A1">
        <w:rPr>
          <w:rFonts w:asciiTheme="minorHAnsi" w:hAnsiTheme="minorHAnsi" w:cstheme="minorHAnsi"/>
          <w:shd w:val="clear" w:color="auto" w:fill="FFFFFF"/>
        </w:rPr>
        <w:t xml:space="preserve">ding (§ 190.2, subd. (a)(17)) that was made before </w:t>
      </w:r>
      <w:bookmarkStart w:id="3" w:name="dabmci_d6897eda58d64d7e904842183251835a"/>
      <w:r w:rsidRPr="00D202A1">
        <w:rPr>
          <w:rFonts w:asciiTheme="minorHAnsi" w:hAnsiTheme="minorHAnsi" w:cstheme="minorHAnsi"/>
          <w:i/>
          <w:iCs/>
          <w:shd w:val="clear" w:color="auto" w:fill="FFFFFF"/>
        </w:rPr>
        <w:t>People v. Banks</w:t>
      </w:r>
      <w:r w:rsidRPr="00D202A1">
        <w:rPr>
          <w:rFonts w:asciiTheme="minorHAnsi" w:hAnsiTheme="minorHAnsi" w:cstheme="minorHAnsi"/>
          <w:shd w:val="clear" w:color="auto" w:fill="FFFFFF"/>
        </w:rPr>
        <w:t xml:space="preserve"> (2015) 61 Cal.4th 788 </w:t>
      </w:r>
      <w:r w:rsidR="00DB4480" w:rsidRPr="00D202A1">
        <w:rPr>
          <w:rFonts w:asciiTheme="minorHAnsi" w:hAnsiTheme="minorHAnsi" w:cstheme="minorHAnsi"/>
          <w:shd w:val="clear" w:color="auto" w:fill="FFFFFF"/>
        </w:rPr>
        <w:t>(</w:t>
      </w:r>
      <w:r w:rsidR="00DB4480" w:rsidRPr="00D202A1">
        <w:rPr>
          <w:rFonts w:asciiTheme="minorHAnsi" w:hAnsiTheme="minorHAnsi" w:cstheme="minorHAnsi"/>
          <w:i/>
          <w:iCs/>
          <w:shd w:val="clear" w:color="auto" w:fill="FFFFFF"/>
        </w:rPr>
        <w:t>Banks</w:t>
      </w:r>
      <w:r w:rsidR="00DB4480" w:rsidRPr="00D202A1">
        <w:rPr>
          <w:rFonts w:asciiTheme="minorHAnsi" w:hAnsiTheme="minorHAnsi" w:cstheme="minorHAnsi"/>
          <w:shd w:val="clear" w:color="auto" w:fill="FFFFFF"/>
        </w:rPr>
        <w:t>)</w:t>
      </w:r>
      <w:bookmarkEnd w:id="3"/>
      <w:r w:rsidR="00DB4480" w:rsidRPr="00D202A1">
        <w:rPr>
          <w:rFonts w:asciiTheme="minorHAnsi" w:hAnsiTheme="minorHAnsi" w:cstheme="minorHAnsi"/>
          <w:shd w:val="clear" w:color="auto" w:fill="FFFFFF"/>
        </w:rPr>
        <w:t xml:space="preserve"> </w:t>
      </w:r>
      <w:r w:rsidRPr="00D202A1">
        <w:rPr>
          <w:rFonts w:asciiTheme="minorHAnsi" w:hAnsiTheme="minorHAnsi" w:cstheme="minorHAnsi"/>
          <w:shd w:val="clear" w:color="auto" w:fill="FFFFFF"/>
        </w:rPr>
        <w:t xml:space="preserve">and </w:t>
      </w:r>
      <w:bookmarkStart w:id="4" w:name="dabmci_bcaa142dd379408b9ce7f2b8b6a5741b"/>
      <w:r w:rsidRPr="00D202A1">
        <w:rPr>
          <w:rFonts w:asciiTheme="minorHAnsi" w:hAnsiTheme="minorHAnsi" w:cstheme="minorHAnsi"/>
          <w:i/>
          <w:iCs/>
          <w:shd w:val="clear" w:color="auto" w:fill="FFFFFF"/>
        </w:rPr>
        <w:t>People v. Clark</w:t>
      </w:r>
      <w:r w:rsidRPr="00D202A1">
        <w:rPr>
          <w:rFonts w:asciiTheme="minorHAnsi" w:hAnsiTheme="minorHAnsi" w:cstheme="minorHAnsi"/>
          <w:shd w:val="clear" w:color="auto" w:fill="FFFFFF"/>
        </w:rPr>
        <w:t xml:space="preserve"> (2016) 63 Cal.4th 522</w:t>
      </w:r>
      <w:r w:rsidR="00DB4480" w:rsidRPr="00D202A1">
        <w:rPr>
          <w:rFonts w:asciiTheme="minorHAnsi" w:hAnsiTheme="minorHAnsi" w:cstheme="minorHAnsi"/>
          <w:shd w:val="clear" w:color="auto" w:fill="FFFFFF"/>
        </w:rPr>
        <w:t xml:space="preserve"> (</w:t>
      </w:r>
      <w:r w:rsidR="00DB4480" w:rsidRPr="00D202A1">
        <w:rPr>
          <w:rFonts w:asciiTheme="minorHAnsi" w:hAnsiTheme="minorHAnsi" w:cstheme="minorHAnsi"/>
          <w:i/>
          <w:iCs/>
          <w:shd w:val="clear" w:color="auto" w:fill="FFFFFF"/>
        </w:rPr>
        <w:t>Clark</w:t>
      </w:r>
      <w:r w:rsidR="00DB4480" w:rsidRPr="00D202A1">
        <w:rPr>
          <w:rFonts w:asciiTheme="minorHAnsi" w:hAnsiTheme="minorHAnsi" w:cstheme="minorHAnsi"/>
          <w:shd w:val="clear" w:color="auto" w:fill="FFFFFF"/>
        </w:rPr>
        <w:t>)</w:t>
      </w:r>
      <w:bookmarkEnd w:id="4"/>
      <w:r w:rsidRPr="00D202A1">
        <w:rPr>
          <w:rFonts w:asciiTheme="minorHAnsi" w:hAnsiTheme="minorHAnsi" w:cstheme="minorHAnsi"/>
          <w:shd w:val="clear" w:color="auto" w:fill="FFFFFF"/>
        </w:rPr>
        <w:t xml:space="preserve"> were decided preclude a defendant from making a prima facie showing of eligibility for relief under </w:t>
      </w:r>
      <w:bookmarkStart w:id="5" w:name="dabmci_0a1b6115f6b54b479efc2ecda0ae4594"/>
      <w:r w:rsidRPr="00D202A1">
        <w:rPr>
          <w:rFonts w:asciiTheme="minorHAnsi" w:hAnsiTheme="minorHAnsi" w:cstheme="minorHAnsi"/>
          <w:shd w:val="clear" w:color="auto" w:fill="FFFFFF"/>
        </w:rPr>
        <w:t>section 1</w:t>
      </w:r>
      <w:r w:rsidRPr="00D202A1">
        <w:rPr>
          <w:rFonts w:asciiTheme="minorHAnsi" w:hAnsiTheme="minorHAnsi" w:cstheme="minorHAnsi"/>
          <w:shd w:val="clear" w:color="auto" w:fill="FFFFFF"/>
        </w:rPr>
        <w:t>170.95</w:t>
      </w:r>
      <w:bookmarkEnd w:id="5"/>
      <w:r w:rsidRPr="00D202A1">
        <w:rPr>
          <w:rFonts w:asciiTheme="minorHAnsi" w:hAnsiTheme="minorHAnsi" w:cstheme="minorHAnsi"/>
          <w:shd w:val="clear" w:color="auto" w:fill="FFFFFF"/>
        </w:rPr>
        <w:t>?  (</w:t>
      </w:r>
      <w:r w:rsidRPr="00D202A1">
        <w:rPr>
          <w:rStyle w:val="Emphasis"/>
          <w:rFonts w:asciiTheme="minorHAnsi" w:hAnsiTheme="minorHAnsi" w:cstheme="minorHAnsi"/>
          <w:bdr w:val="none" w:sz="0" w:space="0" w:color="auto" w:frame="1"/>
          <w:shd w:val="clear" w:color="auto" w:fill="FFFFFF"/>
        </w:rPr>
        <w:t>People v. Strong</w:t>
      </w:r>
      <w:r w:rsidRPr="00D202A1">
        <w:rPr>
          <w:rFonts w:asciiTheme="minorHAnsi" w:hAnsiTheme="minorHAnsi" w:cstheme="minorHAnsi"/>
          <w:shd w:val="clear" w:color="auto" w:fill="FFFFFF"/>
        </w:rPr>
        <w:t> (Dec. 18, 2020, C091162) [nonpub. opn.], review granted March 10, 2021, </w:t>
      </w:r>
      <w:r w:rsidRPr="00D202A1">
        <w:rPr>
          <w:rStyle w:val="cosearchterm"/>
          <w:rFonts w:asciiTheme="minorHAnsi" w:hAnsiTheme="minorHAnsi" w:cstheme="minorHAnsi"/>
          <w:bdr w:val="none" w:sz="0" w:space="0" w:color="auto" w:frame="1"/>
        </w:rPr>
        <w:t>S266606</w:t>
      </w:r>
      <w:r w:rsidR="00E446C6">
        <w:rPr>
          <w:rStyle w:val="cosearchterm"/>
          <w:rFonts w:asciiTheme="minorHAnsi" w:hAnsiTheme="minorHAnsi" w:cstheme="minorHAnsi"/>
          <w:bdr w:val="none" w:sz="0" w:space="0" w:color="auto" w:frame="1"/>
        </w:rPr>
        <w:t xml:space="preserve"> (</w:t>
      </w:r>
      <w:r w:rsidR="00E446C6" w:rsidRPr="00D202A1">
        <w:rPr>
          <w:rStyle w:val="Emphasis"/>
          <w:rFonts w:asciiTheme="minorHAnsi" w:hAnsiTheme="minorHAnsi" w:cstheme="minorHAnsi"/>
          <w:bdr w:val="none" w:sz="0" w:space="0" w:color="auto" w:frame="1"/>
          <w:shd w:val="clear" w:color="auto" w:fill="FFFFFF"/>
        </w:rPr>
        <w:t>Strong</w:t>
      </w:r>
      <w:r w:rsidR="00E446C6">
        <w:rPr>
          <w:rStyle w:val="cosearchterm"/>
          <w:rFonts w:asciiTheme="minorHAnsi" w:hAnsiTheme="minorHAnsi" w:cstheme="minorHAnsi"/>
          <w:bdr w:val="none" w:sz="0" w:space="0" w:color="auto" w:frame="1"/>
        </w:rPr>
        <w:t>)</w:t>
      </w:r>
      <w:r w:rsidRPr="00D202A1">
        <w:rPr>
          <w:rFonts w:asciiTheme="minorHAnsi" w:hAnsiTheme="minorHAnsi" w:cstheme="minorHAnsi"/>
          <w:shd w:val="clear" w:color="auto" w:fill="FFFFFF"/>
        </w:rPr>
        <w:t>.)</w:t>
      </w:r>
      <w:r w:rsidR="007623BF" w:rsidRPr="00D202A1">
        <w:rPr>
          <w:rFonts w:asciiTheme="minorHAnsi" w:hAnsiTheme="minorHAnsi" w:cstheme="minorHAnsi"/>
          <w:shd w:val="clear" w:color="auto" w:fill="FFFFFF"/>
        </w:rPr>
        <w:t xml:space="preserve">  </w:t>
      </w:r>
      <w:bookmarkEnd w:id="0"/>
      <w:r w:rsidRPr="00D202A1">
        <w:rPr>
          <w:rFonts w:asciiTheme="minorHAnsi" w:eastAsia="Times New Roman" w:hAnsiTheme="minorHAnsi" w:cstheme="minorHAnsi"/>
          <w:shd w:val="clear" w:color="auto" w:fill="FFFFFF"/>
        </w:rPr>
        <w:t xml:space="preserve">We hold that Pineda is entitled to a judicial determination as to whether his </w:t>
      </w:r>
      <w:r w:rsidRPr="00850160">
        <w:rPr>
          <w:rFonts w:asciiTheme="minorHAnsi" w:eastAsia="Times New Roman" w:hAnsiTheme="minorHAnsi" w:cstheme="minorHAnsi"/>
          <w:bdr w:val="none" w:sz="0" w:space="0" w:color="auto" w:frame="1"/>
          <w:shd w:val="clear" w:color="auto" w:fill="FFFFFF"/>
        </w:rPr>
        <w:t>conduct is proscribed by the special circumstances statute, as construed in</w:t>
      </w:r>
      <w:r w:rsidR="005159F9">
        <w:rPr>
          <w:rFonts w:asciiTheme="minorHAnsi" w:eastAsia="Times New Roman" w:hAnsiTheme="minorHAnsi" w:cstheme="minorHAnsi"/>
          <w:bdr w:val="none" w:sz="0" w:space="0" w:color="auto" w:frame="1"/>
          <w:shd w:val="clear" w:color="auto" w:fill="FFFFFF"/>
        </w:rPr>
        <w:t xml:space="preserve"> </w:t>
      </w:r>
      <w:bookmarkStart w:id="6" w:name="dabmci_dabc62e34f6c4ce7bb5a885eaabb14e8"/>
      <w:r w:rsidRPr="00850160">
        <w:rPr>
          <w:rFonts w:asciiTheme="minorHAnsi" w:eastAsia="Times New Roman" w:hAnsiTheme="minorHAnsi" w:cstheme="minorHAnsi"/>
          <w:i/>
          <w:iCs/>
          <w:bdr w:val="none" w:sz="0" w:space="0" w:color="auto" w:frame="1"/>
          <w:shd w:val="clear" w:color="auto" w:fill="FFFFFF"/>
        </w:rPr>
        <w:t>Banks</w:t>
      </w:r>
      <w:bookmarkEnd w:id="6"/>
      <w:r w:rsidR="005159F9">
        <w:rPr>
          <w:rFonts w:asciiTheme="minorHAnsi" w:eastAsia="Times New Roman" w:hAnsiTheme="minorHAnsi" w:cstheme="minorHAnsi"/>
          <w:bdr w:val="none" w:sz="0" w:space="0" w:color="auto" w:frame="1"/>
          <w:shd w:val="clear" w:color="auto" w:fill="FFFFFF"/>
        </w:rPr>
        <w:t xml:space="preserve"> </w:t>
      </w:r>
      <w:r w:rsidRPr="00850160">
        <w:rPr>
          <w:rFonts w:asciiTheme="minorHAnsi" w:eastAsia="Times New Roman" w:hAnsiTheme="minorHAnsi" w:cstheme="minorHAnsi"/>
          <w:bdr w:val="none" w:sz="0" w:space="0" w:color="auto" w:frame="1"/>
          <w:shd w:val="clear" w:color="auto" w:fill="FFFFFF"/>
        </w:rPr>
        <w:t>and</w:t>
      </w:r>
      <w:r w:rsidR="005159F9">
        <w:rPr>
          <w:rFonts w:asciiTheme="minorHAnsi" w:eastAsia="Times New Roman" w:hAnsiTheme="minorHAnsi" w:cstheme="minorHAnsi"/>
          <w:bdr w:val="none" w:sz="0" w:space="0" w:color="auto" w:frame="1"/>
          <w:shd w:val="clear" w:color="auto" w:fill="FFFFFF"/>
        </w:rPr>
        <w:t xml:space="preserve"> </w:t>
      </w:r>
      <w:r w:rsidRPr="00850160">
        <w:rPr>
          <w:rFonts w:asciiTheme="minorHAnsi" w:eastAsia="Times New Roman" w:hAnsiTheme="minorHAnsi" w:cstheme="minorHAnsi"/>
          <w:i/>
          <w:iCs/>
          <w:bdr w:val="none" w:sz="0" w:space="0" w:color="auto" w:frame="1"/>
          <w:shd w:val="clear" w:color="auto" w:fill="FFFFFF"/>
        </w:rPr>
        <w:t>Clark</w:t>
      </w:r>
      <w:r w:rsidRPr="00D202A1">
        <w:rPr>
          <w:rFonts w:asciiTheme="minorHAnsi" w:eastAsia="Times New Roman" w:hAnsiTheme="minorHAnsi" w:cstheme="minorHAnsi"/>
          <w:bdr w:val="none" w:sz="0" w:space="0" w:color="auto" w:frame="1"/>
          <w:shd w:val="clear" w:color="auto" w:fill="FFFFFF"/>
        </w:rPr>
        <w:t xml:space="preserve">, </w:t>
      </w:r>
      <w:r w:rsidRPr="00D202A1">
        <w:rPr>
          <w:rFonts w:asciiTheme="minorHAnsi" w:eastAsia="Times New Roman" w:hAnsiTheme="minorHAnsi" w:cstheme="minorHAnsi"/>
          <w:shd w:val="clear" w:color="auto" w:fill="FFFFFF"/>
        </w:rPr>
        <w:t>before his </w:t>
      </w:r>
      <w:bookmarkStart w:id="7" w:name="dabmci_81f884f0f83f41c3ae576d28d0b63433"/>
      <w:r w:rsidRPr="00D202A1">
        <w:rPr>
          <w:rFonts w:asciiTheme="minorHAnsi" w:eastAsia="Times New Roman" w:hAnsiTheme="minorHAnsi" w:cstheme="minorHAnsi"/>
          <w:shd w:val="clear" w:color="auto" w:fill="FFFFFF"/>
        </w:rPr>
        <w:t>section 1170.95</w:t>
      </w:r>
      <w:bookmarkEnd w:id="7"/>
      <w:r w:rsidRPr="00D202A1">
        <w:rPr>
          <w:rFonts w:asciiTheme="minorHAnsi" w:eastAsia="Times New Roman" w:hAnsiTheme="minorHAnsi" w:cstheme="minorHAnsi"/>
          <w:shd w:val="clear" w:color="auto" w:fill="FFFFFF"/>
        </w:rPr>
        <w:t xml:space="preserve"> petition may be summarily</w:t>
      </w:r>
      <w:r w:rsidR="003B4ADF" w:rsidRPr="003B4ADF">
        <w:rPr>
          <w:rFonts w:asciiTheme="minorHAnsi" w:eastAsia="Times New Roman" w:hAnsiTheme="minorHAnsi" w:cstheme="minorHAnsi"/>
          <w:shd w:val="clear" w:color="auto" w:fill="FFFFFF"/>
        </w:rPr>
        <w:t xml:space="preserve"> </w:t>
      </w:r>
      <w:r w:rsidR="003B4ADF" w:rsidRPr="00D202A1">
        <w:rPr>
          <w:rFonts w:asciiTheme="minorHAnsi" w:eastAsia="Times New Roman" w:hAnsiTheme="minorHAnsi" w:cstheme="minorHAnsi"/>
          <w:shd w:val="clear" w:color="auto" w:fill="FFFFFF"/>
        </w:rPr>
        <w:t>denied</w:t>
      </w:r>
      <w:r w:rsidRPr="00D202A1">
        <w:rPr>
          <w:rFonts w:asciiTheme="minorHAnsi" w:eastAsia="Times New Roman" w:hAnsiTheme="minorHAnsi" w:cstheme="minorHAnsi"/>
          <w:shd w:val="clear" w:color="auto" w:fill="FFFFFF"/>
        </w:rPr>
        <w:t xml:space="preserve">.  </w:t>
      </w:r>
      <w:r w:rsidR="003B4ADF">
        <w:rPr>
          <w:rFonts w:asciiTheme="minorHAnsi" w:eastAsia="Times New Roman" w:hAnsiTheme="minorHAnsi" w:cstheme="minorHAnsi"/>
          <w:shd w:val="clear" w:color="auto" w:fill="FFFFFF"/>
        </w:rPr>
        <w:t>Accordingly, w</w:t>
      </w:r>
      <w:r w:rsidRPr="00D202A1">
        <w:rPr>
          <w:rFonts w:asciiTheme="minorHAnsi" w:eastAsia="Times New Roman" w:hAnsiTheme="minorHAnsi" w:cstheme="minorHAnsi"/>
          <w:shd w:val="clear" w:color="auto" w:fill="FFFFFF"/>
        </w:rPr>
        <w:t>e reverse and remand the matter to the trial court to make that determination in the first instance.</w:t>
      </w:r>
    </w:p>
    <w:p w14:paraId="02D20E89" w14:textId="005BB864" w:rsidR="004132FE" w:rsidRPr="00A13B89" w:rsidRDefault="00024CFE" w:rsidP="005159F9">
      <w:pPr>
        <w:keepNext/>
        <w:autoSpaceDE w:val="0"/>
        <w:autoSpaceDN w:val="0"/>
        <w:adjustRightInd w:val="0"/>
        <w:rPr>
          <w:b/>
          <w:smallCaps/>
          <w:shd w:val="clear" w:color="auto" w:fill="FFFFFF"/>
        </w:rPr>
      </w:pPr>
      <w:r w:rsidRPr="00A13B89">
        <w:rPr>
          <w:b/>
          <w:smallCaps/>
          <w:shd w:val="clear" w:color="auto" w:fill="FFFFFF"/>
        </w:rPr>
        <w:lastRenderedPageBreak/>
        <w:t>I.</w:t>
      </w:r>
      <w:r w:rsidRPr="00A13B89">
        <w:rPr>
          <w:b/>
          <w:smallCaps/>
          <w:shd w:val="clear" w:color="auto" w:fill="FFFFFF"/>
        </w:rPr>
        <w:tab/>
      </w:r>
      <w:r>
        <w:rPr>
          <w:b/>
          <w:smallCaps/>
          <w:shd w:val="clear" w:color="auto" w:fill="FFFFFF"/>
        </w:rPr>
        <w:t>Background</w:t>
      </w:r>
    </w:p>
    <w:p w14:paraId="4F846241" w14:textId="764E6A61" w:rsidR="004132FE" w:rsidRDefault="00024CFE" w:rsidP="005159F9">
      <w:pPr>
        <w:keepNext/>
        <w:autoSpaceDE w:val="0"/>
        <w:autoSpaceDN w:val="0"/>
        <w:adjustRightInd w:val="0"/>
        <w:rPr>
          <w:b/>
          <w:bCs/>
          <w:i/>
          <w:iCs/>
          <w:shd w:val="clear" w:color="auto" w:fill="FFFFFF"/>
        </w:rPr>
      </w:pPr>
      <w:r>
        <w:rPr>
          <w:b/>
          <w:bCs/>
          <w:i/>
          <w:iCs/>
          <w:shd w:val="clear" w:color="auto" w:fill="FFFFFF"/>
        </w:rPr>
        <w:tab/>
      </w:r>
      <w:r w:rsidRPr="006F4F91">
        <w:rPr>
          <w:b/>
          <w:bCs/>
          <w:i/>
          <w:iCs/>
          <w:shd w:val="clear" w:color="auto" w:fill="FFFFFF"/>
        </w:rPr>
        <w:t>A.</w:t>
      </w:r>
      <w:r w:rsidRPr="006F4F91">
        <w:rPr>
          <w:b/>
          <w:bCs/>
          <w:i/>
          <w:iCs/>
          <w:shd w:val="clear" w:color="auto" w:fill="FFFFFF"/>
        </w:rPr>
        <w:tab/>
      </w:r>
      <w:r>
        <w:rPr>
          <w:b/>
          <w:bCs/>
          <w:i/>
          <w:iCs/>
          <w:shd w:val="clear" w:color="auto" w:fill="FFFFFF"/>
        </w:rPr>
        <w:t xml:space="preserve">Factual </w:t>
      </w:r>
      <w:r w:rsidRPr="00E46E44">
        <w:rPr>
          <w:b/>
          <w:bCs/>
          <w:i/>
          <w:iCs/>
          <w:shd w:val="clear" w:color="auto" w:fill="FFFFFF"/>
        </w:rPr>
        <w:t>Summary</w:t>
      </w:r>
      <w:r>
        <w:rPr>
          <w:rStyle w:val="FootnoteReference"/>
          <w:b/>
          <w:bCs/>
        </w:rPr>
        <w:footnoteReference w:id="2"/>
      </w:r>
    </w:p>
    <w:p w14:paraId="54A03200" w14:textId="769BA4F2" w:rsidR="00076FD7" w:rsidRDefault="00024CFE" w:rsidP="00671A3E">
      <w:pPr>
        <w:autoSpaceDE w:val="0"/>
        <w:autoSpaceDN w:val="0"/>
        <w:adjustRightInd w:val="0"/>
      </w:pPr>
      <w:r>
        <w:rPr>
          <w:b/>
          <w:bCs/>
          <w:i/>
          <w:iCs/>
          <w:shd w:val="clear" w:color="auto" w:fill="FFFFFF"/>
        </w:rPr>
        <w:tab/>
      </w:r>
      <w:r>
        <w:rPr>
          <w:shd w:val="clear" w:color="auto" w:fill="FFFFFF"/>
        </w:rPr>
        <w:t>On</w:t>
      </w:r>
      <w:r w:rsidR="005E7080">
        <w:rPr>
          <w:shd w:val="clear" w:color="auto" w:fill="FFFFFF"/>
        </w:rPr>
        <w:t xml:space="preserve"> the evening of</w:t>
      </w:r>
      <w:r>
        <w:rPr>
          <w:shd w:val="clear" w:color="auto" w:fill="FFFFFF"/>
        </w:rPr>
        <w:t xml:space="preserve"> </w:t>
      </w:r>
      <w:r>
        <w:t xml:space="preserve">July 9, 2003, </w:t>
      </w:r>
      <w:r w:rsidR="007623BF">
        <w:rPr>
          <w:shd w:val="clear" w:color="auto" w:fill="FFFFFF"/>
        </w:rPr>
        <w:t xml:space="preserve">Pineda and his close friend Alex Rosales </w:t>
      </w:r>
      <w:r>
        <w:t>went out</w:t>
      </w:r>
      <w:r w:rsidR="00620994">
        <w:t xml:space="preserve"> to </w:t>
      </w:r>
      <w:r>
        <w:t>several bars</w:t>
      </w:r>
      <w:r w:rsidR="005E7080" w:rsidRPr="005E7080">
        <w:t xml:space="preserve"> </w:t>
      </w:r>
      <w:r w:rsidR="005E7080">
        <w:t>in San Jose</w:t>
      </w:r>
      <w:r>
        <w:t xml:space="preserve">.  </w:t>
      </w:r>
      <w:r w:rsidR="007623BF">
        <w:t>Sometime after midnight</w:t>
      </w:r>
      <w:r w:rsidR="00620994">
        <w:t xml:space="preserve">, </w:t>
      </w:r>
      <w:r w:rsidR="007623BF">
        <w:t xml:space="preserve">they drove in </w:t>
      </w:r>
      <w:r w:rsidR="0067566C">
        <w:t>Pineda’s silver Mazda</w:t>
      </w:r>
      <w:r w:rsidR="007623BF">
        <w:t xml:space="preserve"> to get some food.  On the way, </w:t>
      </w:r>
      <w:r>
        <w:t xml:space="preserve">they encountered </w:t>
      </w:r>
      <w:r w:rsidR="00620994">
        <w:t xml:space="preserve">Jose Luis </w:t>
      </w:r>
      <w:bookmarkStart w:id="9" w:name="_Hlk71792603"/>
      <w:r w:rsidR="00620994">
        <w:t>Ramirez</w:t>
      </w:r>
      <w:bookmarkEnd w:id="9"/>
      <w:r>
        <w:t xml:space="preserve">.  </w:t>
      </w:r>
      <w:r w:rsidR="00620994">
        <w:t xml:space="preserve">Rosales testified that Pineda said of Ramirez, “This guy is really drunk, I’m going to rob him.” </w:t>
      </w:r>
      <w:r w:rsidR="0067566C">
        <w:t xml:space="preserve"> </w:t>
      </w:r>
      <w:r>
        <w:t xml:space="preserve">Pineda </w:t>
      </w:r>
      <w:r w:rsidR="0067566C">
        <w:t xml:space="preserve">invited Ramirez to come to a party.  Ramirez agreed and </w:t>
      </w:r>
      <w:r>
        <w:t xml:space="preserve">followed the Mazda in his truck.  A couple </w:t>
      </w:r>
      <w:r w:rsidR="003F6505">
        <w:t xml:space="preserve">of </w:t>
      </w:r>
      <w:r>
        <w:t>streets away, the vehicles stopped.  Pineda directed Ramirez to park in an alley.</w:t>
      </w:r>
    </w:p>
    <w:p w14:paraId="38A300EE" w14:textId="4C13BDE4" w:rsidR="00AC3338" w:rsidRDefault="00024CFE" w:rsidP="005159F9">
      <w:r>
        <w:tab/>
      </w:r>
      <w:r w:rsidR="00076FD7">
        <w:t xml:space="preserve">Pineda then beat Ramirez with a baseball bat, hitting him between eight and 10 times in the head and the body. </w:t>
      </w:r>
      <w:r w:rsidR="0061086F">
        <w:t xml:space="preserve"> A man riding his bicycle </w:t>
      </w:r>
      <w:r w:rsidR="00431D72">
        <w:t>nearby saw</w:t>
      </w:r>
      <w:r w:rsidR="0061086F">
        <w:t xml:space="preserve"> the beating and reported it to police.  After Ramirez fell to the ground, Pineda went through his pockets.  </w:t>
      </w:r>
      <w:r w:rsidR="007623BF">
        <w:t>Pineda</w:t>
      </w:r>
      <w:r w:rsidR="0061086F">
        <w:t xml:space="preserve"> then returned to the Mazda and drove a short distance away, leaving Ramirez lying in the street.  Pineda looked at the items he had stolen.  According to Rosales, when Pineda realized he ha</w:t>
      </w:r>
      <w:r w:rsidR="005E7080">
        <w:t>d not</w:t>
      </w:r>
      <w:r w:rsidR="0061086F">
        <w:t xml:space="preserve"> gotten any money from Ramirez, Pineda turned the car around and drove back in the direction of Ramirez.  Pineda got out of the car and got into Ramirez’s truck.  Rosales moved to the driver seat of the Mazda, stepped on the gas, hit Ramirez and dragged him down the street, reversed the vehicle to get off Ramirez’s body, and then drove away</w:t>
      </w:r>
      <w:r>
        <w:t xml:space="preserve"> because he saw the flashing lights of police cars approaching</w:t>
      </w:r>
      <w:r w:rsidR="0061086F">
        <w:t xml:space="preserve">.  Rosales testified that he hit Ramirez accidentally, having lost track of where </w:t>
      </w:r>
      <w:r w:rsidR="00431D72">
        <w:t>Ramirez</w:t>
      </w:r>
      <w:r w:rsidR="0061086F">
        <w:t xml:space="preserve"> was in relation to the car.  </w:t>
      </w:r>
      <w:r>
        <w:t>Pineda drove away in Ramirez’s truck, following Rosales i</w:t>
      </w:r>
      <w:r>
        <w:t>n the Mazda.</w:t>
      </w:r>
    </w:p>
    <w:p w14:paraId="32342DE9" w14:textId="1DF79620" w:rsidR="00AC3338" w:rsidRDefault="00024CFE" w:rsidP="005159F9">
      <w:r>
        <w:lastRenderedPageBreak/>
        <w:tab/>
        <w:t xml:space="preserve">After a </w:t>
      </w:r>
      <w:r w:rsidR="00431D72">
        <w:t>long</w:t>
      </w:r>
      <w:r>
        <w:t xml:space="preserve"> car chase, during which Rosales evaded being stopped, officers pulled over Pineda in the truck.  Pineda had blood on his shirt, pants, arms, hands, and head.  One of the officers asked him if he knew who was driving the Mazda.  P</w:t>
      </w:r>
      <w:r>
        <w:t>ineda responded, “He didn’t have anything to do with this.  I did what I did for my own reason.  I was the only one involved.  And I know my rights and that</w:t>
      </w:r>
      <w:r w:rsidR="002B3A10">
        <w:t>’</w:t>
      </w:r>
      <w:r>
        <w:t>s all I</w:t>
      </w:r>
      <w:r w:rsidR="002B3A10">
        <w:t>’</w:t>
      </w:r>
      <w:r>
        <w:t xml:space="preserve">m going to say to you.”  </w:t>
      </w:r>
      <w:r w:rsidR="005B3B3E">
        <w:t>Officer</w:t>
      </w:r>
      <w:r w:rsidR="007623BF">
        <w:t>s</w:t>
      </w:r>
      <w:r w:rsidR="005B3B3E">
        <w:t xml:space="preserve"> found a baseball bat in the truck.</w:t>
      </w:r>
    </w:p>
    <w:p w14:paraId="12792136" w14:textId="24CD334B" w:rsidR="005159F9" w:rsidRDefault="00024CFE" w:rsidP="005159F9">
      <w:r>
        <w:tab/>
      </w:r>
      <w:r w:rsidR="002B3A10">
        <w:t>Rosales and the Mazda were located the following day.  Ramirez’s blood was found on the fenders, wheel wells, splashguards, and undercarriage of the Mazda as well as inside the vehicle.  Ramirez’s watch and credit card were inside the Mazda.</w:t>
      </w:r>
    </w:p>
    <w:p w14:paraId="44C0B57E" w14:textId="0DB21FCC" w:rsidR="005B3B3E" w:rsidRDefault="00024CFE" w:rsidP="005159F9">
      <w:r>
        <w:tab/>
        <w:t>Officers found Ramirez face down i</w:t>
      </w:r>
      <w:r>
        <w:t>n the street, bleeding.  He died from his wounds.</w:t>
      </w:r>
      <w:r w:rsidR="007623BF">
        <w:t xml:space="preserve">  </w:t>
      </w:r>
      <w:r>
        <w:t xml:space="preserve">An autopsy showed that Ramirez died as a result of multiple blunt force crush injuries to </w:t>
      </w:r>
      <w:r w:rsidR="00272039">
        <w:t>his</w:t>
      </w:r>
      <w:r>
        <w:t xml:space="preserve"> chest that were consistent with him having been run over by a car.  He also had sustained injuries consistent w</w:t>
      </w:r>
      <w:r>
        <w:t>ith having been dragged along the pavement or a road surface</w:t>
      </w:r>
      <w:r w:rsidR="00D51081">
        <w:t xml:space="preserve"> and burns </w:t>
      </w:r>
      <w:r>
        <w:t xml:space="preserve">consistent with </w:t>
      </w:r>
      <w:r w:rsidR="00D51081">
        <w:t>having been e</w:t>
      </w:r>
      <w:r>
        <w:t xml:space="preserve">xposed to the hot undercarriage of a car.  </w:t>
      </w:r>
      <w:r w:rsidR="00D51081">
        <w:t xml:space="preserve">Finally, he </w:t>
      </w:r>
      <w:r>
        <w:t xml:space="preserve">had abraded lacerations of the head consistent with </w:t>
      </w:r>
      <w:r w:rsidR="00D51081">
        <w:t>having been</w:t>
      </w:r>
      <w:r>
        <w:t xml:space="preserve"> hit about 10</w:t>
      </w:r>
      <w:r w:rsidR="00541918">
        <w:t> </w:t>
      </w:r>
      <w:r>
        <w:t xml:space="preserve">times with an </w:t>
      </w:r>
      <w:r>
        <w:t>elongated object like a baseball bat</w:t>
      </w:r>
      <w:r w:rsidR="00D51081">
        <w:t xml:space="preserve">; those </w:t>
      </w:r>
      <w:r>
        <w:t>injuries</w:t>
      </w:r>
      <w:r w:rsidR="00D51081">
        <w:t xml:space="preserve"> </w:t>
      </w:r>
      <w:r>
        <w:t>were not lethal or potentially lethal.</w:t>
      </w:r>
    </w:p>
    <w:p w14:paraId="3282F05D" w14:textId="77721BD9" w:rsidR="006B37CB" w:rsidRDefault="00024CFE" w:rsidP="0046760F">
      <w:pPr>
        <w:keepNext/>
        <w:autoSpaceDE w:val="0"/>
        <w:autoSpaceDN w:val="0"/>
        <w:adjustRightInd w:val="0"/>
        <w:rPr>
          <w:b/>
          <w:bCs/>
          <w:i/>
          <w:iCs/>
          <w:shd w:val="clear" w:color="auto" w:fill="FFFFFF"/>
        </w:rPr>
      </w:pPr>
      <w:r>
        <w:rPr>
          <w:b/>
          <w:bCs/>
          <w:i/>
          <w:iCs/>
          <w:shd w:val="clear" w:color="auto" w:fill="FFFFFF"/>
        </w:rPr>
        <w:tab/>
        <w:t>B</w:t>
      </w:r>
      <w:r w:rsidRPr="005E52A5">
        <w:rPr>
          <w:b/>
          <w:bCs/>
          <w:i/>
          <w:iCs/>
          <w:shd w:val="clear" w:color="auto" w:fill="FFFFFF"/>
        </w:rPr>
        <w:t>.</w:t>
      </w:r>
      <w:r w:rsidRPr="005E52A5">
        <w:rPr>
          <w:b/>
          <w:bCs/>
          <w:i/>
          <w:iCs/>
          <w:shd w:val="clear" w:color="auto" w:fill="FFFFFF"/>
        </w:rPr>
        <w:tab/>
        <w:t>Procedural History</w:t>
      </w:r>
    </w:p>
    <w:p w14:paraId="5413051B" w14:textId="239C4397" w:rsidR="006B37CB" w:rsidRDefault="00024CFE" w:rsidP="005159F9">
      <w:r>
        <w:tab/>
      </w:r>
      <w:r w:rsidR="005E7080">
        <w:t>T</w:t>
      </w:r>
      <w:r>
        <w:t xml:space="preserve">he Santa Clara County District Attorney charged Pineda and Rosales with </w:t>
      </w:r>
      <w:r w:rsidR="005E7080">
        <w:t xml:space="preserve">first degree </w:t>
      </w:r>
      <w:r>
        <w:t xml:space="preserve">murder (§ 187, count </w:t>
      </w:r>
      <w:r w:rsidR="00331280">
        <w:t>1</w:t>
      </w:r>
      <w:r>
        <w:t>)</w:t>
      </w:r>
      <w:r w:rsidR="00331280">
        <w:t>, second degree robbery (§§ 211</w:t>
      </w:r>
      <w:r w:rsidR="00CA2C54">
        <w:t xml:space="preserve">, </w:t>
      </w:r>
      <w:r w:rsidR="00331280">
        <w:t>212.5, subd. (c), count</w:t>
      </w:r>
      <w:r w:rsidR="00541918">
        <w:t> </w:t>
      </w:r>
      <w:r w:rsidR="00331280">
        <w:t xml:space="preserve">2), and carjacking (§ 215, count 3).  </w:t>
      </w:r>
      <w:r w:rsidR="00BA2E3B">
        <w:t>As to each defendant, t</w:t>
      </w:r>
      <w:r>
        <w:t xml:space="preserve">he information </w:t>
      </w:r>
      <w:r w:rsidR="00BA2E3B">
        <w:t>included a felony</w:t>
      </w:r>
      <w:r w:rsidR="006A0646">
        <w:t>-</w:t>
      </w:r>
      <w:r w:rsidR="00BA2E3B">
        <w:t>murder special circumstance allegation</w:t>
      </w:r>
      <w:r>
        <w:t>.  (§§</w:t>
      </w:r>
      <w:r w:rsidR="00E600AE">
        <w:t> </w:t>
      </w:r>
      <w:r w:rsidRPr="006A0646">
        <w:t>211, 212.5,</w:t>
      </w:r>
      <w:r>
        <w:t xml:space="preserve"> 19</w:t>
      </w:r>
      <w:r w:rsidR="00971974">
        <w:t>0.</w:t>
      </w:r>
      <w:r>
        <w:t>2, subd.</w:t>
      </w:r>
      <w:r w:rsidR="00541918">
        <w:t> </w:t>
      </w:r>
      <w:r>
        <w:t>(a)(17)(A).)</w:t>
      </w:r>
    </w:p>
    <w:p w14:paraId="7894EE5D" w14:textId="12610D51" w:rsidR="006B37CB" w:rsidRDefault="00024CFE" w:rsidP="005159F9">
      <w:r>
        <w:tab/>
      </w:r>
      <w:r w:rsidR="00331280">
        <w:t>In 2005, following a joint trial,</w:t>
      </w:r>
      <w:r>
        <w:t xml:space="preserve"> the jury returned verdicts of guilty as to all counts and found the special circumstance allegations to be true. </w:t>
      </w:r>
      <w:r w:rsidR="00331280">
        <w:t xml:space="preserve"> The trial court</w:t>
      </w:r>
      <w:r>
        <w:t xml:space="preserve"> sentenced </w:t>
      </w:r>
      <w:r w:rsidR="00331280">
        <w:t>Pineda</w:t>
      </w:r>
      <w:r>
        <w:t xml:space="preserve"> </w:t>
      </w:r>
      <w:r w:rsidR="00331280">
        <w:t xml:space="preserve">to </w:t>
      </w:r>
      <w:r>
        <w:t>life without the possibility of parole</w:t>
      </w:r>
      <w:r w:rsidR="00331280">
        <w:t xml:space="preserve"> on the murder count and</w:t>
      </w:r>
      <w:r>
        <w:t xml:space="preserve"> stayed the </w:t>
      </w:r>
      <w:r>
        <w:lastRenderedPageBreak/>
        <w:t xml:space="preserve">sentence on counts </w:t>
      </w:r>
      <w:r w:rsidR="005E7080">
        <w:t>2</w:t>
      </w:r>
      <w:r>
        <w:t xml:space="preserve"> and </w:t>
      </w:r>
      <w:r w:rsidR="005E7080">
        <w:t>3</w:t>
      </w:r>
      <w:r>
        <w:t xml:space="preserve"> purs</w:t>
      </w:r>
      <w:r>
        <w:t xml:space="preserve">uant to section 654. </w:t>
      </w:r>
      <w:r w:rsidR="00331280">
        <w:t xml:space="preserve"> </w:t>
      </w:r>
      <w:r w:rsidR="00331280" w:rsidRPr="005E52A5">
        <w:t xml:space="preserve">This court affirmed </w:t>
      </w:r>
      <w:r w:rsidR="00331280">
        <w:t>Pineda and Rosales</w:t>
      </w:r>
      <w:r w:rsidR="00331280" w:rsidRPr="005E52A5">
        <w:t xml:space="preserve">’s convictions in an opinion issued on </w:t>
      </w:r>
      <w:r w:rsidR="00331280">
        <w:t>May 4, 2006.</w:t>
      </w:r>
    </w:p>
    <w:p w14:paraId="27ED7638" w14:textId="612630AD" w:rsidR="005159F9" w:rsidRDefault="00024CFE" w:rsidP="005159F9">
      <w:pPr>
        <w:rPr>
          <w:rFonts w:asciiTheme="minorHAnsi" w:hAnsiTheme="minorHAnsi" w:cstheme="minorHAnsi"/>
        </w:rPr>
      </w:pPr>
      <w:r w:rsidRPr="005B597C">
        <w:rPr>
          <w:rFonts w:asciiTheme="minorHAnsi" w:hAnsiTheme="minorHAnsi" w:cstheme="minorHAnsi"/>
        </w:rPr>
        <w:tab/>
        <w:t xml:space="preserve">In January 2019, Pineda filed a </w:t>
      </w:r>
      <w:bookmarkStart w:id="10" w:name="dabmci_09412628dabb4cfe90f74165b490446d"/>
      <w:r w:rsidRPr="005B597C">
        <w:rPr>
          <w:rFonts w:asciiTheme="minorHAnsi" w:hAnsiTheme="minorHAnsi" w:cstheme="minorHAnsi"/>
        </w:rPr>
        <w:t>section 1170.95</w:t>
      </w:r>
      <w:bookmarkEnd w:id="10"/>
      <w:r w:rsidRPr="005B597C">
        <w:rPr>
          <w:rFonts w:asciiTheme="minorHAnsi" w:hAnsiTheme="minorHAnsi" w:cstheme="minorHAnsi"/>
        </w:rPr>
        <w:t xml:space="preserve"> petition on his own behalf.  The</w:t>
      </w:r>
      <w:r w:rsidR="00541918">
        <w:rPr>
          <w:rFonts w:asciiTheme="minorHAnsi" w:hAnsiTheme="minorHAnsi" w:cstheme="minorHAnsi"/>
        </w:rPr>
        <w:t> </w:t>
      </w:r>
      <w:r w:rsidRPr="005B597C">
        <w:rPr>
          <w:rFonts w:asciiTheme="minorHAnsi" w:hAnsiTheme="minorHAnsi" w:cstheme="minorHAnsi"/>
        </w:rPr>
        <w:t xml:space="preserve">petition alleged that an information was filed against </w:t>
      </w:r>
      <w:r w:rsidRPr="005B597C">
        <w:rPr>
          <w:rFonts w:asciiTheme="minorHAnsi" w:hAnsiTheme="minorHAnsi" w:cstheme="minorHAnsi"/>
        </w:rPr>
        <w:t>Pineda that allowed the prosecution to proceed under a theory of felony murder or murder under the natural and probable consequences doctrine, that Pineda was convicted of first or second degree murder pursuant to the felony</w:t>
      </w:r>
      <w:r w:rsidR="00CA2C54">
        <w:rPr>
          <w:rFonts w:asciiTheme="minorHAnsi" w:hAnsiTheme="minorHAnsi" w:cstheme="minorHAnsi"/>
        </w:rPr>
        <w:t>-</w:t>
      </w:r>
      <w:r w:rsidRPr="005B597C">
        <w:rPr>
          <w:rFonts w:asciiTheme="minorHAnsi" w:hAnsiTheme="minorHAnsi" w:cstheme="minorHAnsi"/>
        </w:rPr>
        <w:t>murder rule or the natural</w:t>
      </w:r>
      <w:r w:rsidR="005B597C" w:rsidRPr="005B597C">
        <w:rPr>
          <w:rFonts w:asciiTheme="minorHAnsi" w:hAnsiTheme="minorHAnsi" w:cstheme="minorHAnsi"/>
        </w:rPr>
        <w:t xml:space="preserve"> </w:t>
      </w:r>
      <w:r w:rsidRPr="005B597C">
        <w:rPr>
          <w:rFonts w:asciiTheme="minorHAnsi" w:hAnsiTheme="minorHAnsi" w:cstheme="minorHAnsi"/>
        </w:rPr>
        <w:t xml:space="preserve">and </w:t>
      </w:r>
      <w:r w:rsidRPr="005B597C">
        <w:rPr>
          <w:rFonts w:asciiTheme="minorHAnsi" w:hAnsiTheme="minorHAnsi" w:cstheme="minorHAnsi"/>
        </w:rPr>
        <w:t xml:space="preserve">probable consequences doctrine, and that </w:t>
      </w:r>
      <w:r w:rsidR="005B597C" w:rsidRPr="005B597C">
        <w:rPr>
          <w:rFonts w:asciiTheme="minorHAnsi" w:hAnsiTheme="minorHAnsi" w:cstheme="minorHAnsi"/>
        </w:rPr>
        <w:t>Pineda</w:t>
      </w:r>
      <w:r w:rsidRPr="005B597C">
        <w:rPr>
          <w:rFonts w:asciiTheme="minorHAnsi" w:hAnsiTheme="minorHAnsi" w:cstheme="minorHAnsi"/>
        </w:rPr>
        <w:t xml:space="preserve"> could not now be convicted of first or second degree murder because o</w:t>
      </w:r>
      <w:r w:rsidRPr="00BA2E3B">
        <w:rPr>
          <w:rFonts w:asciiTheme="minorHAnsi" w:hAnsiTheme="minorHAnsi" w:cstheme="minorHAnsi"/>
        </w:rPr>
        <w:t xml:space="preserve">f the changes to </w:t>
      </w:r>
      <w:bookmarkStart w:id="11" w:name="dabmci_42ec763aa65e4393a8b1a75beb45abe9"/>
      <w:r w:rsidRPr="00BA2E3B">
        <w:rPr>
          <w:rFonts w:asciiTheme="minorHAnsi" w:hAnsiTheme="minorHAnsi" w:cstheme="minorHAnsi"/>
        </w:rPr>
        <w:t>Penal Code sections 188 and 189</w:t>
      </w:r>
      <w:bookmarkEnd w:id="11"/>
      <w:r w:rsidRPr="00BA2E3B">
        <w:rPr>
          <w:rFonts w:asciiTheme="minorHAnsi" w:hAnsiTheme="minorHAnsi" w:cstheme="minorHAnsi"/>
        </w:rPr>
        <w:t xml:space="preserve">, effective January 1, 2019 </w:t>
      </w:r>
      <w:r w:rsidR="005B597C" w:rsidRPr="00BA2E3B">
        <w:rPr>
          <w:rFonts w:asciiTheme="minorHAnsi" w:hAnsiTheme="minorHAnsi" w:cstheme="minorHAnsi"/>
        </w:rPr>
        <w:t xml:space="preserve">because he </w:t>
      </w:r>
      <w:r w:rsidRPr="00BA2E3B">
        <w:rPr>
          <w:rFonts w:asciiTheme="minorHAnsi" w:hAnsiTheme="minorHAnsi" w:cstheme="minorHAnsi"/>
        </w:rPr>
        <w:t>was not the actual killer</w:t>
      </w:r>
      <w:r w:rsidR="005B597C" w:rsidRPr="00BA2E3B">
        <w:rPr>
          <w:rFonts w:asciiTheme="minorHAnsi" w:hAnsiTheme="minorHAnsi" w:cstheme="minorHAnsi"/>
        </w:rPr>
        <w:t>; h</w:t>
      </w:r>
      <w:r w:rsidRPr="00BA2E3B">
        <w:rPr>
          <w:rFonts w:asciiTheme="minorHAnsi" w:hAnsiTheme="minorHAnsi" w:cstheme="minorHAnsi"/>
        </w:rPr>
        <w:t>e did not, with the inte</w:t>
      </w:r>
      <w:r w:rsidRPr="00BA2E3B">
        <w:rPr>
          <w:rFonts w:asciiTheme="minorHAnsi" w:hAnsiTheme="minorHAnsi" w:cstheme="minorHAnsi"/>
        </w:rPr>
        <w:t>nt to kill, aid, abet, counsel, command, induce, solicit, request, or assist the actual killer in the commission of murder</w:t>
      </w:r>
      <w:r w:rsidR="005B597C" w:rsidRPr="00BA2E3B">
        <w:rPr>
          <w:rFonts w:asciiTheme="minorHAnsi" w:hAnsiTheme="minorHAnsi" w:cstheme="minorHAnsi"/>
        </w:rPr>
        <w:t xml:space="preserve"> </w:t>
      </w:r>
      <w:r w:rsidR="00CA2C54">
        <w:rPr>
          <w:rFonts w:asciiTheme="minorHAnsi" w:hAnsiTheme="minorHAnsi" w:cstheme="minorHAnsi"/>
        </w:rPr>
        <w:t xml:space="preserve">in </w:t>
      </w:r>
      <w:r w:rsidR="005B597C" w:rsidRPr="00BA2E3B">
        <w:rPr>
          <w:rFonts w:asciiTheme="minorHAnsi" w:hAnsiTheme="minorHAnsi" w:cstheme="minorHAnsi"/>
        </w:rPr>
        <w:t>the first degree; he</w:t>
      </w:r>
      <w:r w:rsidRPr="00BA2E3B">
        <w:rPr>
          <w:rFonts w:asciiTheme="minorHAnsi" w:hAnsiTheme="minorHAnsi" w:cstheme="minorHAnsi"/>
        </w:rPr>
        <w:t xml:space="preserve"> was not a major participant in the felony </w:t>
      </w:r>
      <w:r w:rsidR="00CA2C54">
        <w:rPr>
          <w:rFonts w:asciiTheme="minorHAnsi" w:hAnsiTheme="minorHAnsi" w:cstheme="minorHAnsi"/>
        </w:rPr>
        <w:t>n</w:t>
      </w:r>
      <w:r w:rsidRPr="00BA2E3B">
        <w:rPr>
          <w:rFonts w:asciiTheme="minorHAnsi" w:hAnsiTheme="minorHAnsi" w:cstheme="minorHAnsi"/>
        </w:rPr>
        <w:t xml:space="preserve">or did </w:t>
      </w:r>
      <w:r w:rsidR="00CA2C54">
        <w:rPr>
          <w:rFonts w:asciiTheme="minorHAnsi" w:hAnsiTheme="minorHAnsi" w:cstheme="minorHAnsi"/>
        </w:rPr>
        <w:t xml:space="preserve">he </w:t>
      </w:r>
      <w:r w:rsidRPr="00BA2E3B">
        <w:rPr>
          <w:rFonts w:asciiTheme="minorHAnsi" w:hAnsiTheme="minorHAnsi" w:cstheme="minorHAnsi"/>
        </w:rPr>
        <w:t xml:space="preserve">not act with reckless indifference to human life during </w:t>
      </w:r>
      <w:r w:rsidRPr="00BA2E3B">
        <w:rPr>
          <w:rFonts w:asciiTheme="minorHAnsi" w:hAnsiTheme="minorHAnsi" w:cstheme="minorHAnsi"/>
        </w:rPr>
        <w:t xml:space="preserve">the commission of a felony; </w:t>
      </w:r>
      <w:r w:rsidR="005B597C" w:rsidRPr="00BA2E3B">
        <w:rPr>
          <w:rFonts w:asciiTheme="minorHAnsi" w:hAnsiTheme="minorHAnsi" w:cstheme="minorHAnsi"/>
        </w:rPr>
        <w:t>and t</w:t>
      </w:r>
      <w:r w:rsidRPr="00BA2E3B">
        <w:rPr>
          <w:rFonts w:asciiTheme="minorHAnsi" w:hAnsiTheme="minorHAnsi" w:cstheme="minorHAnsi"/>
        </w:rPr>
        <w:t>he victim was not a peace officer in the performance of his duties.</w:t>
      </w:r>
    </w:p>
    <w:p w14:paraId="51556510" w14:textId="5D6A2157" w:rsidR="006B37CB" w:rsidRPr="00BA2E3B" w:rsidRDefault="00024CFE" w:rsidP="005159F9">
      <w:pPr>
        <w:rPr>
          <w:rFonts w:asciiTheme="minorHAnsi" w:hAnsiTheme="minorHAnsi" w:cstheme="minorHAnsi"/>
        </w:rPr>
      </w:pPr>
      <w:r>
        <w:rPr>
          <w:rFonts w:asciiTheme="minorHAnsi" w:hAnsiTheme="minorHAnsi" w:cstheme="minorHAnsi"/>
        </w:rPr>
        <w:tab/>
      </w:r>
      <w:r w:rsidR="00A271DB" w:rsidRPr="00BA2E3B">
        <w:rPr>
          <w:rFonts w:asciiTheme="minorHAnsi" w:hAnsiTheme="minorHAnsi" w:cstheme="minorHAnsi"/>
        </w:rPr>
        <w:t xml:space="preserve">The trial court appointed counsel to represent Pineda.  After briefing and </w:t>
      </w:r>
      <w:r w:rsidR="00F31D17">
        <w:rPr>
          <w:rFonts w:asciiTheme="minorHAnsi" w:hAnsiTheme="minorHAnsi" w:cstheme="minorHAnsi"/>
        </w:rPr>
        <w:t>a hearing</w:t>
      </w:r>
      <w:r w:rsidR="00A271DB" w:rsidRPr="00BA2E3B">
        <w:rPr>
          <w:rFonts w:asciiTheme="minorHAnsi" w:hAnsiTheme="minorHAnsi" w:cstheme="minorHAnsi"/>
        </w:rPr>
        <w:t xml:space="preserve">, </w:t>
      </w:r>
      <w:r w:rsidR="00BA2E3B" w:rsidRPr="00BA2E3B">
        <w:rPr>
          <w:rFonts w:asciiTheme="minorHAnsi" w:hAnsiTheme="minorHAnsi" w:cstheme="minorHAnsi"/>
        </w:rPr>
        <w:t>the trial court denied the petition without issuing an order to show cause.  The</w:t>
      </w:r>
      <w:r w:rsidR="00541918">
        <w:rPr>
          <w:rFonts w:asciiTheme="minorHAnsi" w:hAnsiTheme="minorHAnsi" w:cstheme="minorHAnsi"/>
        </w:rPr>
        <w:t> </w:t>
      </w:r>
      <w:r w:rsidR="00BA2E3B" w:rsidRPr="00BA2E3B">
        <w:rPr>
          <w:rFonts w:asciiTheme="minorHAnsi" w:hAnsiTheme="minorHAnsi" w:cstheme="minorHAnsi"/>
        </w:rPr>
        <w:t>court concluded that the fe</w:t>
      </w:r>
      <w:r w:rsidR="00BA2E3B" w:rsidRPr="00BA2E3B">
        <w:rPr>
          <w:rFonts w:asciiTheme="minorHAnsi" w:hAnsiTheme="minorHAnsi" w:cstheme="minorHAnsi"/>
          <w:shd w:val="clear" w:color="auto" w:fill="FFFFFF"/>
        </w:rPr>
        <w:t xml:space="preserve">lony-murder special circumstance finding precluded Pineda from making a prima facie showing of eligibility for relief under </w:t>
      </w:r>
      <w:bookmarkStart w:id="12" w:name="dabmci_b8fc4541573440a69ba1b751a248558e"/>
      <w:r w:rsidR="00BA2E3B" w:rsidRPr="00BA2E3B">
        <w:rPr>
          <w:rFonts w:asciiTheme="minorHAnsi" w:hAnsiTheme="minorHAnsi" w:cstheme="minorHAnsi"/>
          <w:shd w:val="clear" w:color="auto" w:fill="FFFFFF"/>
        </w:rPr>
        <w:t>section 1170.95</w:t>
      </w:r>
      <w:bookmarkEnd w:id="12"/>
      <w:r w:rsidR="00BA2E3B" w:rsidRPr="00BA2E3B">
        <w:rPr>
          <w:rFonts w:asciiTheme="minorHAnsi" w:hAnsiTheme="minorHAnsi" w:cstheme="minorHAnsi"/>
          <w:shd w:val="clear" w:color="auto" w:fill="FFFFFF"/>
        </w:rPr>
        <w:t xml:space="preserve">. </w:t>
      </w:r>
      <w:r w:rsidR="00BA2E3B" w:rsidRPr="00BA2E3B">
        <w:rPr>
          <w:rFonts w:asciiTheme="minorHAnsi" w:hAnsiTheme="minorHAnsi" w:cstheme="minorHAnsi"/>
        </w:rPr>
        <w:t xml:space="preserve"> Pineda timely appealed.</w:t>
      </w:r>
    </w:p>
    <w:p w14:paraId="1624D686" w14:textId="0E1F133D" w:rsidR="004132FE" w:rsidRDefault="00024CFE" w:rsidP="0063057C">
      <w:pPr>
        <w:keepNext/>
        <w:autoSpaceDE w:val="0"/>
        <w:autoSpaceDN w:val="0"/>
        <w:adjustRightInd w:val="0"/>
        <w:contextualSpacing/>
        <w:rPr>
          <w:b/>
          <w:smallCaps/>
          <w:shd w:val="clear" w:color="auto" w:fill="FFFFFF"/>
        </w:rPr>
      </w:pPr>
      <w:r w:rsidRPr="0060672B">
        <w:rPr>
          <w:b/>
          <w:smallCaps/>
          <w:shd w:val="clear" w:color="auto" w:fill="FFFFFF"/>
        </w:rPr>
        <w:t>II.</w:t>
      </w:r>
      <w:r w:rsidRPr="0060672B">
        <w:rPr>
          <w:b/>
          <w:smallCaps/>
          <w:shd w:val="clear" w:color="auto" w:fill="FFFFFF"/>
        </w:rPr>
        <w:tab/>
        <w:t>Discussion</w:t>
      </w:r>
    </w:p>
    <w:p w14:paraId="5931C65A" w14:textId="75269E74" w:rsidR="004E04F6" w:rsidRDefault="00024CFE" w:rsidP="0063057C">
      <w:pPr>
        <w:keepNext/>
        <w:autoSpaceDE w:val="0"/>
        <w:autoSpaceDN w:val="0"/>
        <w:adjustRightInd w:val="0"/>
        <w:contextualSpacing/>
        <w:rPr>
          <w:b/>
          <w:i/>
          <w:shd w:val="clear" w:color="auto" w:fill="FFFFFF"/>
        </w:rPr>
      </w:pPr>
      <w:r w:rsidRPr="004E04F6">
        <w:rPr>
          <w:b/>
          <w:i/>
          <w:shd w:val="clear" w:color="auto" w:fill="FFFFFF"/>
        </w:rPr>
        <w:tab/>
        <w:t>A.</w:t>
      </w:r>
      <w:r w:rsidRPr="004E04F6">
        <w:rPr>
          <w:b/>
          <w:i/>
          <w:shd w:val="clear" w:color="auto" w:fill="FFFFFF"/>
        </w:rPr>
        <w:tab/>
      </w:r>
      <w:r>
        <w:rPr>
          <w:b/>
          <w:i/>
          <w:shd w:val="clear" w:color="auto" w:fill="FFFFFF"/>
        </w:rPr>
        <w:t>Legal Principles</w:t>
      </w:r>
    </w:p>
    <w:p w14:paraId="6599C0C6" w14:textId="3D130451" w:rsidR="004E04F6" w:rsidRPr="004E04F6" w:rsidRDefault="00024CFE" w:rsidP="0063057C">
      <w:pPr>
        <w:keepNext/>
        <w:autoSpaceDE w:val="0"/>
        <w:autoSpaceDN w:val="0"/>
        <w:adjustRightInd w:val="0"/>
        <w:spacing w:before="240"/>
        <w:contextualSpacing/>
        <w:rPr>
          <w:bCs/>
          <w:i/>
          <w:shd w:val="clear" w:color="auto" w:fill="FFFFFF"/>
        </w:rPr>
      </w:pPr>
      <w:r w:rsidRPr="004E04F6">
        <w:rPr>
          <w:bCs/>
          <w:i/>
          <w:shd w:val="clear" w:color="auto" w:fill="FFFFFF"/>
        </w:rPr>
        <w:tab/>
      </w:r>
      <w:r w:rsidRPr="004E04F6">
        <w:rPr>
          <w:bCs/>
          <w:i/>
          <w:shd w:val="clear" w:color="auto" w:fill="FFFFFF"/>
        </w:rPr>
        <w:tab/>
        <w:t>1.</w:t>
      </w:r>
      <w:r w:rsidRPr="004E04F6">
        <w:rPr>
          <w:bCs/>
          <w:i/>
          <w:shd w:val="clear" w:color="auto" w:fill="FFFFFF"/>
        </w:rPr>
        <w:tab/>
      </w:r>
      <w:bookmarkStart w:id="13" w:name="dabmci_f8d08fa5daaa4ad5916f79529396b032"/>
      <w:r w:rsidRPr="004E04F6">
        <w:rPr>
          <w:rFonts w:asciiTheme="minorHAnsi" w:eastAsia="Times New Roman" w:hAnsiTheme="minorHAnsi" w:cstheme="minorHAnsi"/>
          <w:bCs/>
          <w:i/>
          <w:shd w:val="clear" w:color="auto" w:fill="FFFFFF"/>
        </w:rPr>
        <w:t>Senate Bill </w:t>
      </w:r>
      <w:r w:rsidR="00541918">
        <w:rPr>
          <w:rFonts w:asciiTheme="minorHAnsi" w:eastAsia="Times New Roman" w:hAnsiTheme="minorHAnsi" w:cstheme="minorHAnsi"/>
          <w:bCs/>
          <w:i/>
          <w:shd w:val="clear" w:color="auto" w:fill="FFFFFF"/>
        </w:rPr>
        <w:t>No</w:t>
      </w:r>
      <w:r w:rsidR="00541918" w:rsidRPr="00C76ADD">
        <w:rPr>
          <w:rFonts w:asciiTheme="minorHAnsi" w:eastAsia="Times New Roman" w:hAnsiTheme="minorHAnsi" w:cstheme="minorHAnsi"/>
          <w:bCs/>
          <w:iCs/>
          <w:shd w:val="clear" w:color="auto" w:fill="FFFFFF"/>
        </w:rPr>
        <w:t>.</w:t>
      </w:r>
      <w:r w:rsidR="00541918">
        <w:rPr>
          <w:rFonts w:asciiTheme="minorHAnsi" w:eastAsia="Times New Roman" w:hAnsiTheme="minorHAnsi" w:cstheme="minorHAnsi"/>
          <w:bCs/>
          <w:i/>
          <w:shd w:val="clear" w:color="auto" w:fill="FFFFFF"/>
        </w:rPr>
        <w:t xml:space="preserve"> </w:t>
      </w:r>
      <w:r w:rsidRPr="004E04F6">
        <w:rPr>
          <w:rFonts w:asciiTheme="minorHAnsi" w:eastAsia="Times New Roman" w:hAnsiTheme="minorHAnsi" w:cstheme="minorHAnsi"/>
          <w:bCs/>
          <w:i/>
          <w:bdr w:val="none" w:sz="0" w:space="0" w:color="auto" w:frame="1"/>
          <w:shd w:val="clear" w:color="auto" w:fill="FFFFFF"/>
        </w:rPr>
        <w:t>1437</w:t>
      </w:r>
      <w:bookmarkEnd w:id="13"/>
    </w:p>
    <w:p w14:paraId="14ABE6C1" w14:textId="461AEA6F" w:rsidR="00C45446" w:rsidRDefault="00024CFE" w:rsidP="00C45446">
      <w:pPr>
        <w:contextualSpacing/>
        <w:rPr>
          <w:rFonts w:asciiTheme="minorHAnsi" w:eastAsia="Times New Roman" w:hAnsiTheme="minorHAnsi" w:cstheme="minorHAnsi"/>
        </w:rPr>
      </w:pPr>
      <w:r w:rsidRPr="00D448AD">
        <w:rPr>
          <w:rFonts w:asciiTheme="minorHAnsi" w:eastAsia="Times New Roman" w:hAnsiTheme="minorHAnsi" w:cstheme="minorHAnsi"/>
          <w:shd w:val="clear" w:color="auto" w:fill="FFFFFF"/>
        </w:rPr>
        <w:tab/>
      </w:r>
      <w:bookmarkStart w:id="14" w:name="dabmci_748ebfa058b444259f9fb62d421f4798"/>
      <w:r w:rsidR="00BF6726" w:rsidRPr="00563EB7">
        <w:rPr>
          <w:rFonts w:eastAsia="Times New Roman" w:cstheme="minorHAnsi"/>
          <w:shd w:val="clear" w:color="auto" w:fill="FFFFFF"/>
        </w:rPr>
        <w:t>Senate Bil</w:t>
      </w:r>
      <w:r w:rsidR="00BF6726">
        <w:rPr>
          <w:rFonts w:eastAsia="Times New Roman" w:cstheme="minorHAnsi"/>
          <w:shd w:val="clear" w:color="auto" w:fill="FFFFFF"/>
        </w:rPr>
        <w:t xml:space="preserve">l </w:t>
      </w:r>
      <w:r w:rsidR="00C76ADD">
        <w:rPr>
          <w:rFonts w:eastAsia="Times New Roman" w:cstheme="minorHAnsi"/>
          <w:shd w:val="clear" w:color="auto" w:fill="FFFFFF"/>
        </w:rPr>
        <w:t xml:space="preserve">No. </w:t>
      </w:r>
      <w:r w:rsidR="00BF6726" w:rsidRPr="00563EB7">
        <w:rPr>
          <w:rFonts w:eastAsia="Times New Roman" w:cstheme="minorHAnsi"/>
          <w:bdr w:val="none" w:sz="0" w:space="0" w:color="auto" w:frame="1"/>
          <w:shd w:val="clear" w:color="auto" w:fill="FFFFFF"/>
        </w:rPr>
        <w:t>1437</w:t>
      </w:r>
      <w:bookmarkEnd w:id="14"/>
      <w:r w:rsidR="004962E4">
        <w:rPr>
          <w:rFonts w:eastAsia="Times New Roman" w:cstheme="minorHAnsi"/>
          <w:bdr w:val="none" w:sz="0" w:space="0" w:color="auto" w:frame="1"/>
          <w:shd w:val="clear" w:color="auto" w:fill="FFFFFF"/>
        </w:rPr>
        <w:t xml:space="preserve"> (2017-2018 Reg. Sess.) (Senate Bill 1437)</w:t>
      </w:r>
      <w:r w:rsidR="00BF6726" w:rsidRPr="00563EB7">
        <w:rPr>
          <w:rFonts w:eastAsia="Times New Roman" w:cstheme="minorHAnsi"/>
          <w:bdr w:val="none" w:sz="0" w:space="0" w:color="auto" w:frame="1"/>
          <w:shd w:val="clear" w:color="auto" w:fill="FFFFFF"/>
        </w:rPr>
        <w:t xml:space="preserve">, </w:t>
      </w:r>
      <w:r w:rsidR="00BF6726" w:rsidRPr="00563EB7">
        <w:rPr>
          <w:rFonts w:cstheme="minorHAnsi"/>
          <w:shd w:val="clear" w:color="auto" w:fill="FFFFFF"/>
        </w:rPr>
        <w:t>which became effective on January 1, 2019,</w:t>
      </w:r>
      <w:r w:rsidR="00BF6726" w:rsidRPr="00563EB7">
        <w:rPr>
          <w:rFonts w:eastAsia="Times New Roman" w:cstheme="minorHAnsi"/>
          <w:shd w:val="clear" w:color="auto" w:fill="FFFFFF"/>
        </w:rPr>
        <w:t xml:space="preserve"> was enacted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w:t>
      </w:r>
      <w:r w:rsidR="00BF6726" w:rsidRPr="00563EB7">
        <w:rPr>
          <w:rFonts w:eastAsia="Times New Roman" w:cstheme="minorHAnsi"/>
          <w:shd w:val="clear" w:color="auto" w:fill="FFFFFF"/>
        </w:rPr>
        <w:lastRenderedPageBreak/>
        <w:t>indifference to human life.”  (Stats. 2018, ch.</w:t>
      </w:r>
      <w:r w:rsidR="00BF6726">
        <w:rPr>
          <w:rFonts w:eastAsia="Times New Roman" w:cstheme="minorHAnsi"/>
          <w:shd w:val="clear" w:color="auto" w:fill="FFFFFF"/>
        </w:rPr>
        <w:t> </w:t>
      </w:r>
      <w:r w:rsidR="00BF6726" w:rsidRPr="00563EB7">
        <w:rPr>
          <w:rFonts w:eastAsia="Times New Roman" w:cstheme="minorHAnsi"/>
          <w:shd w:val="clear" w:color="auto" w:fill="FFFFFF"/>
        </w:rPr>
        <w:t xml:space="preserve">1015, § 1, subd. (f).)  </w:t>
      </w:r>
      <w:r w:rsidR="002C6429" w:rsidRPr="00D448AD">
        <w:rPr>
          <w:rFonts w:asciiTheme="minorHAnsi" w:eastAsia="Times New Roman" w:hAnsiTheme="minorHAnsi" w:cstheme="minorHAnsi"/>
          <w:shd w:val="clear" w:color="auto" w:fill="FFFFFF"/>
        </w:rPr>
        <w:t xml:space="preserve">“Under the felony-murder rule as it existed prior to </w:t>
      </w:r>
      <w:bookmarkStart w:id="15" w:name="dabmci_fb0deecb619b41009c8f482006ac19d5"/>
      <w:r w:rsidR="002C6429" w:rsidRPr="00D448AD">
        <w:rPr>
          <w:rFonts w:asciiTheme="minorHAnsi" w:eastAsia="Times New Roman" w:hAnsiTheme="minorHAnsi" w:cstheme="minorHAnsi"/>
          <w:shd w:val="clear" w:color="auto" w:fill="FFFFFF"/>
        </w:rPr>
        <w:t>Senate Bill </w:t>
      </w:r>
      <w:r w:rsidR="002C6429" w:rsidRPr="00D448AD">
        <w:rPr>
          <w:rFonts w:asciiTheme="minorHAnsi" w:eastAsia="Times New Roman" w:hAnsiTheme="minorHAnsi" w:cstheme="minorHAnsi"/>
          <w:bdr w:val="none" w:sz="0" w:space="0" w:color="auto" w:frame="1"/>
          <w:shd w:val="clear" w:color="auto" w:fill="FFFFFF"/>
        </w:rPr>
        <w:t>1437</w:t>
      </w:r>
      <w:bookmarkEnd w:id="15"/>
      <w:r w:rsidR="002C6429" w:rsidRPr="00D448AD">
        <w:rPr>
          <w:rFonts w:asciiTheme="minorHAnsi" w:eastAsia="Times New Roman" w:hAnsiTheme="minorHAnsi" w:cstheme="minorHAnsi"/>
          <w:shd w:val="clear" w:color="auto" w:fill="FFFFFF"/>
        </w:rPr>
        <w:t>, a defendant who intended to commit a specified felony could be convicted of murder for a killing during the felony, or attempted felony, without further examination of his or her mental state.”  (</w:t>
      </w:r>
      <w:bookmarkStart w:id="16" w:name="dabmci_cbca6b31e0e648929e3fa18cc8d11dbd"/>
      <w:r w:rsidR="002C6429" w:rsidRPr="00D448AD">
        <w:rPr>
          <w:rFonts w:asciiTheme="minorHAnsi" w:eastAsia="Times New Roman" w:hAnsiTheme="minorHAnsi" w:cstheme="minorHAnsi"/>
          <w:i/>
          <w:iCs/>
          <w:bdr w:val="none" w:sz="0" w:space="0" w:color="auto" w:frame="1"/>
        </w:rPr>
        <w:t>People v</w:t>
      </w:r>
      <w:r w:rsidR="002C6429" w:rsidRPr="00D448AD">
        <w:rPr>
          <w:rFonts w:asciiTheme="minorHAnsi" w:eastAsia="Times New Roman" w:hAnsiTheme="minorHAnsi" w:cstheme="minorHAnsi"/>
          <w:bdr w:val="none" w:sz="0" w:space="0" w:color="auto" w:frame="1"/>
        </w:rPr>
        <w:t>.</w:t>
      </w:r>
      <w:r w:rsidR="002C6429" w:rsidRPr="00D448AD">
        <w:rPr>
          <w:rFonts w:asciiTheme="minorHAnsi" w:eastAsia="Times New Roman" w:hAnsiTheme="minorHAnsi" w:cstheme="minorHAnsi"/>
          <w:i/>
          <w:iCs/>
          <w:bdr w:val="none" w:sz="0" w:space="0" w:color="auto" w:frame="1"/>
        </w:rPr>
        <w:t xml:space="preserve"> Lamoureux</w:t>
      </w:r>
      <w:r w:rsidR="002C6429" w:rsidRPr="00D448AD">
        <w:rPr>
          <w:rFonts w:asciiTheme="minorHAnsi" w:eastAsia="Times New Roman" w:hAnsiTheme="minorHAnsi" w:cstheme="minorHAnsi"/>
        </w:rPr>
        <w:t> (2019) 42 Cal.App.5th 241, 247-248</w:t>
      </w:r>
      <w:bookmarkEnd w:id="16"/>
      <w:r w:rsidR="002C6429" w:rsidRPr="00D448AD">
        <w:rPr>
          <w:rFonts w:asciiTheme="minorHAnsi" w:eastAsia="Times New Roman" w:hAnsiTheme="minorHAnsi" w:cstheme="minorHAnsi"/>
        </w:rPr>
        <w:t>.)</w:t>
      </w:r>
      <w:r w:rsidR="002C6429" w:rsidRPr="00D448AD">
        <w:rPr>
          <w:rFonts w:asciiTheme="minorHAnsi" w:hAnsiTheme="minorHAnsi" w:cstheme="minorHAnsi"/>
        </w:rPr>
        <w:t xml:space="preserve">  </w:t>
      </w:r>
      <w:r w:rsidR="00BF6726">
        <w:rPr>
          <w:rFonts w:asciiTheme="minorHAnsi" w:eastAsia="Times New Roman" w:hAnsiTheme="minorHAnsi" w:cstheme="minorHAnsi"/>
          <w:shd w:val="clear" w:color="auto" w:fill="FFFFFF"/>
        </w:rPr>
        <w:t xml:space="preserve">As amended by </w:t>
      </w:r>
      <w:bookmarkStart w:id="17" w:name="dabmci_ffcbfd22e9154cce813f925bc8d36497"/>
      <w:r w:rsidR="002C6429" w:rsidRPr="00D448AD">
        <w:rPr>
          <w:rFonts w:asciiTheme="minorHAnsi" w:eastAsia="Times New Roman" w:hAnsiTheme="minorHAnsi" w:cstheme="minorHAnsi"/>
          <w:shd w:val="clear" w:color="auto" w:fill="FFFFFF"/>
        </w:rPr>
        <w:t>Senate Bill </w:t>
      </w:r>
      <w:r w:rsidR="002C6429" w:rsidRPr="00D448AD">
        <w:rPr>
          <w:rFonts w:asciiTheme="minorHAnsi" w:eastAsia="Times New Roman" w:hAnsiTheme="minorHAnsi" w:cstheme="minorHAnsi"/>
          <w:bdr w:val="none" w:sz="0" w:space="0" w:color="auto" w:frame="1"/>
          <w:shd w:val="clear" w:color="auto" w:fill="FFFFFF"/>
        </w:rPr>
        <w:t>1437</w:t>
      </w:r>
      <w:bookmarkEnd w:id="17"/>
      <w:r w:rsidR="00BF6726">
        <w:rPr>
          <w:rFonts w:asciiTheme="minorHAnsi" w:eastAsia="Times New Roman" w:hAnsiTheme="minorHAnsi" w:cstheme="minorHAnsi"/>
          <w:shd w:val="clear" w:color="auto" w:fill="FFFFFF"/>
        </w:rPr>
        <w:t>,</w:t>
      </w:r>
      <w:r w:rsidR="00BF6726" w:rsidRPr="00D448AD">
        <w:rPr>
          <w:rFonts w:asciiTheme="minorHAnsi" w:eastAsia="Times New Roman" w:hAnsiTheme="minorHAnsi" w:cstheme="minorHAnsi"/>
        </w:rPr>
        <w:t xml:space="preserve"> </w:t>
      </w:r>
      <w:bookmarkStart w:id="18" w:name="dabmci_53ac927016c3495584b04ad989e355ac"/>
      <w:r w:rsidR="00BF6726">
        <w:rPr>
          <w:rFonts w:asciiTheme="minorHAnsi" w:eastAsia="Times New Roman" w:hAnsiTheme="minorHAnsi" w:cstheme="minorHAnsi"/>
        </w:rPr>
        <w:t>s</w:t>
      </w:r>
      <w:r w:rsidR="002C6429" w:rsidRPr="00D448AD">
        <w:rPr>
          <w:rFonts w:asciiTheme="minorHAnsi" w:eastAsia="Times New Roman" w:hAnsiTheme="minorHAnsi" w:cstheme="minorHAnsi"/>
        </w:rPr>
        <w:t>ection 189, subdivision</w:t>
      </w:r>
      <w:r w:rsidR="004E04F6">
        <w:rPr>
          <w:rFonts w:asciiTheme="minorHAnsi" w:eastAsia="Times New Roman" w:hAnsiTheme="minorHAnsi" w:cstheme="minorHAnsi"/>
        </w:rPr>
        <w:t> </w:t>
      </w:r>
      <w:r w:rsidR="002C6429" w:rsidRPr="00D448AD">
        <w:rPr>
          <w:rFonts w:asciiTheme="minorHAnsi" w:eastAsia="Times New Roman" w:hAnsiTheme="minorHAnsi" w:cstheme="minorHAnsi"/>
        </w:rPr>
        <w:t>(e)</w:t>
      </w:r>
      <w:bookmarkEnd w:id="18"/>
      <w:r w:rsidR="002C6429" w:rsidRPr="00D448AD">
        <w:rPr>
          <w:rFonts w:asciiTheme="minorHAnsi" w:eastAsia="Times New Roman" w:hAnsiTheme="minorHAnsi" w:cstheme="minorHAnsi"/>
        </w:rPr>
        <w:t xml:space="preserve"> provides that a participant in a specified felony is liable for murder for a death during the commission of the offense only if </w:t>
      </w:r>
      <w:r w:rsidRPr="00D448AD">
        <w:rPr>
          <w:rFonts w:asciiTheme="minorHAnsi" w:eastAsia="Times New Roman" w:hAnsiTheme="minorHAnsi" w:cstheme="minorHAnsi"/>
        </w:rPr>
        <w:t xml:space="preserve">he or she </w:t>
      </w:r>
      <w:r w:rsidRPr="00AD13BB">
        <w:rPr>
          <w:rFonts w:asciiTheme="minorHAnsi" w:eastAsia="Times New Roman" w:hAnsiTheme="minorHAnsi" w:cstheme="minorHAnsi"/>
          <w:shd w:val="clear" w:color="auto" w:fill="FFFFFF"/>
        </w:rPr>
        <w:t>was the actual killer; acted with the intent to kill in aiding, abetting, counseling, commanding, inducing, solicitin</w:t>
      </w:r>
      <w:r w:rsidRPr="00AD13BB">
        <w:rPr>
          <w:rFonts w:asciiTheme="minorHAnsi" w:eastAsia="Times New Roman" w:hAnsiTheme="minorHAnsi" w:cstheme="minorHAnsi"/>
          <w:shd w:val="clear" w:color="auto" w:fill="FFFFFF"/>
        </w:rPr>
        <w:t xml:space="preserve">g, requesting, or assisting in first degree murder; or </w:t>
      </w:r>
      <w:r w:rsidR="00BF6726">
        <w:rPr>
          <w:rFonts w:asciiTheme="minorHAnsi" w:eastAsia="Times New Roman" w:hAnsiTheme="minorHAnsi" w:cstheme="minorHAnsi"/>
          <w:shd w:val="clear" w:color="auto" w:fill="FFFFFF"/>
        </w:rPr>
        <w:t>“</w:t>
      </w:r>
      <w:r w:rsidRPr="00AD13BB">
        <w:rPr>
          <w:rFonts w:asciiTheme="minorHAnsi" w:eastAsia="Times New Roman" w:hAnsiTheme="minorHAnsi" w:cstheme="minorHAnsi"/>
          <w:shd w:val="clear" w:color="auto" w:fill="FFFFFF"/>
        </w:rPr>
        <w:t xml:space="preserve">was a major participant in the underlying felony and acted with reckless indifference to human life, as described in subdivision (d) of </w:t>
      </w:r>
      <w:r w:rsidR="005E660C">
        <w:rPr>
          <w:rFonts w:asciiTheme="minorHAnsi" w:eastAsia="Times New Roman" w:hAnsiTheme="minorHAnsi" w:cstheme="minorHAnsi"/>
          <w:shd w:val="clear" w:color="auto" w:fill="FFFFFF"/>
        </w:rPr>
        <w:t>[s]</w:t>
      </w:r>
      <w:r w:rsidRPr="00AD13BB">
        <w:rPr>
          <w:rFonts w:asciiTheme="minorHAnsi" w:eastAsia="Times New Roman" w:hAnsiTheme="minorHAnsi" w:cstheme="minorHAnsi"/>
          <w:shd w:val="clear" w:color="auto" w:fill="FFFFFF"/>
        </w:rPr>
        <w:t>ection</w:t>
      </w:r>
      <w:r w:rsidR="00620EA4">
        <w:rPr>
          <w:rFonts w:asciiTheme="minorHAnsi" w:eastAsia="Times New Roman" w:hAnsiTheme="minorHAnsi" w:cstheme="minorHAnsi"/>
          <w:shd w:val="clear" w:color="auto" w:fill="FFFFFF"/>
        </w:rPr>
        <w:t> </w:t>
      </w:r>
      <w:r w:rsidRPr="00AD13BB">
        <w:rPr>
          <w:rFonts w:asciiTheme="minorHAnsi" w:eastAsia="Times New Roman" w:hAnsiTheme="minorHAnsi" w:cstheme="minorHAnsi"/>
          <w:shd w:val="clear" w:color="auto" w:fill="FFFFFF"/>
        </w:rPr>
        <w:t xml:space="preserve">190.2.” </w:t>
      </w:r>
      <w:r w:rsidRPr="00D448AD">
        <w:rPr>
          <w:rFonts w:asciiTheme="minorHAnsi" w:eastAsia="Times New Roman" w:hAnsiTheme="minorHAnsi" w:cstheme="minorHAnsi"/>
          <w:shd w:val="clear" w:color="auto" w:fill="FFFFFF"/>
        </w:rPr>
        <w:t xml:space="preserve"> </w:t>
      </w:r>
      <w:r w:rsidRPr="00AD13BB">
        <w:rPr>
          <w:rFonts w:asciiTheme="minorHAnsi" w:eastAsia="Times New Roman" w:hAnsiTheme="minorHAnsi" w:cstheme="minorHAnsi"/>
          <w:shd w:val="clear" w:color="auto" w:fill="FFFFFF"/>
        </w:rPr>
        <w:t>(</w:t>
      </w:r>
      <w:bookmarkStart w:id="19" w:name="dabmci_e74aa5d435bf4a7fb4094c65fd13ace8"/>
      <w:r w:rsidRPr="00AD13BB">
        <w:rPr>
          <w:rFonts w:asciiTheme="minorHAnsi" w:eastAsia="Times New Roman" w:hAnsiTheme="minorHAnsi" w:cstheme="minorHAnsi"/>
          <w:shd w:val="clear" w:color="auto" w:fill="FFFFFF"/>
        </w:rPr>
        <w:t>§ 189, subd. (e)(3)</w:t>
      </w:r>
      <w:bookmarkEnd w:id="19"/>
      <w:r w:rsidRPr="00AD13BB">
        <w:rPr>
          <w:rFonts w:asciiTheme="minorHAnsi" w:eastAsia="Times New Roman" w:hAnsiTheme="minorHAnsi" w:cstheme="minorHAnsi"/>
          <w:shd w:val="clear" w:color="auto" w:fill="FFFFFF"/>
        </w:rPr>
        <w:t>.)</w:t>
      </w:r>
    </w:p>
    <w:p w14:paraId="5C67C929" w14:textId="522527A8" w:rsidR="004E04F6" w:rsidRDefault="00024CFE" w:rsidP="004E04F6">
      <w:pPr>
        <w:rPr>
          <w:rFonts w:asciiTheme="minorHAnsi" w:eastAsia="Times New Roman" w:hAnsiTheme="minorHAnsi" w:cstheme="minorHAnsi"/>
          <w:color w:val="000000"/>
        </w:rPr>
      </w:pPr>
      <w:r w:rsidRPr="00C45446">
        <w:rPr>
          <w:rFonts w:asciiTheme="minorHAnsi" w:eastAsia="Times New Roman" w:hAnsiTheme="minorHAnsi" w:cstheme="minorHAnsi"/>
          <w:shd w:val="clear" w:color="auto" w:fill="FFFFFF"/>
        </w:rPr>
        <w:tab/>
      </w:r>
      <w:bookmarkStart w:id="20" w:name="dabmci_0ffc6080b1034c0f8b448b20565cc8d5"/>
      <w:r w:rsidRPr="00C45446">
        <w:rPr>
          <w:rFonts w:asciiTheme="minorHAnsi" w:eastAsia="Times New Roman" w:hAnsiTheme="minorHAnsi" w:cstheme="minorHAnsi"/>
          <w:shd w:val="clear" w:color="auto" w:fill="FFFFFF"/>
        </w:rPr>
        <w:t>Senate Bill</w:t>
      </w:r>
      <w:r w:rsidR="00620EA4">
        <w:rPr>
          <w:rFonts w:asciiTheme="minorHAnsi" w:eastAsia="Times New Roman" w:hAnsiTheme="minorHAnsi" w:cstheme="minorHAnsi"/>
          <w:shd w:val="clear" w:color="auto" w:fill="FFFFFF"/>
        </w:rPr>
        <w:t xml:space="preserve"> </w:t>
      </w:r>
      <w:r w:rsidRPr="00C45446">
        <w:rPr>
          <w:rFonts w:asciiTheme="minorHAnsi" w:eastAsia="Times New Roman" w:hAnsiTheme="minorHAnsi" w:cstheme="minorHAnsi"/>
          <w:bdr w:val="none" w:sz="0" w:space="0" w:color="auto" w:frame="1"/>
          <w:shd w:val="clear" w:color="auto" w:fill="FFFFFF"/>
        </w:rPr>
        <w:t>1437</w:t>
      </w:r>
      <w:bookmarkEnd w:id="20"/>
      <w:r w:rsidRPr="00C45446">
        <w:rPr>
          <w:rFonts w:asciiTheme="minorHAnsi" w:eastAsia="Times New Roman" w:hAnsiTheme="minorHAnsi" w:cstheme="minorHAnsi"/>
          <w:shd w:val="clear" w:color="auto" w:fill="FFFFFF"/>
        </w:rPr>
        <w:t xml:space="preserve"> also enacted </w:t>
      </w:r>
      <w:bookmarkStart w:id="21" w:name="dabmci_0f7aa57626a14dda9f4a6cdb6514b66f"/>
      <w:r w:rsidRPr="00C45446">
        <w:rPr>
          <w:rFonts w:asciiTheme="minorHAnsi" w:eastAsia="Times New Roman" w:hAnsiTheme="minorHAnsi" w:cstheme="minorHAnsi"/>
          <w:shd w:val="clear" w:color="auto" w:fill="FFFFFF"/>
        </w:rPr>
        <w:t>s</w:t>
      </w:r>
      <w:r w:rsidRPr="00C45446">
        <w:rPr>
          <w:rFonts w:asciiTheme="minorHAnsi" w:eastAsia="Times New Roman" w:hAnsiTheme="minorHAnsi" w:cstheme="minorHAnsi"/>
        </w:rPr>
        <w:t>ection 1170.95, subdivision (a)</w:t>
      </w:r>
      <w:bookmarkEnd w:id="21"/>
      <w:r w:rsidRPr="00C45446">
        <w:rPr>
          <w:rFonts w:asciiTheme="minorHAnsi" w:eastAsia="Times New Roman" w:hAnsiTheme="minorHAnsi" w:cstheme="minorHAnsi"/>
        </w:rPr>
        <w:t>, “</w:t>
      </w:r>
      <w:r w:rsidRPr="00D448AD">
        <w:rPr>
          <w:rFonts w:asciiTheme="minorHAnsi" w:eastAsia="Times New Roman" w:hAnsiTheme="minorHAnsi" w:cstheme="minorHAnsi"/>
          <w:color w:val="000000"/>
          <w:shd w:val="clear" w:color="auto" w:fill="FFFFFF"/>
        </w:rPr>
        <w:t xml:space="preserve">which establishes a procedure for vacating murder convictions for defendants who could no longer be convicted of murder under the new law and resentencing such defendants. </w:t>
      </w:r>
      <w:r w:rsidR="003F6505">
        <w:rPr>
          <w:rFonts w:asciiTheme="minorHAnsi" w:eastAsia="Times New Roman" w:hAnsiTheme="minorHAnsi" w:cstheme="minorHAnsi"/>
          <w:color w:val="000000"/>
          <w:shd w:val="clear" w:color="auto" w:fill="FFFFFF"/>
        </w:rPr>
        <w:t xml:space="preserve"> </w:t>
      </w:r>
      <w:r w:rsidRPr="00D448AD">
        <w:rPr>
          <w:rFonts w:asciiTheme="minorHAnsi" w:eastAsia="Times New Roman" w:hAnsiTheme="minorHAnsi" w:cstheme="minorHAnsi"/>
          <w:color w:val="000000"/>
          <w:shd w:val="clear" w:color="auto" w:fill="FFFFFF"/>
        </w:rPr>
        <w:t>(Stats. 2018, ch. 1015, § 4.)</w:t>
      </w:r>
      <w:r w:rsidRPr="00C45446">
        <w:rPr>
          <w:rFonts w:asciiTheme="minorHAnsi" w:eastAsia="Times New Roman" w:hAnsiTheme="minorHAnsi" w:cstheme="minorHAnsi"/>
          <w:color w:val="000000"/>
          <w:shd w:val="clear" w:color="auto" w:fill="FFFFFF"/>
        </w:rPr>
        <w:t>”  (</w:t>
      </w:r>
      <w:bookmarkStart w:id="22" w:name="dabmci_d39dde5bb49a4a61b91147099a8ea3a1"/>
      <w:r w:rsidR="00681961" w:rsidRPr="00EE3572">
        <w:rPr>
          <w:rFonts w:asciiTheme="minorHAnsi" w:eastAsia="Times New Roman" w:hAnsiTheme="minorHAnsi" w:cstheme="minorHAnsi"/>
          <w:i/>
          <w:iCs/>
          <w:bdr w:val="none" w:sz="0" w:space="0" w:color="auto" w:frame="1"/>
        </w:rPr>
        <w:t>People v. Allison</w:t>
      </w:r>
      <w:r w:rsidR="00681961" w:rsidRPr="00EE3572">
        <w:rPr>
          <w:rFonts w:asciiTheme="minorHAnsi" w:eastAsia="Times New Roman" w:hAnsiTheme="minorHAnsi" w:cstheme="minorHAnsi"/>
        </w:rPr>
        <w:t xml:space="preserve"> (2020) 55 Cal.App.5th 449, </w:t>
      </w:r>
      <w:r w:rsidR="00681961">
        <w:rPr>
          <w:rFonts w:asciiTheme="minorHAnsi" w:eastAsia="Times New Roman" w:hAnsiTheme="minorHAnsi" w:cstheme="minorHAnsi"/>
        </w:rPr>
        <w:t>455</w:t>
      </w:r>
      <w:r w:rsidR="00681961" w:rsidRPr="00EE3572">
        <w:rPr>
          <w:rFonts w:asciiTheme="minorHAnsi" w:eastAsia="Times New Roman" w:hAnsiTheme="minorHAnsi" w:cstheme="minorHAnsi"/>
        </w:rPr>
        <w:t xml:space="preserve"> (</w:t>
      </w:r>
      <w:r w:rsidR="00681961" w:rsidRPr="00EE3572">
        <w:rPr>
          <w:rFonts w:asciiTheme="minorHAnsi" w:eastAsia="Times New Roman" w:hAnsiTheme="minorHAnsi" w:cstheme="minorHAnsi"/>
          <w:i/>
          <w:iCs/>
        </w:rPr>
        <w:t>Allison</w:t>
      </w:r>
      <w:r w:rsidR="00681961" w:rsidRPr="00EE3572">
        <w:rPr>
          <w:rFonts w:asciiTheme="minorHAnsi" w:eastAsia="Times New Roman" w:hAnsiTheme="minorHAnsi" w:cstheme="minorHAnsi"/>
        </w:rPr>
        <w:t>)</w:t>
      </w:r>
      <w:bookmarkEnd w:id="22"/>
      <w:r w:rsidRPr="00C45446">
        <w:rPr>
          <w:rFonts w:asciiTheme="minorHAnsi" w:eastAsia="Times New Roman" w:hAnsiTheme="minorHAnsi" w:cstheme="minorHAnsi"/>
          <w:color w:val="000000"/>
        </w:rPr>
        <w:t xml:space="preserve">.)  A person is entitled to relief under </w:t>
      </w:r>
      <w:bookmarkStart w:id="23" w:name="dabmci_bf8e14058c254e43919321904f1c8250"/>
      <w:r w:rsidRPr="00C45446">
        <w:rPr>
          <w:rFonts w:asciiTheme="minorHAnsi" w:eastAsia="Times New Roman" w:hAnsiTheme="minorHAnsi" w:cstheme="minorHAnsi"/>
          <w:shd w:val="clear" w:color="auto" w:fill="FFFFFF"/>
        </w:rPr>
        <w:t>s</w:t>
      </w:r>
      <w:r w:rsidRPr="00C45446">
        <w:rPr>
          <w:rFonts w:asciiTheme="minorHAnsi" w:eastAsia="Times New Roman" w:hAnsiTheme="minorHAnsi" w:cstheme="minorHAnsi"/>
        </w:rPr>
        <w:t>ection 1170.95</w:t>
      </w:r>
      <w:bookmarkEnd w:id="23"/>
      <w:r w:rsidRPr="00C45446">
        <w:rPr>
          <w:rFonts w:asciiTheme="minorHAnsi" w:eastAsia="Times New Roman" w:hAnsiTheme="minorHAnsi" w:cstheme="minorHAnsi"/>
        </w:rPr>
        <w:t xml:space="preserve"> only if certain conditions are met, including that he or she “</w:t>
      </w:r>
      <w:r w:rsidRPr="00C45446">
        <w:rPr>
          <w:rFonts w:asciiTheme="minorHAnsi" w:eastAsia="Times New Roman" w:hAnsiTheme="minorHAnsi" w:cstheme="minorHAnsi"/>
          <w:color w:val="000000"/>
          <w:shd w:val="clear" w:color="auto" w:fill="FFFFFF"/>
        </w:rPr>
        <w:t xml:space="preserve">could not be convicted of first or second degree murder because of changes to </w:t>
      </w:r>
      <w:bookmarkStart w:id="24" w:name="dabmci_33f708c50bfb41cf82c426f99778a7c8"/>
      <w:r w:rsidR="00DB268C">
        <w:rPr>
          <w:rFonts w:asciiTheme="minorHAnsi" w:eastAsia="Times New Roman" w:hAnsiTheme="minorHAnsi" w:cstheme="minorHAnsi"/>
          <w:color w:val="000000"/>
          <w:shd w:val="clear" w:color="auto" w:fill="FFFFFF"/>
        </w:rPr>
        <w:t>[s]</w:t>
      </w:r>
      <w:r w:rsidRPr="00C45446">
        <w:rPr>
          <w:rFonts w:asciiTheme="minorHAnsi" w:eastAsia="Times New Roman" w:hAnsiTheme="minorHAnsi" w:cstheme="minorHAnsi"/>
          <w:color w:val="000000"/>
          <w:shd w:val="clear" w:color="auto" w:fill="FFFFFF"/>
        </w:rPr>
        <w:t>ection 188 or 189</w:t>
      </w:r>
      <w:bookmarkEnd w:id="24"/>
      <w:r w:rsidRPr="00C45446">
        <w:rPr>
          <w:rFonts w:asciiTheme="minorHAnsi" w:eastAsia="Times New Roman" w:hAnsiTheme="minorHAnsi" w:cstheme="minorHAnsi"/>
          <w:color w:val="000000"/>
          <w:shd w:val="clear" w:color="auto" w:fill="FFFFFF"/>
        </w:rPr>
        <w:t xml:space="preserve"> made effective January 1, 2019.”  (</w:t>
      </w:r>
      <w:bookmarkStart w:id="25" w:name="dabmci_b9c57262eb9b4d5d8be9fb8e0b996fa3"/>
      <w:r w:rsidRPr="00C45446">
        <w:rPr>
          <w:rFonts w:asciiTheme="minorHAnsi" w:eastAsia="Times New Roman" w:hAnsiTheme="minorHAnsi" w:cstheme="minorHAnsi"/>
          <w:color w:val="000000"/>
          <w:shd w:val="clear" w:color="auto" w:fill="FFFFFF"/>
        </w:rPr>
        <w:t>§ 1170.95, subd. (a)(3)</w:t>
      </w:r>
      <w:bookmarkEnd w:id="25"/>
      <w:r w:rsidRPr="00C45446">
        <w:rPr>
          <w:rFonts w:asciiTheme="minorHAnsi" w:eastAsia="Times New Roman" w:hAnsiTheme="minorHAnsi" w:cstheme="minorHAnsi"/>
          <w:color w:val="000000"/>
          <w:shd w:val="clear" w:color="auto" w:fill="FFFFFF"/>
        </w:rPr>
        <w:t>.)</w:t>
      </w:r>
    </w:p>
    <w:p w14:paraId="2D381AC5" w14:textId="36322609" w:rsidR="004E04F6" w:rsidRPr="004E04F6" w:rsidRDefault="00024CFE" w:rsidP="005159F9">
      <w:pPr>
        <w:keepNext/>
        <w:autoSpaceDE w:val="0"/>
        <w:autoSpaceDN w:val="0"/>
        <w:adjustRightInd w:val="0"/>
        <w:spacing w:before="240" w:line="240" w:lineRule="auto"/>
        <w:rPr>
          <w:bCs/>
          <w:i/>
          <w:shd w:val="clear" w:color="auto" w:fill="FFFFFF"/>
        </w:rPr>
      </w:pPr>
      <w:r w:rsidRPr="004E04F6">
        <w:rPr>
          <w:bCs/>
          <w:i/>
          <w:shd w:val="clear" w:color="auto" w:fill="FFFFFF"/>
        </w:rPr>
        <w:tab/>
      </w:r>
      <w:r w:rsidRPr="004E04F6">
        <w:rPr>
          <w:bCs/>
          <w:i/>
          <w:shd w:val="clear" w:color="auto" w:fill="FFFFFF"/>
        </w:rPr>
        <w:tab/>
      </w:r>
      <w:r>
        <w:rPr>
          <w:bCs/>
          <w:i/>
          <w:shd w:val="clear" w:color="auto" w:fill="FFFFFF"/>
        </w:rPr>
        <w:t>2</w:t>
      </w:r>
      <w:r w:rsidRPr="004E04F6">
        <w:rPr>
          <w:bCs/>
          <w:i/>
          <w:shd w:val="clear" w:color="auto" w:fill="FFFFFF"/>
        </w:rPr>
        <w:t>.</w:t>
      </w:r>
      <w:r w:rsidRPr="004E04F6">
        <w:rPr>
          <w:bCs/>
          <w:i/>
          <w:shd w:val="clear" w:color="auto" w:fill="FFFFFF"/>
        </w:rPr>
        <w:tab/>
      </w:r>
      <w:r>
        <w:rPr>
          <w:rFonts w:asciiTheme="minorHAnsi" w:eastAsia="Times New Roman" w:hAnsiTheme="minorHAnsi" w:cstheme="minorHAnsi"/>
          <w:bCs/>
          <w:i/>
          <w:shd w:val="clear" w:color="auto" w:fill="FFFFFF"/>
        </w:rPr>
        <w:t xml:space="preserve">The </w:t>
      </w:r>
      <w:r w:rsidRPr="004E04F6">
        <w:rPr>
          <w:rFonts w:asciiTheme="minorHAnsi" w:eastAsia="Times New Roman" w:hAnsiTheme="minorHAnsi" w:cstheme="minorHAnsi"/>
          <w:i/>
          <w:iCs/>
          <w:shd w:val="clear" w:color="auto" w:fill="FFFFFF"/>
        </w:rPr>
        <w:t>Felony-Murder Special Circumstance</w:t>
      </w:r>
    </w:p>
    <w:p w14:paraId="3F29EEF2" w14:textId="6DFA12BE" w:rsidR="00237FC2" w:rsidRPr="001C6C61" w:rsidRDefault="00024CFE" w:rsidP="00237FC2">
      <w:pPr>
        <w:rPr>
          <w:rFonts w:asciiTheme="minorHAnsi" w:eastAsia="Times New Roman" w:hAnsiTheme="minorHAnsi" w:cstheme="minorHAnsi"/>
        </w:rPr>
      </w:pPr>
      <w:r w:rsidRPr="00EE3572">
        <w:rPr>
          <w:rFonts w:asciiTheme="minorHAnsi" w:eastAsia="Times New Roman" w:hAnsiTheme="minorHAnsi" w:cstheme="minorHAnsi"/>
        </w:rPr>
        <w:tab/>
        <w:t>Section 190.2 enumerates “</w:t>
      </w:r>
      <w:r w:rsidRPr="00EE3572">
        <w:rPr>
          <w:rFonts w:asciiTheme="minorHAnsi" w:hAnsiTheme="minorHAnsi" w:cstheme="minorHAnsi"/>
          <w:shd w:val="clear" w:color="auto" w:fill="FFFFFF"/>
        </w:rPr>
        <w:t xml:space="preserve">special circumstances” that, if found true, make a defendant convicted of first degree murder punishable by death or </w:t>
      </w:r>
      <w:r w:rsidRPr="00237FC2">
        <w:rPr>
          <w:rFonts w:asciiTheme="minorHAnsi" w:eastAsia="Times New Roman" w:hAnsiTheme="minorHAnsi" w:cstheme="minorHAnsi"/>
          <w:shd w:val="clear" w:color="auto" w:fill="FFFFFF"/>
        </w:rPr>
        <w:t xml:space="preserve">life imprisonment without the possibility of parole. </w:t>
      </w:r>
      <w:r w:rsidRPr="00EE3572">
        <w:rPr>
          <w:rFonts w:asciiTheme="minorHAnsi" w:eastAsia="Times New Roman" w:hAnsiTheme="minorHAnsi" w:cstheme="minorHAnsi"/>
          <w:shd w:val="clear" w:color="auto" w:fill="FFFFFF"/>
        </w:rPr>
        <w:t xml:space="preserve"> One such special circumstance is the felony-murder special circumstance.  </w:t>
      </w:r>
      <w:r w:rsidR="009471AC" w:rsidRPr="00EE3572">
        <w:rPr>
          <w:rFonts w:asciiTheme="minorHAnsi" w:eastAsia="Times New Roman" w:hAnsiTheme="minorHAnsi" w:cstheme="minorHAnsi"/>
        </w:rPr>
        <w:t>The</w:t>
      </w:r>
      <w:r w:rsidR="009471AC" w:rsidRPr="00EE3572">
        <w:rPr>
          <w:rFonts w:asciiTheme="minorHAnsi" w:eastAsia="Times New Roman" w:hAnsiTheme="minorHAnsi" w:cstheme="minorHAnsi"/>
          <w:shd w:val="clear" w:color="auto" w:fill="FFFFFF"/>
        </w:rPr>
        <w:t xml:space="preserve"> requirements of the felony-murder special circumstance mirror the post-</w:t>
      </w:r>
      <w:bookmarkStart w:id="26" w:name="dabmci_27623752e29145af81995799ceaa8819"/>
      <w:r w:rsidR="009471AC" w:rsidRPr="00EE3572">
        <w:rPr>
          <w:rFonts w:asciiTheme="minorHAnsi" w:eastAsia="Times New Roman" w:hAnsiTheme="minorHAnsi" w:cstheme="minorHAnsi"/>
          <w:shd w:val="clear" w:color="auto" w:fill="FFFFFF"/>
        </w:rPr>
        <w:t>Senate Bill 1437</w:t>
      </w:r>
      <w:bookmarkEnd w:id="26"/>
      <w:r w:rsidR="009471AC" w:rsidRPr="00EE3572">
        <w:rPr>
          <w:rFonts w:asciiTheme="minorHAnsi" w:eastAsia="Times New Roman" w:hAnsiTheme="minorHAnsi" w:cstheme="minorHAnsi"/>
          <w:shd w:val="clear" w:color="auto" w:fill="FFFFFF"/>
        </w:rPr>
        <w:t xml:space="preserve"> requirements of felony</w:t>
      </w:r>
      <w:r w:rsidR="002335A7">
        <w:rPr>
          <w:rFonts w:asciiTheme="minorHAnsi" w:eastAsia="Times New Roman" w:hAnsiTheme="minorHAnsi" w:cstheme="minorHAnsi"/>
          <w:shd w:val="clear" w:color="auto" w:fill="FFFFFF"/>
        </w:rPr>
        <w:t xml:space="preserve"> </w:t>
      </w:r>
      <w:r w:rsidR="009471AC" w:rsidRPr="00EE3572">
        <w:rPr>
          <w:rFonts w:asciiTheme="minorHAnsi" w:eastAsia="Times New Roman" w:hAnsiTheme="minorHAnsi" w:cstheme="minorHAnsi"/>
          <w:shd w:val="clear" w:color="auto" w:fill="FFFFFF"/>
        </w:rPr>
        <w:t>murder.  (</w:t>
      </w:r>
      <w:bookmarkStart w:id="27" w:name="dabmci_9def8dadd4be490492116ce2f23fa5f8"/>
      <w:r w:rsidR="009471AC" w:rsidRPr="00EE3572">
        <w:rPr>
          <w:rFonts w:asciiTheme="minorHAnsi" w:eastAsia="Times New Roman" w:hAnsiTheme="minorHAnsi" w:cstheme="minorHAnsi"/>
          <w:i/>
          <w:iCs/>
          <w:bdr w:val="none" w:sz="0" w:space="0" w:color="auto" w:frame="1"/>
        </w:rPr>
        <w:t>Allison</w:t>
      </w:r>
      <w:r w:rsidR="00681961">
        <w:rPr>
          <w:rFonts w:asciiTheme="minorHAnsi" w:eastAsia="Times New Roman" w:hAnsiTheme="minorHAnsi" w:cstheme="minorHAnsi"/>
        </w:rPr>
        <w:t xml:space="preserve">, </w:t>
      </w:r>
      <w:r w:rsidR="00681961" w:rsidRPr="00681961">
        <w:rPr>
          <w:rFonts w:asciiTheme="minorHAnsi" w:eastAsia="Times New Roman" w:hAnsiTheme="minorHAnsi" w:cstheme="minorHAnsi"/>
          <w:i/>
          <w:iCs/>
        </w:rPr>
        <w:t>supra</w:t>
      </w:r>
      <w:r w:rsidR="00681961">
        <w:rPr>
          <w:rFonts w:asciiTheme="minorHAnsi" w:eastAsia="Times New Roman" w:hAnsiTheme="minorHAnsi" w:cstheme="minorHAnsi"/>
        </w:rPr>
        <w:t>,</w:t>
      </w:r>
      <w:r w:rsidR="009471AC" w:rsidRPr="00EE3572">
        <w:rPr>
          <w:rFonts w:asciiTheme="minorHAnsi" w:eastAsia="Times New Roman" w:hAnsiTheme="minorHAnsi" w:cstheme="minorHAnsi"/>
        </w:rPr>
        <w:t xml:space="preserve"> 55 Cal.App.5th </w:t>
      </w:r>
      <w:r w:rsidR="00681961">
        <w:rPr>
          <w:rFonts w:asciiTheme="minorHAnsi" w:eastAsia="Times New Roman" w:hAnsiTheme="minorHAnsi" w:cstheme="minorHAnsi"/>
        </w:rPr>
        <w:t>at p. </w:t>
      </w:r>
      <w:r w:rsidR="009471AC" w:rsidRPr="00EE3572">
        <w:rPr>
          <w:rFonts w:asciiTheme="minorHAnsi" w:eastAsia="Times New Roman" w:hAnsiTheme="minorHAnsi" w:cstheme="minorHAnsi"/>
        </w:rPr>
        <w:t>457</w:t>
      </w:r>
      <w:bookmarkEnd w:id="27"/>
      <w:r w:rsidR="009471AC" w:rsidRPr="00EE3572">
        <w:rPr>
          <w:rFonts w:asciiTheme="minorHAnsi" w:eastAsia="Times New Roman" w:hAnsiTheme="minorHAnsi" w:cstheme="minorHAnsi"/>
        </w:rPr>
        <w:t xml:space="preserve"> (citing</w:t>
      </w:r>
      <w:r w:rsidR="009471AC" w:rsidRPr="00EE3572">
        <w:rPr>
          <w:rFonts w:asciiTheme="minorHAnsi" w:eastAsia="Times New Roman" w:hAnsiTheme="minorHAnsi" w:cstheme="minorHAnsi"/>
          <w:shd w:val="clear" w:color="auto" w:fill="FFFFFF"/>
        </w:rPr>
        <w:t xml:space="preserve"> § 190.2, subds. (b)-(d); Prop. 196, as approved by voters, Gen. Elec. (Mar. 26, 1996) [amending § 190.2].) </w:t>
      </w:r>
      <w:r w:rsidR="00EE3572" w:rsidRPr="00EE3572">
        <w:rPr>
          <w:rFonts w:asciiTheme="minorHAnsi" w:eastAsia="Times New Roman" w:hAnsiTheme="minorHAnsi" w:cstheme="minorHAnsi"/>
          <w:shd w:val="clear" w:color="auto" w:fill="FFFFFF"/>
        </w:rPr>
        <w:t xml:space="preserve"> </w:t>
      </w:r>
      <w:r w:rsidR="009471AC" w:rsidRPr="00EE3572">
        <w:rPr>
          <w:rFonts w:asciiTheme="minorHAnsi" w:eastAsia="Times New Roman" w:hAnsiTheme="minorHAnsi" w:cstheme="minorHAnsi"/>
          <w:shd w:val="clear" w:color="auto" w:fill="FFFFFF"/>
        </w:rPr>
        <w:t xml:space="preserve">That is, the felony-murder special </w:t>
      </w:r>
      <w:r w:rsidR="009471AC" w:rsidRPr="00EE3572">
        <w:rPr>
          <w:rFonts w:asciiTheme="minorHAnsi" w:eastAsia="Times New Roman" w:hAnsiTheme="minorHAnsi" w:cstheme="minorHAnsi"/>
          <w:shd w:val="clear" w:color="auto" w:fill="FFFFFF"/>
        </w:rPr>
        <w:lastRenderedPageBreak/>
        <w:t xml:space="preserve">circumstance </w:t>
      </w:r>
      <w:r w:rsidRPr="00EE3572">
        <w:rPr>
          <w:rFonts w:asciiTheme="minorHAnsi" w:eastAsia="Times New Roman" w:hAnsiTheme="minorHAnsi" w:cstheme="minorHAnsi"/>
          <w:shd w:val="clear" w:color="auto" w:fill="FFFFFF"/>
        </w:rPr>
        <w:t xml:space="preserve">applies where </w:t>
      </w:r>
      <w:r w:rsidR="009471AC" w:rsidRPr="00EE3572">
        <w:rPr>
          <w:rFonts w:asciiTheme="minorHAnsi" w:eastAsia="Times New Roman" w:hAnsiTheme="minorHAnsi" w:cstheme="minorHAnsi"/>
          <w:shd w:val="clear" w:color="auto" w:fill="FFFFFF"/>
        </w:rPr>
        <w:t>(1) the murder occurred during the commission of a specified felony</w:t>
      </w:r>
      <w:r w:rsidRPr="00EE3572">
        <w:rPr>
          <w:rFonts w:asciiTheme="minorHAnsi" w:eastAsia="Times New Roman" w:hAnsiTheme="minorHAnsi" w:cstheme="minorHAnsi"/>
          <w:shd w:val="clear" w:color="auto" w:fill="FFFFFF"/>
        </w:rPr>
        <w:t xml:space="preserve"> and </w:t>
      </w:r>
      <w:r w:rsidR="009471AC" w:rsidRPr="00EE3572">
        <w:rPr>
          <w:rFonts w:asciiTheme="minorHAnsi" w:eastAsia="Times New Roman" w:hAnsiTheme="minorHAnsi" w:cstheme="minorHAnsi"/>
          <w:shd w:val="clear" w:color="auto" w:fill="FFFFFF"/>
        </w:rPr>
        <w:t xml:space="preserve">(2) </w:t>
      </w:r>
      <w:r w:rsidRPr="00EE3572">
        <w:rPr>
          <w:rFonts w:asciiTheme="minorHAnsi" w:eastAsia="Times New Roman" w:hAnsiTheme="minorHAnsi" w:cstheme="minorHAnsi"/>
          <w:shd w:val="clear" w:color="auto" w:fill="FFFFFF"/>
        </w:rPr>
        <w:t>the defen</w:t>
      </w:r>
      <w:r w:rsidRPr="00EE3572">
        <w:rPr>
          <w:rFonts w:asciiTheme="minorHAnsi" w:eastAsia="Times New Roman" w:hAnsiTheme="minorHAnsi" w:cstheme="minorHAnsi"/>
          <w:shd w:val="clear" w:color="auto" w:fill="FFFFFF"/>
        </w:rPr>
        <w:t>dant was the actual killer</w:t>
      </w:r>
      <w:r w:rsidR="009471AC" w:rsidRPr="00EE3572">
        <w:rPr>
          <w:rFonts w:asciiTheme="minorHAnsi" w:eastAsia="Times New Roman" w:hAnsiTheme="minorHAnsi" w:cstheme="minorHAnsi"/>
          <w:shd w:val="clear" w:color="auto" w:fill="FFFFFF"/>
        </w:rPr>
        <w:t>;</w:t>
      </w:r>
      <w:r w:rsidRPr="00EE3572">
        <w:rPr>
          <w:rFonts w:asciiTheme="minorHAnsi" w:eastAsia="Times New Roman" w:hAnsiTheme="minorHAnsi" w:cstheme="minorHAnsi"/>
          <w:shd w:val="clear" w:color="auto" w:fill="FFFFFF"/>
        </w:rPr>
        <w:t xml:space="preserve"> </w:t>
      </w:r>
      <w:r w:rsidRPr="00237FC2">
        <w:rPr>
          <w:rFonts w:asciiTheme="minorHAnsi" w:eastAsia="Times New Roman" w:hAnsiTheme="minorHAnsi" w:cstheme="minorHAnsi"/>
        </w:rPr>
        <w:t xml:space="preserve">with the intent to kill, </w:t>
      </w:r>
      <w:bookmarkStart w:id="28" w:name="_Hlk72140140"/>
      <w:r w:rsidRPr="00237FC2">
        <w:rPr>
          <w:rFonts w:asciiTheme="minorHAnsi" w:eastAsia="Times New Roman" w:hAnsiTheme="minorHAnsi" w:cstheme="minorHAnsi"/>
        </w:rPr>
        <w:t>aid</w:t>
      </w:r>
      <w:r w:rsidR="009471AC" w:rsidRPr="00EE3572">
        <w:rPr>
          <w:rFonts w:asciiTheme="minorHAnsi" w:eastAsia="Times New Roman" w:hAnsiTheme="minorHAnsi" w:cstheme="minorHAnsi"/>
        </w:rPr>
        <w:t>ed</w:t>
      </w:r>
      <w:r w:rsidRPr="00237FC2">
        <w:rPr>
          <w:rFonts w:asciiTheme="minorHAnsi" w:eastAsia="Times New Roman" w:hAnsiTheme="minorHAnsi" w:cstheme="minorHAnsi"/>
        </w:rPr>
        <w:t>, abet</w:t>
      </w:r>
      <w:r w:rsidR="009471AC" w:rsidRPr="00EE3572">
        <w:rPr>
          <w:rFonts w:asciiTheme="minorHAnsi" w:eastAsia="Times New Roman" w:hAnsiTheme="minorHAnsi" w:cstheme="minorHAnsi"/>
        </w:rPr>
        <w:t>ted</w:t>
      </w:r>
      <w:r w:rsidRPr="00237FC2">
        <w:rPr>
          <w:rFonts w:asciiTheme="minorHAnsi" w:eastAsia="Times New Roman" w:hAnsiTheme="minorHAnsi" w:cstheme="minorHAnsi"/>
        </w:rPr>
        <w:t>, counsel</w:t>
      </w:r>
      <w:r w:rsidR="009471AC" w:rsidRPr="00EE3572">
        <w:rPr>
          <w:rFonts w:asciiTheme="minorHAnsi" w:eastAsia="Times New Roman" w:hAnsiTheme="minorHAnsi" w:cstheme="minorHAnsi"/>
        </w:rPr>
        <w:t>ed</w:t>
      </w:r>
      <w:r w:rsidRPr="00237FC2">
        <w:rPr>
          <w:rFonts w:asciiTheme="minorHAnsi" w:eastAsia="Times New Roman" w:hAnsiTheme="minorHAnsi" w:cstheme="minorHAnsi"/>
        </w:rPr>
        <w:t>, command</w:t>
      </w:r>
      <w:r w:rsidR="009471AC" w:rsidRPr="00EE3572">
        <w:rPr>
          <w:rFonts w:asciiTheme="minorHAnsi" w:eastAsia="Times New Roman" w:hAnsiTheme="minorHAnsi" w:cstheme="minorHAnsi"/>
        </w:rPr>
        <w:t>ed</w:t>
      </w:r>
      <w:r w:rsidRPr="00237FC2">
        <w:rPr>
          <w:rFonts w:asciiTheme="minorHAnsi" w:eastAsia="Times New Roman" w:hAnsiTheme="minorHAnsi" w:cstheme="minorHAnsi"/>
        </w:rPr>
        <w:t>, induce</w:t>
      </w:r>
      <w:r w:rsidR="009471AC" w:rsidRPr="00EE3572">
        <w:rPr>
          <w:rFonts w:asciiTheme="minorHAnsi" w:eastAsia="Times New Roman" w:hAnsiTheme="minorHAnsi" w:cstheme="minorHAnsi"/>
        </w:rPr>
        <w:t>d</w:t>
      </w:r>
      <w:r w:rsidRPr="00237FC2">
        <w:rPr>
          <w:rFonts w:asciiTheme="minorHAnsi" w:eastAsia="Times New Roman" w:hAnsiTheme="minorHAnsi" w:cstheme="minorHAnsi"/>
        </w:rPr>
        <w:t>, solicit</w:t>
      </w:r>
      <w:r w:rsidR="009471AC" w:rsidRPr="00EE3572">
        <w:rPr>
          <w:rFonts w:asciiTheme="minorHAnsi" w:eastAsia="Times New Roman" w:hAnsiTheme="minorHAnsi" w:cstheme="minorHAnsi"/>
        </w:rPr>
        <w:t>ed</w:t>
      </w:r>
      <w:r w:rsidRPr="00237FC2">
        <w:rPr>
          <w:rFonts w:asciiTheme="minorHAnsi" w:eastAsia="Times New Roman" w:hAnsiTheme="minorHAnsi" w:cstheme="minorHAnsi"/>
        </w:rPr>
        <w:t>, request</w:t>
      </w:r>
      <w:r w:rsidR="009471AC" w:rsidRPr="00EE3572">
        <w:rPr>
          <w:rFonts w:asciiTheme="minorHAnsi" w:eastAsia="Times New Roman" w:hAnsiTheme="minorHAnsi" w:cstheme="minorHAnsi"/>
        </w:rPr>
        <w:t>ed</w:t>
      </w:r>
      <w:r w:rsidRPr="00237FC2">
        <w:rPr>
          <w:rFonts w:asciiTheme="minorHAnsi" w:eastAsia="Times New Roman" w:hAnsiTheme="minorHAnsi" w:cstheme="minorHAnsi"/>
        </w:rPr>
        <w:t>, or assist</w:t>
      </w:r>
      <w:r w:rsidR="009471AC" w:rsidRPr="00EE3572">
        <w:rPr>
          <w:rFonts w:asciiTheme="minorHAnsi" w:eastAsia="Times New Roman" w:hAnsiTheme="minorHAnsi" w:cstheme="minorHAnsi"/>
        </w:rPr>
        <w:t xml:space="preserve">ed </w:t>
      </w:r>
      <w:bookmarkEnd w:id="28"/>
      <w:r w:rsidRPr="00237FC2">
        <w:rPr>
          <w:rFonts w:asciiTheme="minorHAnsi" w:eastAsia="Times New Roman" w:hAnsiTheme="minorHAnsi" w:cstheme="minorHAnsi"/>
        </w:rPr>
        <w:t>in the commission of</w:t>
      </w:r>
      <w:r w:rsidR="009471AC" w:rsidRPr="00EE3572">
        <w:rPr>
          <w:rFonts w:asciiTheme="minorHAnsi" w:eastAsia="Times New Roman" w:hAnsiTheme="minorHAnsi" w:cstheme="minorHAnsi"/>
        </w:rPr>
        <w:t xml:space="preserve"> the</w:t>
      </w:r>
      <w:r w:rsidRPr="00237FC2">
        <w:rPr>
          <w:rFonts w:asciiTheme="minorHAnsi" w:eastAsia="Times New Roman" w:hAnsiTheme="minorHAnsi" w:cstheme="minorHAnsi"/>
        </w:rPr>
        <w:t xml:space="preserve"> murder</w:t>
      </w:r>
      <w:r w:rsidR="009471AC" w:rsidRPr="00EE3572">
        <w:rPr>
          <w:rFonts w:asciiTheme="minorHAnsi" w:eastAsia="Times New Roman" w:hAnsiTheme="minorHAnsi" w:cstheme="minorHAnsi"/>
        </w:rPr>
        <w:t xml:space="preserve">; or </w:t>
      </w:r>
      <w:r w:rsidRPr="00237FC2">
        <w:rPr>
          <w:rFonts w:asciiTheme="minorHAnsi" w:eastAsia="Times New Roman" w:hAnsiTheme="minorHAnsi" w:cstheme="minorHAnsi"/>
        </w:rPr>
        <w:t xml:space="preserve">with reckless indifference to human life and as a major participant, </w:t>
      </w:r>
      <w:r w:rsidR="00EE3572" w:rsidRPr="00237FC2">
        <w:rPr>
          <w:rFonts w:asciiTheme="minorHAnsi" w:eastAsia="Times New Roman" w:hAnsiTheme="minorHAnsi" w:cstheme="minorHAnsi"/>
        </w:rPr>
        <w:t>aid</w:t>
      </w:r>
      <w:r w:rsidR="00EE3572" w:rsidRPr="00EE3572">
        <w:rPr>
          <w:rFonts w:asciiTheme="minorHAnsi" w:eastAsia="Times New Roman" w:hAnsiTheme="minorHAnsi" w:cstheme="minorHAnsi"/>
        </w:rPr>
        <w:t>ed</w:t>
      </w:r>
      <w:r w:rsidR="00EE3572" w:rsidRPr="00237FC2">
        <w:rPr>
          <w:rFonts w:asciiTheme="minorHAnsi" w:eastAsia="Times New Roman" w:hAnsiTheme="minorHAnsi" w:cstheme="minorHAnsi"/>
        </w:rPr>
        <w:t>, abet</w:t>
      </w:r>
      <w:r w:rsidR="00EE3572" w:rsidRPr="00EE3572">
        <w:rPr>
          <w:rFonts w:asciiTheme="minorHAnsi" w:eastAsia="Times New Roman" w:hAnsiTheme="minorHAnsi" w:cstheme="minorHAnsi"/>
        </w:rPr>
        <w:t>ted</w:t>
      </w:r>
      <w:r w:rsidR="00EE3572" w:rsidRPr="00237FC2">
        <w:rPr>
          <w:rFonts w:asciiTheme="minorHAnsi" w:eastAsia="Times New Roman" w:hAnsiTheme="minorHAnsi" w:cstheme="minorHAnsi"/>
        </w:rPr>
        <w:t>, counsel</w:t>
      </w:r>
      <w:r w:rsidR="00EE3572" w:rsidRPr="00EE3572">
        <w:rPr>
          <w:rFonts w:asciiTheme="minorHAnsi" w:eastAsia="Times New Roman" w:hAnsiTheme="minorHAnsi" w:cstheme="minorHAnsi"/>
        </w:rPr>
        <w:t>ed</w:t>
      </w:r>
      <w:r w:rsidR="00EE3572" w:rsidRPr="00237FC2">
        <w:rPr>
          <w:rFonts w:asciiTheme="minorHAnsi" w:eastAsia="Times New Roman" w:hAnsiTheme="minorHAnsi" w:cstheme="minorHAnsi"/>
        </w:rPr>
        <w:t>, command</w:t>
      </w:r>
      <w:r w:rsidR="00EE3572" w:rsidRPr="00EE3572">
        <w:rPr>
          <w:rFonts w:asciiTheme="minorHAnsi" w:eastAsia="Times New Roman" w:hAnsiTheme="minorHAnsi" w:cstheme="minorHAnsi"/>
        </w:rPr>
        <w:t>ed</w:t>
      </w:r>
      <w:r w:rsidR="00EE3572" w:rsidRPr="00237FC2">
        <w:rPr>
          <w:rFonts w:asciiTheme="minorHAnsi" w:eastAsia="Times New Roman" w:hAnsiTheme="minorHAnsi" w:cstheme="minorHAnsi"/>
        </w:rPr>
        <w:t>, induce</w:t>
      </w:r>
      <w:r w:rsidR="00EE3572" w:rsidRPr="00EE3572">
        <w:rPr>
          <w:rFonts w:asciiTheme="minorHAnsi" w:eastAsia="Times New Roman" w:hAnsiTheme="minorHAnsi" w:cstheme="minorHAnsi"/>
        </w:rPr>
        <w:t>d</w:t>
      </w:r>
      <w:r w:rsidR="00EE3572" w:rsidRPr="00237FC2">
        <w:rPr>
          <w:rFonts w:asciiTheme="minorHAnsi" w:eastAsia="Times New Roman" w:hAnsiTheme="minorHAnsi" w:cstheme="minorHAnsi"/>
        </w:rPr>
        <w:t>, solicit</w:t>
      </w:r>
      <w:r w:rsidR="00EE3572" w:rsidRPr="00EE3572">
        <w:rPr>
          <w:rFonts w:asciiTheme="minorHAnsi" w:eastAsia="Times New Roman" w:hAnsiTheme="minorHAnsi" w:cstheme="minorHAnsi"/>
        </w:rPr>
        <w:t>ed</w:t>
      </w:r>
      <w:r w:rsidR="00EE3572" w:rsidRPr="00237FC2">
        <w:rPr>
          <w:rFonts w:asciiTheme="minorHAnsi" w:eastAsia="Times New Roman" w:hAnsiTheme="minorHAnsi" w:cstheme="minorHAnsi"/>
        </w:rPr>
        <w:t>, request</w:t>
      </w:r>
      <w:r w:rsidR="00EE3572" w:rsidRPr="00EE3572">
        <w:rPr>
          <w:rFonts w:asciiTheme="minorHAnsi" w:eastAsia="Times New Roman" w:hAnsiTheme="minorHAnsi" w:cstheme="minorHAnsi"/>
        </w:rPr>
        <w:t>ed</w:t>
      </w:r>
      <w:r w:rsidR="00EE3572" w:rsidRPr="00237FC2">
        <w:rPr>
          <w:rFonts w:asciiTheme="minorHAnsi" w:eastAsia="Times New Roman" w:hAnsiTheme="minorHAnsi" w:cstheme="minorHAnsi"/>
        </w:rPr>
        <w:t>, or assist</w:t>
      </w:r>
      <w:r w:rsidR="00EE3572" w:rsidRPr="00EE3572">
        <w:rPr>
          <w:rFonts w:asciiTheme="minorHAnsi" w:eastAsia="Times New Roman" w:hAnsiTheme="minorHAnsi" w:cstheme="minorHAnsi"/>
        </w:rPr>
        <w:t xml:space="preserve">ed </w:t>
      </w:r>
      <w:r w:rsidRPr="00237FC2">
        <w:rPr>
          <w:rFonts w:asciiTheme="minorHAnsi" w:eastAsia="Times New Roman" w:hAnsiTheme="minorHAnsi" w:cstheme="minorHAnsi"/>
        </w:rPr>
        <w:t xml:space="preserve">in the commission of </w:t>
      </w:r>
      <w:r w:rsidR="00EE3572" w:rsidRPr="00EE3572">
        <w:rPr>
          <w:rFonts w:asciiTheme="minorHAnsi" w:eastAsia="Times New Roman" w:hAnsiTheme="minorHAnsi" w:cstheme="minorHAnsi"/>
        </w:rPr>
        <w:t xml:space="preserve">the </w:t>
      </w:r>
      <w:r w:rsidRPr="00237FC2">
        <w:rPr>
          <w:rFonts w:asciiTheme="minorHAnsi" w:eastAsia="Times New Roman" w:hAnsiTheme="minorHAnsi" w:cstheme="minorHAnsi"/>
        </w:rPr>
        <w:t>felony</w:t>
      </w:r>
      <w:r w:rsidR="00EE3572" w:rsidRPr="00EE3572">
        <w:rPr>
          <w:rFonts w:asciiTheme="minorHAnsi" w:eastAsia="Times New Roman" w:hAnsiTheme="minorHAnsi" w:cstheme="minorHAnsi"/>
        </w:rPr>
        <w:t>.  (</w:t>
      </w:r>
      <w:r w:rsidRPr="00237FC2">
        <w:rPr>
          <w:rFonts w:asciiTheme="minorHAnsi" w:eastAsia="Times New Roman" w:hAnsiTheme="minorHAnsi" w:cstheme="minorHAnsi"/>
        </w:rPr>
        <w:t>§ 190.2</w:t>
      </w:r>
      <w:r w:rsidRPr="00EE3572">
        <w:rPr>
          <w:rFonts w:asciiTheme="minorHAnsi" w:eastAsia="Times New Roman" w:hAnsiTheme="minorHAnsi" w:cstheme="minorHAnsi"/>
        </w:rPr>
        <w:t xml:space="preserve">, subds. (a)(17), </w:t>
      </w:r>
      <w:r w:rsidR="00EE3572" w:rsidRPr="00EE3572">
        <w:rPr>
          <w:rFonts w:asciiTheme="minorHAnsi" w:eastAsia="Times New Roman" w:hAnsiTheme="minorHAnsi" w:cstheme="minorHAnsi"/>
        </w:rPr>
        <w:t>(c), (d).)</w:t>
      </w:r>
    </w:p>
    <w:p w14:paraId="12CFBB6D" w14:textId="7967047D" w:rsidR="001C6C61" w:rsidRPr="001C6C61" w:rsidRDefault="00024CFE" w:rsidP="005159F9">
      <w:pPr>
        <w:keepNext/>
        <w:autoSpaceDE w:val="0"/>
        <w:autoSpaceDN w:val="0"/>
        <w:adjustRightInd w:val="0"/>
        <w:spacing w:before="240" w:line="240" w:lineRule="auto"/>
        <w:rPr>
          <w:bCs/>
          <w:i/>
          <w:iCs/>
          <w:shd w:val="clear" w:color="auto" w:fill="FFFFFF"/>
        </w:rPr>
      </w:pPr>
      <w:r w:rsidRPr="004E04F6">
        <w:rPr>
          <w:bCs/>
          <w:i/>
          <w:shd w:val="clear" w:color="auto" w:fill="FFFFFF"/>
        </w:rPr>
        <w:tab/>
      </w:r>
      <w:r w:rsidRPr="004E04F6">
        <w:rPr>
          <w:bCs/>
          <w:i/>
          <w:shd w:val="clear" w:color="auto" w:fill="FFFFFF"/>
        </w:rPr>
        <w:tab/>
      </w:r>
      <w:r>
        <w:rPr>
          <w:bCs/>
          <w:i/>
          <w:shd w:val="clear" w:color="auto" w:fill="FFFFFF"/>
        </w:rPr>
        <w:t>3</w:t>
      </w:r>
      <w:r w:rsidRPr="004E04F6">
        <w:rPr>
          <w:bCs/>
          <w:i/>
          <w:shd w:val="clear" w:color="auto" w:fill="FFFFFF"/>
        </w:rPr>
        <w:t>.</w:t>
      </w:r>
      <w:r w:rsidRPr="004E04F6">
        <w:rPr>
          <w:bCs/>
          <w:i/>
          <w:shd w:val="clear" w:color="auto" w:fill="FFFFFF"/>
        </w:rPr>
        <w:tab/>
      </w:r>
      <w:r w:rsidRPr="001C6C61">
        <w:rPr>
          <w:rFonts w:asciiTheme="minorHAnsi" w:eastAsia="Times New Roman" w:hAnsiTheme="minorHAnsi" w:cstheme="minorHAnsi"/>
          <w:bCs/>
          <w:iCs/>
          <w:shd w:val="clear" w:color="auto" w:fill="FFFFFF"/>
        </w:rPr>
        <w:t>Banks</w:t>
      </w:r>
      <w:r w:rsidRPr="00CE3170">
        <w:rPr>
          <w:rFonts w:asciiTheme="minorHAnsi" w:eastAsia="Times New Roman" w:hAnsiTheme="minorHAnsi" w:cstheme="minorHAnsi"/>
          <w:bCs/>
          <w:iCs/>
          <w:shd w:val="clear" w:color="auto" w:fill="FFFFFF"/>
        </w:rPr>
        <w:t>,</w:t>
      </w:r>
      <w:r>
        <w:rPr>
          <w:rFonts w:asciiTheme="minorHAnsi" w:eastAsia="Times New Roman" w:hAnsiTheme="minorHAnsi" w:cstheme="minorHAnsi"/>
          <w:bCs/>
          <w:i/>
          <w:shd w:val="clear" w:color="auto" w:fill="FFFFFF"/>
        </w:rPr>
        <w:t xml:space="preserve"> </w:t>
      </w:r>
      <w:r w:rsidRPr="001C6C61">
        <w:rPr>
          <w:rFonts w:asciiTheme="minorHAnsi" w:eastAsia="Times New Roman" w:hAnsiTheme="minorHAnsi" w:cstheme="minorHAnsi"/>
          <w:bCs/>
          <w:iCs/>
          <w:shd w:val="clear" w:color="auto" w:fill="FFFFFF"/>
        </w:rPr>
        <w:t>Clark</w:t>
      </w:r>
      <w:r w:rsidRPr="00CE3170">
        <w:rPr>
          <w:rFonts w:asciiTheme="minorHAnsi" w:eastAsia="Times New Roman" w:hAnsiTheme="minorHAnsi" w:cstheme="minorHAnsi"/>
          <w:bCs/>
          <w:iCs/>
          <w:shd w:val="clear" w:color="auto" w:fill="FFFFFF"/>
        </w:rPr>
        <w:t>,</w:t>
      </w:r>
      <w:r>
        <w:rPr>
          <w:rFonts w:asciiTheme="minorHAnsi" w:eastAsia="Times New Roman" w:hAnsiTheme="minorHAnsi" w:cstheme="minorHAnsi"/>
          <w:bCs/>
          <w:i/>
          <w:shd w:val="clear" w:color="auto" w:fill="FFFFFF"/>
        </w:rPr>
        <w:t xml:space="preserve"> and the Meaning</w:t>
      </w:r>
      <w:r w:rsidR="00813F1B">
        <w:rPr>
          <w:rFonts w:asciiTheme="minorHAnsi" w:eastAsia="Times New Roman" w:hAnsiTheme="minorHAnsi" w:cstheme="minorHAnsi"/>
          <w:bCs/>
          <w:i/>
          <w:shd w:val="clear" w:color="auto" w:fill="FFFFFF"/>
        </w:rPr>
        <w:t>s</w:t>
      </w:r>
      <w:r>
        <w:rPr>
          <w:rFonts w:asciiTheme="minorHAnsi" w:eastAsia="Times New Roman" w:hAnsiTheme="minorHAnsi" w:cstheme="minorHAnsi"/>
          <w:bCs/>
          <w:i/>
          <w:shd w:val="clear" w:color="auto" w:fill="FFFFFF"/>
        </w:rPr>
        <w:t xml:space="preserve"> of </w:t>
      </w:r>
      <w:r w:rsidRPr="00541918">
        <w:rPr>
          <w:rFonts w:asciiTheme="minorHAnsi" w:eastAsia="Times New Roman" w:hAnsiTheme="minorHAnsi" w:cstheme="minorHAnsi"/>
          <w:bCs/>
          <w:iCs/>
          <w:shd w:val="clear" w:color="auto" w:fill="FFFFFF"/>
        </w:rPr>
        <w:t>“</w:t>
      </w:r>
      <w:r w:rsidRPr="001C6C61">
        <w:rPr>
          <w:rFonts w:asciiTheme="minorHAnsi" w:eastAsia="Times New Roman" w:hAnsiTheme="minorHAnsi" w:cstheme="minorHAnsi"/>
          <w:i/>
          <w:iCs/>
        </w:rPr>
        <w:t xml:space="preserve">Reckless Indifference </w:t>
      </w:r>
      <w:r w:rsidR="004B1C2A" w:rsidRPr="001C6C61">
        <w:rPr>
          <w:rFonts w:asciiTheme="minorHAnsi" w:eastAsia="Times New Roman" w:hAnsiTheme="minorHAnsi" w:cstheme="minorHAnsi"/>
          <w:i/>
          <w:iCs/>
        </w:rPr>
        <w:t>to</w:t>
      </w:r>
      <w:r w:rsidRPr="001C6C61">
        <w:rPr>
          <w:rFonts w:asciiTheme="minorHAnsi" w:eastAsia="Times New Roman" w:hAnsiTheme="minorHAnsi" w:cstheme="minorHAnsi"/>
          <w:i/>
          <w:iCs/>
        </w:rPr>
        <w:t xml:space="preserve"> Human</w:t>
      </w:r>
      <w:r w:rsidR="005159F9">
        <w:rPr>
          <w:rFonts w:asciiTheme="minorHAnsi" w:eastAsia="Times New Roman" w:hAnsiTheme="minorHAnsi" w:cstheme="minorHAnsi"/>
          <w:i/>
          <w:iCs/>
        </w:rPr>
        <w:tab/>
      </w:r>
      <w:r w:rsidR="005159F9">
        <w:rPr>
          <w:rFonts w:asciiTheme="minorHAnsi" w:eastAsia="Times New Roman" w:hAnsiTheme="minorHAnsi" w:cstheme="minorHAnsi"/>
          <w:i/>
          <w:iCs/>
        </w:rPr>
        <w:tab/>
      </w:r>
      <w:r w:rsidR="005159F9">
        <w:rPr>
          <w:rFonts w:asciiTheme="minorHAnsi" w:eastAsia="Times New Roman" w:hAnsiTheme="minorHAnsi" w:cstheme="minorHAnsi"/>
          <w:i/>
          <w:iCs/>
        </w:rPr>
        <w:tab/>
      </w:r>
      <w:r w:rsidR="005159F9">
        <w:rPr>
          <w:rFonts w:asciiTheme="minorHAnsi" w:eastAsia="Times New Roman" w:hAnsiTheme="minorHAnsi" w:cstheme="minorHAnsi"/>
          <w:i/>
          <w:iCs/>
        </w:rPr>
        <w:tab/>
      </w:r>
      <w:r w:rsidRPr="001C6C61">
        <w:rPr>
          <w:rFonts w:asciiTheme="minorHAnsi" w:eastAsia="Times New Roman" w:hAnsiTheme="minorHAnsi" w:cstheme="minorHAnsi"/>
          <w:i/>
          <w:iCs/>
        </w:rPr>
        <w:t>Life</w:t>
      </w:r>
      <w:r w:rsidRPr="00541918">
        <w:rPr>
          <w:rFonts w:asciiTheme="minorHAnsi" w:eastAsia="Times New Roman" w:hAnsiTheme="minorHAnsi" w:cstheme="minorHAnsi"/>
          <w:iCs/>
        </w:rPr>
        <w:t>”</w:t>
      </w:r>
      <w:r w:rsidRPr="001C6C61">
        <w:rPr>
          <w:rFonts w:asciiTheme="minorHAnsi" w:eastAsia="Times New Roman" w:hAnsiTheme="minorHAnsi" w:cstheme="minorHAnsi"/>
          <w:i/>
          <w:iCs/>
        </w:rPr>
        <w:t xml:space="preserve"> </w:t>
      </w:r>
      <w:r w:rsidR="004B1C2A">
        <w:rPr>
          <w:rFonts w:asciiTheme="minorHAnsi" w:eastAsia="Times New Roman" w:hAnsiTheme="minorHAnsi" w:cstheme="minorHAnsi"/>
          <w:i/>
          <w:iCs/>
        </w:rPr>
        <w:t>a</w:t>
      </w:r>
      <w:r w:rsidRPr="001C6C61">
        <w:rPr>
          <w:rFonts w:asciiTheme="minorHAnsi" w:eastAsia="Times New Roman" w:hAnsiTheme="minorHAnsi" w:cstheme="minorHAnsi"/>
          <w:i/>
          <w:iCs/>
        </w:rPr>
        <w:t xml:space="preserve">nd </w:t>
      </w:r>
      <w:r w:rsidRPr="00541918">
        <w:rPr>
          <w:rFonts w:asciiTheme="minorHAnsi" w:eastAsia="Times New Roman" w:hAnsiTheme="minorHAnsi" w:cstheme="minorHAnsi"/>
          <w:iCs/>
        </w:rPr>
        <w:t>“</w:t>
      </w:r>
      <w:r w:rsidRPr="001C6C61">
        <w:rPr>
          <w:rFonts w:asciiTheme="minorHAnsi" w:eastAsia="Times New Roman" w:hAnsiTheme="minorHAnsi" w:cstheme="minorHAnsi"/>
          <w:i/>
          <w:iCs/>
        </w:rPr>
        <w:t>Major Participant</w:t>
      </w:r>
      <w:r w:rsidRPr="00541918">
        <w:rPr>
          <w:rFonts w:asciiTheme="minorHAnsi" w:eastAsia="Times New Roman" w:hAnsiTheme="minorHAnsi" w:cstheme="minorHAnsi"/>
          <w:bCs/>
          <w:iCs/>
          <w:bdr w:val="none" w:sz="0" w:space="0" w:color="auto" w:frame="1"/>
          <w:shd w:val="clear" w:color="auto" w:fill="FFFFFF"/>
        </w:rPr>
        <w:t>”</w:t>
      </w:r>
    </w:p>
    <w:p w14:paraId="1F14EC09" w14:textId="6550E3FB" w:rsidR="00AB7743" w:rsidRDefault="00024CFE" w:rsidP="001605D7">
      <w:pPr>
        <w:rPr>
          <w:rFonts w:asciiTheme="minorHAnsi" w:eastAsia="Times New Roman" w:hAnsiTheme="minorHAnsi" w:cstheme="minorHAnsi"/>
          <w:i/>
          <w:iCs/>
          <w:bdr w:val="none" w:sz="0" w:space="0" w:color="auto" w:frame="1"/>
        </w:rPr>
      </w:pPr>
      <w:r w:rsidRPr="001605D7">
        <w:rPr>
          <w:rFonts w:asciiTheme="minorHAnsi" w:eastAsia="Times New Roman" w:hAnsiTheme="minorHAnsi" w:cstheme="minorHAnsi"/>
        </w:rPr>
        <w:tab/>
        <w:t xml:space="preserve">In </w:t>
      </w:r>
      <w:bookmarkStart w:id="29" w:name="dabmci_b59698de375c45dea3b111e8a9fac52e"/>
      <w:r w:rsidRPr="001605D7">
        <w:rPr>
          <w:rFonts w:asciiTheme="minorHAnsi" w:eastAsia="Times New Roman" w:hAnsiTheme="minorHAnsi" w:cstheme="minorHAnsi"/>
          <w:i/>
          <w:iCs/>
        </w:rPr>
        <w:t>Banks</w:t>
      </w:r>
      <w:bookmarkEnd w:id="29"/>
      <w:r w:rsidRPr="001605D7">
        <w:rPr>
          <w:rFonts w:asciiTheme="minorHAnsi" w:eastAsia="Times New Roman" w:hAnsiTheme="minorHAnsi" w:cstheme="minorHAnsi"/>
        </w:rPr>
        <w:t xml:space="preserve"> and </w:t>
      </w:r>
      <w:r w:rsidRPr="001605D7">
        <w:rPr>
          <w:rFonts w:asciiTheme="minorHAnsi" w:eastAsia="Times New Roman" w:hAnsiTheme="minorHAnsi" w:cstheme="minorHAnsi"/>
          <w:i/>
          <w:iCs/>
        </w:rPr>
        <w:t>Clark</w:t>
      </w:r>
      <w:r w:rsidRPr="001605D7">
        <w:rPr>
          <w:rFonts w:asciiTheme="minorHAnsi" w:eastAsia="Times New Roman" w:hAnsiTheme="minorHAnsi" w:cstheme="minorHAnsi"/>
        </w:rPr>
        <w:t xml:space="preserve">, the California Supreme Court </w:t>
      </w:r>
      <w:r w:rsidRPr="00DB4480">
        <w:rPr>
          <w:rFonts w:asciiTheme="minorHAnsi" w:eastAsia="Times New Roman" w:hAnsiTheme="minorHAnsi" w:cstheme="minorHAnsi"/>
          <w:shd w:val="clear" w:color="auto" w:fill="FFFFFF"/>
        </w:rPr>
        <w:t xml:space="preserve">clarified the meaning of the </w:t>
      </w:r>
      <w:r w:rsidR="00201E0F">
        <w:rPr>
          <w:rFonts w:asciiTheme="minorHAnsi" w:eastAsia="Times New Roman" w:hAnsiTheme="minorHAnsi" w:cstheme="minorHAnsi"/>
          <w:shd w:val="clear" w:color="auto" w:fill="FFFFFF"/>
        </w:rPr>
        <w:t xml:space="preserve">felony-murder </w:t>
      </w:r>
      <w:r w:rsidRPr="00DB4480">
        <w:rPr>
          <w:rFonts w:asciiTheme="minorHAnsi" w:eastAsia="Times New Roman" w:hAnsiTheme="minorHAnsi" w:cstheme="minorHAnsi"/>
          <w:shd w:val="clear" w:color="auto" w:fill="FFFFFF"/>
        </w:rPr>
        <w:t>special circumstances statute</w:t>
      </w:r>
      <w:r w:rsidRPr="001605D7">
        <w:rPr>
          <w:rFonts w:asciiTheme="minorHAnsi" w:eastAsia="Times New Roman" w:hAnsiTheme="minorHAnsi" w:cstheme="minorHAnsi"/>
          <w:shd w:val="clear" w:color="auto" w:fill="FFFFFF"/>
        </w:rPr>
        <w:t>.  (</w:t>
      </w:r>
      <w:bookmarkStart w:id="30" w:name="dabmci_246890b95c23410da2b086f1a2ae44d2"/>
      <w:r w:rsidRPr="00DB4480">
        <w:rPr>
          <w:rFonts w:asciiTheme="minorHAnsi" w:eastAsia="Times New Roman" w:hAnsiTheme="minorHAnsi" w:cstheme="minorHAnsi"/>
          <w:i/>
          <w:iCs/>
          <w:bdr w:val="none" w:sz="0" w:space="0" w:color="auto" w:frame="1"/>
        </w:rPr>
        <w:t>In re Scoggins</w:t>
      </w:r>
      <w:r w:rsidRPr="00DB4480">
        <w:rPr>
          <w:rFonts w:asciiTheme="minorHAnsi" w:eastAsia="Times New Roman" w:hAnsiTheme="minorHAnsi" w:cstheme="minorHAnsi"/>
        </w:rPr>
        <w:t> (2020) 9 Cal.5th 667, 671</w:t>
      </w:r>
      <w:r w:rsidR="00682053">
        <w:rPr>
          <w:rFonts w:asciiTheme="minorHAnsi" w:eastAsia="Times New Roman" w:hAnsiTheme="minorHAnsi" w:cstheme="minorHAnsi"/>
        </w:rPr>
        <w:t xml:space="preserve"> (</w:t>
      </w:r>
      <w:r w:rsidR="00682053" w:rsidRPr="00DB4480">
        <w:rPr>
          <w:rFonts w:asciiTheme="minorHAnsi" w:eastAsia="Times New Roman" w:hAnsiTheme="minorHAnsi" w:cstheme="minorHAnsi"/>
          <w:i/>
          <w:iCs/>
          <w:bdr w:val="none" w:sz="0" w:space="0" w:color="auto" w:frame="1"/>
        </w:rPr>
        <w:t>Scoggins</w:t>
      </w:r>
      <w:r w:rsidR="00682053">
        <w:rPr>
          <w:rFonts w:asciiTheme="minorHAnsi" w:eastAsia="Times New Roman" w:hAnsiTheme="minorHAnsi" w:cstheme="minorHAnsi"/>
        </w:rPr>
        <w:t>)</w:t>
      </w:r>
      <w:bookmarkEnd w:id="30"/>
      <w:r w:rsidRPr="001605D7">
        <w:rPr>
          <w:rFonts w:asciiTheme="minorHAnsi" w:eastAsia="Times New Roman" w:hAnsiTheme="minorHAnsi" w:cstheme="minorHAnsi"/>
        </w:rPr>
        <w:t>.)</w:t>
      </w:r>
      <w:r w:rsidR="00425816" w:rsidRPr="001605D7">
        <w:rPr>
          <w:rFonts w:asciiTheme="minorHAnsi" w:eastAsia="Times New Roman" w:hAnsiTheme="minorHAnsi" w:cstheme="minorHAnsi"/>
        </w:rPr>
        <w:t xml:space="preserve"> </w:t>
      </w:r>
      <w:r w:rsidR="000E5E6D" w:rsidRPr="001605D7">
        <w:rPr>
          <w:rFonts w:asciiTheme="minorHAnsi" w:eastAsia="Times New Roman" w:hAnsiTheme="minorHAnsi" w:cstheme="minorHAnsi"/>
        </w:rPr>
        <w:t xml:space="preserve"> </w:t>
      </w:r>
      <w:r w:rsidR="005E7270" w:rsidRPr="001605D7">
        <w:rPr>
          <w:rFonts w:asciiTheme="minorHAnsi" w:eastAsia="Times New Roman" w:hAnsiTheme="minorHAnsi" w:cstheme="minorHAnsi"/>
          <w:i/>
          <w:iCs/>
          <w:shd w:val="clear" w:color="auto" w:fill="FFFFFF"/>
        </w:rPr>
        <w:t>Banks</w:t>
      </w:r>
      <w:r w:rsidR="005E7270" w:rsidRPr="001605D7">
        <w:rPr>
          <w:rFonts w:asciiTheme="minorHAnsi" w:eastAsia="Times New Roman" w:hAnsiTheme="minorHAnsi" w:cstheme="minorHAnsi"/>
          <w:shd w:val="clear" w:color="auto" w:fill="FFFFFF"/>
        </w:rPr>
        <w:t xml:space="preserve"> considered the</w:t>
      </w:r>
      <w:r w:rsidR="00EF7F79" w:rsidRPr="00EF7F79">
        <w:rPr>
          <w:rFonts w:asciiTheme="minorHAnsi" w:eastAsia="Times New Roman" w:hAnsiTheme="minorHAnsi" w:cstheme="minorHAnsi"/>
          <w:shd w:val="clear" w:color="auto" w:fill="FFFFFF"/>
        </w:rPr>
        <w:t xml:space="preserve"> major participant </w:t>
      </w:r>
      <w:r w:rsidR="005E7270" w:rsidRPr="001605D7">
        <w:rPr>
          <w:rFonts w:asciiTheme="minorHAnsi" w:eastAsia="Times New Roman" w:hAnsiTheme="minorHAnsi" w:cstheme="minorHAnsi"/>
          <w:shd w:val="clear" w:color="auto" w:fill="FFFFFF"/>
        </w:rPr>
        <w:t xml:space="preserve">aspect of the </w:t>
      </w:r>
      <w:r w:rsidR="005E7270" w:rsidRPr="00DB4480">
        <w:rPr>
          <w:rFonts w:asciiTheme="minorHAnsi" w:eastAsia="Times New Roman" w:hAnsiTheme="minorHAnsi" w:cstheme="minorHAnsi"/>
          <w:shd w:val="clear" w:color="auto" w:fill="FFFFFF"/>
        </w:rPr>
        <w:t>statut</w:t>
      </w:r>
      <w:r w:rsidR="001605D7" w:rsidRPr="001605D7">
        <w:rPr>
          <w:rFonts w:asciiTheme="minorHAnsi" w:eastAsia="Times New Roman" w:hAnsiTheme="minorHAnsi" w:cstheme="minorHAnsi"/>
          <w:shd w:val="clear" w:color="auto" w:fill="FFFFFF"/>
        </w:rPr>
        <w:t>e and c</w:t>
      </w:r>
      <w:r w:rsidR="005E7270" w:rsidRPr="001605D7">
        <w:rPr>
          <w:rFonts w:asciiTheme="minorHAnsi" w:eastAsia="Times New Roman" w:hAnsiTheme="minorHAnsi" w:cstheme="minorHAnsi"/>
        </w:rPr>
        <w:t>oncluded that “[t]</w:t>
      </w:r>
      <w:r w:rsidR="00EF7F79" w:rsidRPr="00EF7F79">
        <w:rPr>
          <w:rFonts w:asciiTheme="minorHAnsi" w:eastAsia="Times New Roman" w:hAnsiTheme="minorHAnsi" w:cstheme="minorHAnsi"/>
          <w:shd w:val="clear" w:color="auto" w:fill="FFFFFF"/>
        </w:rPr>
        <w:t xml:space="preserve">he ultimate question pertaining to being a major participant is </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whether the defendant</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 xml:space="preserve">s participation </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in criminal activities known to carry a grave risk of death</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 xml:space="preserve">[citation] was sufficiently significant to be considered </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major</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 xml:space="preserve"> [</w:t>
      </w:r>
      <w:r w:rsidR="00BD5657">
        <w:rPr>
          <w:rFonts w:asciiTheme="minorHAnsi" w:eastAsia="Times New Roman" w:hAnsiTheme="minorHAnsi" w:cstheme="minorHAnsi"/>
          <w:shd w:val="clear" w:color="auto" w:fill="FFFFFF"/>
        </w:rPr>
        <w:t>c</w:t>
      </w:r>
      <w:r w:rsidR="005E7270" w:rsidRPr="001605D7">
        <w:rPr>
          <w:rFonts w:asciiTheme="minorHAnsi" w:eastAsia="Times New Roman" w:hAnsiTheme="minorHAnsi" w:cstheme="minorHAnsi"/>
          <w:shd w:val="clear" w:color="auto" w:fill="FFFFFF"/>
        </w:rPr>
        <w:t>i</w:t>
      </w:r>
      <w:r w:rsidR="00EF7F79" w:rsidRPr="00EF7F79">
        <w:rPr>
          <w:rFonts w:asciiTheme="minorHAnsi" w:eastAsia="Times New Roman" w:hAnsiTheme="minorHAnsi" w:cstheme="minorHAnsi"/>
          <w:shd w:val="clear" w:color="auto" w:fill="FFFFFF"/>
        </w:rPr>
        <w:t>tation</w:t>
      </w:r>
      <w:r w:rsidR="00BD5657">
        <w:rPr>
          <w:rFonts w:asciiTheme="minorHAnsi" w:eastAsia="Times New Roman" w:hAnsiTheme="minorHAnsi" w:cstheme="minorHAnsi"/>
          <w:shd w:val="clear" w:color="auto" w:fill="FFFFFF"/>
        </w:rPr>
        <w:t>s</w:t>
      </w:r>
      <w:r w:rsidR="00EF7F79" w:rsidRPr="00EF7F79">
        <w:rPr>
          <w:rFonts w:asciiTheme="minorHAnsi" w:eastAsia="Times New Roman" w:hAnsiTheme="minorHAnsi" w:cstheme="minorHAnsi"/>
          <w:shd w:val="clear" w:color="auto" w:fill="FFFFFF"/>
        </w:rPr>
        <w:t>]</w:t>
      </w:r>
      <w:r w:rsidR="005E7270" w:rsidRPr="001605D7">
        <w:rPr>
          <w:rFonts w:asciiTheme="minorHAnsi" w:eastAsia="Times New Roman" w:hAnsiTheme="minorHAnsi" w:cstheme="minorHAnsi"/>
          <w:shd w:val="clear" w:color="auto" w:fill="FFFFFF"/>
        </w:rPr>
        <w:t>.</w:t>
      </w:r>
      <w:r w:rsidR="00BD5657" w:rsidRPr="007B6EC0">
        <w:rPr>
          <w:rFonts w:asciiTheme="minorHAnsi" w:eastAsia="Times New Roman" w:hAnsiTheme="minorHAnsi" w:cstheme="minorHAnsi"/>
          <w:shd w:val="clear" w:color="auto" w:fill="FFFFFF"/>
          <w:vertAlign w:val="superscript"/>
        </w:rPr>
        <w:t>[]</w:t>
      </w:r>
      <w:r w:rsidR="005E7270" w:rsidRPr="001605D7">
        <w:rPr>
          <w:rFonts w:asciiTheme="minorHAnsi" w:eastAsia="Times New Roman" w:hAnsiTheme="minorHAnsi" w:cstheme="minorHAnsi"/>
          <w:shd w:val="clear" w:color="auto" w:fill="FFFFFF"/>
        </w:rPr>
        <w:t>’</w:t>
      </w:r>
      <w:r w:rsidR="00EF7F79" w:rsidRPr="00EF7F79">
        <w:rPr>
          <w:rFonts w:asciiTheme="minorHAnsi" w:eastAsia="Times New Roman" w:hAnsiTheme="minorHAnsi" w:cstheme="minorHAnsi"/>
          <w:shd w:val="clear" w:color="auto" w:fill="FFFFFF"/>
        </w:rPr>
        <w:t xml:space="preserve">  </w:t>
      </w:r>
      <w:r w:rsidR="005E7270" w:rsidRPr="001605D7">
        <w:rPr>
          <w:rFonts w:asciiTheme="minorHAnsi" w:eastAsia="Times New Roman" w:hAnsiTheme="minorHAnsi" w:cstheme="minorHAnsi"/>
          <w:shd w:val="clear" w:color="auto" w:fill="FFFFFF"/>
        </w:rPr>
        <w:t xml:space="preserve">[Citation.]”  </w:t>
      </w:r>
      <w:r w:rsidR="001605D7" w:rsidRPr="001605D7">
        <w:rPr>
          <w:rFonts w:asciiTheme="minorHAnsi" w:eastAsia="Times New Roman" w:hAnsiTheme="minorHAnsi" w:cstheme="minorHAnsi"/>
          <w:shd w:val="clear" w:color="auto" w:fill="FFFFFF"/>
        </w:rPr>
        <w:t>(</w:t>
      </w:r>
      <w:bookmarkStart w:id="31" w:name="dabmci_639795bea5c044b3bc828da645fce2d5"/>
      <w:r w:rsidR="001605D7" w:rsidRPr="00EF7F79">
        <w:rPr>
          <w:rFonts w:asciiTheme="minorHAnsi" w:eastAsia="Times New Roman" w:hAnsiTheme="minorHAnsi" w:cstheme="minorHAnsi"/>
          <w:i/>
          <w:iCs/>
          <w:bdr w:val="none" w:sz="0" w:space="0" w:color="auto" w:frame="1"/>
        </w:rPr>
        <w:t>Clark</w:t>
      </w:r>
      <w:r w:rsidR="001605D7" w:rsidRPr="001605D7">
        <w:rPr>
          <w:rFonts w:asciiTheme="minorHAnsi" w:eastAsia="Times New Roman" w:hAnsiTheme="minorHAnsi" w:cstheme="minorHAnsi"/>
        </w:rPr>
        <w:t xml:space="preserve">, </w:t>
      </w:r>
      <w:r w:rsidR="001605D7" w:rsidRPr="001605D7">
        <w:rPr>
          <w:rFonts w:asciiTheme="minorHAnsi" w:eastAsia="Times New Roman" w:hAnsiTheme="minorHAnsi" w:cstheme="minorHAnsi"/>
          <w:i/>
          <w:iCs/>
        </w:rPr>
        <w:t>supra</w:t>
      </w:r>
      <w:r w:rsidR="001605D7" w:rsidRPr="001605D7">
        <w:rPr>
          <w:rFonts w:asciiTheme="minorHAnsi" w:eastAsia="Times New Roman" w:hAnsiTheme="minorHAnsi" w:cstheme="minorHAnsi"/>
        </w:rPr>
        <w:t>,</w:t>
      </w:r>
      <w:r w:rsidR="001605D7" w:rsidRPr="00EF7F79">
        <w:rPr>
          <w:rFonts w:asciiTheme="minorHAnsi" w:eastAsia="Times New Roman" w:hAnsiTheme="minorHAnsi" w:cstheme="minorHAnsi"/>
        </w:rPr>
        <w:t xml:space="preserve"> 63 Cal.4th</w:t>
      </w:r>
      <w:r w:rsidR="001605D7" w:rsidRPr="001605D7">
        <w:rPr>
          <w:rFonts w:asciiTheme="minorHAnsi" w:eastAsia="Times New Roman" w:hAnsiTheme="minorHAnsi" w:cstheme="minorHAnsi"/>
        </w:rPr>
        <w:t xml:space="preserve"> at p. </w:t>
      </w:r>
      <w:r w:rsidR="001605D7" w:rsidRPr="00EF7F79">
        <w:rPr>
          <w:rFonts w:asciiTheme="minorHAnsi" w:eastAsia="Times New Roman" w:hAnsiTheme="minorHAnsi" w:cstheme="minorHAnsi"/>
        </w:rPr>
        <w:t>611</w:t>
      </w:r>
      <w:bookmarkEnd w:id="31"/>
      <w:r w:rsidR="001605D7" w:rsidRPr="001605D7">
        <w:rPr>
          <w:rFonts w:asciiTheme="minorHAnsi" w:eastAsia="Times New Roman" w:hAnsiTheme="minorHAnsi" w:cstheme="minorHAnsi"/>
        </w:rPr>
        <w:t>.)</w:t>
      </w:r>
      <w:r w:rsidR="005E7270" w:rsidRPr="001605D7">
        <w:rPr>
          <w:rFonts w:asciiTheme="minorHAnsi" w:eastAsia="Times New Roman" w:hAnsiTheme="minorHAnsi" w:cstheme="minorHAnsi"/>
          <w:shd w:val="clear" w:color="auto" w:fill="FFFFFF"/>
        </w:rPr>
        <w:t xml:space="preserve">  </w:t>
      </w:r>
      <w:r w:rsidR="005E7270" w:rsidRPr="001605D7">
        <w:rPr>
          <w:rFonts w:asciiTheme="minorHAnsi" w:eastAsia="Times New Roman" w:hAnsiTheme="minorHAnsi" w:cstheme="minorHAnsi"/>
        </w:rPr>
        <w:t xml:space="preserve">The court </w:t>
      </w:r>
      <w:r w:rsidR="005E7270" w:rsidRPr="000E5E6D">
        <w:rPr>
          <w:rFonts w:asciiTheme="minorHAnsi" w:eastAsia="Times New Roman" w:hAnsiTheme="minorHAnsi" w:cstheme="minorHAnsi"/>
          <w:shd w:val="clear" w:color="auto" w:fill="FFFFFF"/>
        </w:rPr>
        <w:t xml:space="preserve">identified </w:t>
      </w:r>
      <w:r w:rsidR="00EF7F79" w:rsidRPr="00EF7F79">
        <w:rPr>
          <w:rFonts w:asciiTheme="minorHAnsi" w:eastAsia="Times New Roman" w:hAnsiTheme="minorHAnsi" w:cstheme="minorHAnsi"/>
          <w:shd w:val="clear" w:color="auto" w:fill="FFFFFF"/>
        </w:rPr>
        <w:t>the</w:t>
      </w:r>
      <w:r w:rsidR="005E7270" w:rsidRPr="001605D7">
        <w:rPr>
          <w:rFonts w:asciiTheme="minorHAnsi" w:eastAsia="Times New Roman" w:hAnsiTheme="minorHAnsi" w:cstheme="minorHAnsi"/>
          <w:shd w:val="clear" w:color="auto" w:fill="FFFFFF"/>
        </w:rPr>
        <w:t xml:space="preserve"> following</w:t>
      </w:r>
      <w:r w:rsidR="00EF7F79" w:rsidRPr="00EF7F79">
        <w:rPr>
          <w:rFonts w:asciiTheme="minorHAnsi" w:eastAsia="Times New Roman" w:hAnsiTheme="minorHAnsi" w:cstheme="minorHAnsi"/>
          <w:shd w:val="clear" w:color="auto" w:fill="FFFFFF"/>
        </w:rPr>
        <w:t xml:space="preserve"> factors </w:t>
      </w:r>
      <w:r w:rsidR="005E7270" w:rsidRPr="001605D7">
        <w:rPr>
          <w:rFonts w:asciiTheme="minorHAnsi" w:eastAsia="Times New Roman" w:hAnsiTheme="minorHAnsi" w:cstheme="minorHAnsi"/>
          <w:shd w:val="clear" w:color="auto" w:fill="FFFFFF"/>
        </w:rPr>
        <w:t>as being relevant to that determination</w:t>
      </w:r>
      <w:r w:rsidR="00EF7F79" w:rsidRPr="00EF7F79">
        <w:rPr>
          <w:rFonts w:asciiTheme="minorHAnsi" w:eastAsia="Times New Roman" w:hAnsiTheme="minorHAnsi" w:cstheme="minorHAnsi"/>
          <w:shd w:val="clear" w:color="auto" w:fill="FFFFFF"/>
        </w:rPr>
        <w:t>:</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 xml:space="preserve"> “What role did the defendant have in planning the criminal enterprise that led to one or more deaths? </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What role did the defendant have in supplying or using lethal weapons?</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 xml:space="preserve"> What awareness did the defendant have of particular dangers posed by the nature of the crime, weapons used, or past experience or conduct of the other participants?</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 xml:space="preserve"> Was the defendant present at the scene of the killing, in a position to facilitate or prevent the actual murder, and did his or her own actions or inactions play a particular role in the death? </w:t>
      </w:r>
      <w:r w:rsidR="005E7270" w:rsidRPr="001605D7">
        <w:rPr>
          <w:rFonts w:asciiTheme="minorHAnsi" w:eastAsia="Times New Roman" w:hAnsiTheme="minorHAnsi" w:cstheme="minorHAnsi"/>
          <w:shd w:val="clear" w:color="auto" w:fill="FFFFFF"/>
        </w:rPr>
        <w:t xml:space="preserve"> </w:t>
      </w:r>
      <w:r w:rsidR="00EF7F79" w:rsidRPr="00EF7F79">
        <w:rPr>
          <w:rFonts w:asciiTheme="minorHAnsi" w:eastAsia="Times New Roman" w:hAnsiTheme="minorHAnsi" w:cstheme="minorHAnsi"/>
          <w:shd w:val="clear" w:color="auto" w:fill="FFFFFF"/>
        </w:rPr>
        <w:t>What did the defendant do after lethal force was used?” (</w:t>
      </w:r>
      <w:bookmarkStart w:id="32" w:name="dabmci_e9332a80119644d380c4e928fe1b757c"/>
      <w:r w:rsidR="005E7270" w:rsidRPr="001605D7">
        <w:rPr>
          <w:rStyle w:val="Emphasis"/>
          <w:rFonts w:asciiTheme="minorHAnsi" w:hAnsiTheme="minorHAnsi" w:cstheme="minorHAnsi"/>
          <w:bdr w:val="none" w:sz="0" w:space="0" w:color="auto" w:frame="1"/>
          <w:shd w:val="clear" w:color="auto" w:fill="FFFFFF"/>
        </w:rPr>
        <w:t>Banks</w:t>
      </w:r>
      <w:r w:rsidR="005E7270" w:rsidRPr="001605D7">
        <w:rPr>
          <w:rStyle w:val="Emphasis"/>
          <w:rFonts w:asciiTheme="minorHAnsi" w:hAnsiTheme="minorHAnsi" w:cstheme="minorHAnsi"/>
          <w:i w:val="0"/>
          <w:iCs w:val="0"/>
          <w:bdr w:val="none" w:sz="0" w:space="0" w:color="auto" w:frame="1"/>
          <w:shd w:val="clear" w:color="auto" w:fill="FFFFFF"/>
        </w:rPr>
        <w:t>,</w:t>
      </w:r>
      <w:r w:rsidR="005E7270" w:rsidRPr="001605D7">
        <w:rPr>
          <w:rStyle w:val="Emphasis"/>
          <w:rFonts w:asciiTheme="minorHAnsi" w:hAnsiTheme="minorHAnsi" w:cstheme="minorHAnsi"/>
          <w:bdr w:val="none" w:sz="0" w:space="0" w:color="auto" w:frame="1"/>
          <w:shd w:val="clear" w:color="auto" w:fill="FFFFFF"/>
        </w:rPr>
        <w:t xml:space="preserve"> supra</w:t>
      </w:r>
      <w:r w:rsidR="005E7270" w:rsidRPr="001605D7">
        <w:rPr>
          <w:rStyle w:val="Emphasis"/>
          <w:rFonts w:asciiTheme="minorHAnsi" w:hAnsiTheme="minorHAnsi" w:cstheme="minorHAnsi"/>
          <w:i w:val="0"/>
          <w:iCs w:val="0"/>
          <w:bdr w:val="none" w:sz="0" w:space="0" w:color="auto" w:frame="1"/>
          <w:shd w:val="clear" w:color="auto" w:fill="FFFFFF"/>
        </w:rPr>
        <w:t>,</w:t>
      </w:r>
      <w:r w:rsidR="005E7270" w:rsidRPr="001605D7">
        <w:rPr>
          <w:rFonts w:asciiTheme="minorHAnsi" w:hAnsiTheme="minorHAnsi" w:cstheme="minorHAnsi"/>
          <w:i/>
          <w:iCs/>
          <w:bdr w:val="none" w:sz="0" w:space="0" w:color="auto" w:frame="1"/>
          <w:shd w:val="clear" w:color="auto" w:fill="FFFFFF"/>
        </w:rPr>
        <w:t> </w:t>
      </w:r>
      <w:r w:rsidR="005E7270" w:rsidRPr="001605D7">
        <w:rPr>
          <w:rFonts w:asciiTheme="minorHAnsi" w:hAnsiTheme="minorHAnsi" w:cstheme="minorHAnsi"/>
          <w:bdr w:val="none" w:sz="0" w:space="0" w:color="auto" w:frame="1"/>
          <w:shd w:val="clear" w:color="auto" w:fill="FFFFFF"/>
        </w:rPr>
        <w:t>61 Cal.4th at p. </w:t>
      </w:r>
      <w:r w:rsidR="005E7270" w:rsidRPr="001605D7">
        <w:rPr>
          <w:rFonts w:asciiTheme="minorHAnsi" w:hAnsiTheme="minorHAnsi" w:cstheme="minorHAnsi"/>
        </w:rPr>
        <w:t>803</w:t>
      </w:r>
      <w:bookmarkEnd w:id="32"/>
      <w:r w:rsidR="00CC0F73">
        <w:rPr>
          <w:rFonts w:asciiTheme="minorHAnsi" w:hAnsiTheme="minorHAnsi" w:cstheme="minorHAnsi"/>
        </w:rPr>
        <w:t>, fn. omitted</w:t>
      </w:r>
      <w:r w:rsidR="00EF7F79" w:rsidRPr="00EF7F79">
        <w:rPr>
          <w:rFonts w:asciiTheme="minorHAnsi" w:eastAsia="Times New Roman" w:hAnsiTheme="minorHAnsi" w:cstheme="minorHAnsi"/>
          <w:i/>
          <w:iCs/>
          <w:bdr w:val="none" w:sz="0" w:space="0" w:color="auto" w:frame="1"/>
        </w:rPr>
        <w:t>.</w:t>
      </w:r>
      <w:r w:rsidR="00EF7F79" w:rsidRPr="00EF7F79">
        <w:rPr>
          <w:rFonts w:asciiTheme="minorHAnsi" w:eastAsia="Times New Roman" w:hAnsiTheme="minorHAnsi" w:cstheme="minorHAnsi"/>
          <w:shd w:val="clear" w:color="auto" w:fill="FFFFFF"/>
        </w:rPr>
        <w:t>)</w:t>
      </w:r>
    </w:p>
    <w:p w14:paraId="60DCE67D" w14:textId="3C0CD810" w:rsidR="001605D7" w:rsidRDefault="00024CFE" w:rsidP="001605D7">
      <w:pPr>
        <w:rPr>
          <w:rFonts w:asciiTheme="minorHAnsi" w:eastAsia="Times New Roman" w:hAnsiTheme="minorHAnsi" w:cstheme="minorHAnsi"/>
          <w:shd w:val="clear" w:color="auto" w:fill="FFFFFF"/>
        </w:rPr>
      </w:pPr>
      <w:r>
        <w:rPr>
          <w:rFonts w:asciiTheme="minorHAnsi" w:eastAsia="Times New Roman" w:hAnsiTheme="minorHAnsi" w:cstheme="minorHAnsi"/>
          <w:i/>
          <w:iCs/>
          <w:bdr w:val="none" w:sz="0" w:space="0" w:color="auto" w:frame="1"/>
        </w:rPr>
        <w:tab/>
      </w:r>
      <w:r w:rsidR="000E5E6D" w:rsidRPr="000E5E6D">
        <w:rPr>
          <w:rFonts w:asciiTheme="minorHAnsi" w:eastAsia="Times New Roman" w:hAnsiTheme="minorHAnsi" w:cstheme="minorHAnsi"/>
          <w:i/>
          <w:iCs/>
          <w:bdr w:val="none" w:sz="0" w:space="0" w:color="auto" w:frame="1"/>
        </w:rPr>
        <w:t>Clark</w:t>
      </w:r>
      <w:r w:rsidRPr="001605D7">
        <w:rPr>
          <w:rFonts w:asciiTheme="minorHAnsi" w:eastAsia="Times New Roman" w:hAnsiTheme="minorHAnsi" w:cstheme="minorHAnsi"/>
          <w:shd w:val="clear" w:color="auto" w:fill="FFFFFF"/>
        </w:rPr>
        <w:t xml:space="preserve"> articulated </w:t>
      </w:r>
      <w:r w:rsidRPr="001605D7">
        <w:rPr>
          <w:rFonts w:asciiTheme="minorHAnsi" w:hAnsiTheme="minorHAnsi" w:cstheme="minorHAnsi"/>
          <w:shd w:val="clear" w:color="auto" w:fill="FFFFFF"/>
        </w:rPr>
        <w:t xml:space="preserve">case-specific factors that are relevant to whether a defendant exhibited reckless indifference to human life:  </w:t>
      </w:r>
      <w:r w:rsidR="000E5E6D" w:rsidRPr="000E5E6D">
        <w:rPr>
          <w:rFonts w:asciiTheme="minorHAnsi" w:eastAsia="Times New Roman" w:hAnsiTheme="minorHAnsi" w:cstheme="minorHAnsi"/>
          <w:shd w:val="clear" w:color="auto" w:fill="FFFFFF"/>
        </w:rPr>
        <w:t>(1) the defendant</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s knowledge of weapons, number of weapons, and whether the defendant used a weapon; (2) the defendant</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 xml:space="preserve">s physical presence at the crime and opportunities to restrain the crime and/or aid the </w:t>
      </w:r>
      <w:r w:rsidR="000E5E6D" w:rsidRPr="000E5E6D">
        <w:rPr>
          <w:rFonts w:asciiTheme="minorHAnsi" w:eastAsia="Times New Roman" w:hAnsiTheme="minorHAnsi" w:cstheme="minorHAnsi"/>
          <w:shd w:val="clear" w:color="auto" w:fill="FFFFFF"/>
        </w:rPr>
        <w:lastRenderedPageBreak/>
        <w:t>victim; (3) the duration of the felony; (4) the defendant</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s knowledge of a cohort</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s likelihood of killing; and (5) the defendant</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s efforts to minimize the risks of violence during the felony.</w:t>
      </w:r>
      <w:r w:rsidR="00682053">
        <w:rPr>
          <w:rFonts w:asciiTheme="minorHAnsi" w:eastAsia="Times New Roman" w:hAnsiTheme="minorHAnsi" w:cstheme="minorHAnsi"/>
          <w:shd w:val="clear" w:color="auto" w:fill="FFFFFF"/>
        </w:rPr>
        <w:t xml:space="preserve"> </w:t>
      </w:r>
      <w:r w:rsidR="000E5E6D" w:rsidRPr="000E5E6D">
        <w:rPr>
          <w:rFonts w:asciiTheme="minorHAnsi" w:eastAsia="Times New Roman" w:hAnsiTheme="minorHAnsi" w:cstheme="minorHAnsi"/>
          <w:shd w:val="clear" w:color="auto" w:fill="FFFFFF"/>
        </w:rPr>
        <w:t xml:space="preserve"> (</w:t>
      </w:r>
      <w:bookmarkStart w:id="33" w:name="dabmci_e6396dd244c846f69bc6f58daddb94cd"/>
      <w:r w:rsidR="000E5E6D" w:rsidRPr="000E5E6D">
        <w:rPr>
          <w:rFonts w:asciiTheme="minorHAnsi" w:eastAsia="Times New Roman" w:hAnsiTheme="minorHAnsi" w:cstheme="minorHAnsi"/>
          <w:i/>
          <w:iCs/>
          <w:bdr w:val="none" w:sz="0" w:space="0" w:color="auto" w:frame="1"/>
        </w:rPr>
        <w:t>Clark</w:t>
      </w:r>
      <w:r w:rsidR="000E5E6D" w:rsidRPr="000E5E6D">
        <w:rPr>
          <w:rFonts w:asciiTheme="minorHAnsi" w:eastAsia="Times New Roman" w:hAnsiTheme="minorHAnsi" w:cstheme="minorHAnsi"/>
          <w:shd w:val="clear" w:color="auto" w:fill="FFFFFF"/>
        </w:rPr>
        <w:t>, </w:t>
      </w:r>
      <w:r w:rsidR="000E5E6D" w:rsidRPr="000E5E6D">
        <w:rPr>
          <w:rFonts w:asciiTheme="minorHAnsi" w:eastAsia="Times New Roman" w:hAnsiTheme="minorHAnsi" w:cstheme="minorHAnsi"/>
          <w:i/>
          <w:iCs/>
          <w:bdr w:val="none" w:sz="0" w:space="0" w:color="auto" w:frame="1"/>
        </w:rPr>
        <w:t>supra</w:t>
      </w:r>
      <w:r w:rsidR="000E5E6D" w:rsidRPr="000E5E6D">
        <w:rPr>
          <w:rFonts w:asciiTheme="minorHAnsi" w:eastAsia="Times New Roman" w:hAnsiTheme="minorHAnsi" w:cstheme="minorHAnsi"/>
          <w:shd w:val="clear" w:color="auto" w:fill="FFFFFF"/>
        </w:rPr>
        <w:t>, 63 Cal.4th at pp. 618</w:t>
      </w:r>
      <w:r w:rsidRPr="001605D7">
        <w:rPr>
          <w:rFonts w:asciiTheme="minorHAnsi" w:eastAsia="Times New Roman" w:hAnsiTheme="minorHAnsi" w:cstheme="minorHAnsi"/>
          <w:shd w:val="clear" w:color="auto" w:fill="FFFFFF"/>
        </w:rPr>
        <w:t>-</w:t>
      </w:r>
      <w:r w:rsidR="000E5E6D" w:rsidRPr="000E5E6D">
        <w:rPr>
          <w:rFonts w:asciiTheme="minorHAnsi" w:eastAsia="Times New Roman" w:hAnsiTheme="minorHAnsi" w:cstheme="minorHAnsi"/>
          <w:shd w:val="clear" w:color="auto" w:fill="FFFFFF"/>
        </w:rPr>
        <w:t>622</w:t>
      </w:r>
      <w:bookmarkEnd w:id="33"/>
      <w:r w:rsidRPr="001605D7">
        <w:rPr>
          <w:rFonts w:asciiTheme="minorHAnsi" w:eastAsia="Times New Roman" w:hAnsiTheme="minorHAnsi" w:cstheme="minorHAnsi"/>
          <w:shd w:val="clear" w:color="auto" w:fill="FFFFFF"/>
        </w:rPr>
        <w:t>.)</w:t>
      </w:r>
    </w:p>
    <w:p w14:paraId="0BA14143" w14:textId="39B6B587" w:rsidR="00682053" w:rsidRPr="00682053" w:rsidRDefault="00024CFE" w:rsidP="001605D7">
      <w:pPr>
        <w:rPr>
          <w:rFonts w:asciiTheme="minorHAnsi" w:eastAsia="Times New Roman" w:hAnsiTheme="minorHAnsi" w:cstheme="minorHAnsi"/>
          <w:color w:val="000000"/>
          <w:bdr w:val="none" w:sz="0" w:space="0" w:color="auto" w:frame="1"/>
          <w:shd w:val="clear" w:color="auto" w:fill="FFFFFF"/>
        </w:rPr>
      </w:pPr>
      <w:r w:rsidRPr="00682053">
        <w:rPr>
          <w:rFonts w:asciiTheme="minorHAnsi" w:eastAsia="Times New Roman" w:hAnsiTheme="minorHAnsi" w:cstheme="minorHAnsi"/>
          <w:shd w:val="clear" w:color="auto" w:fill="FFFFFF"/>
        </w:rPr>
        <w:tab/>
        <w:t xml:space="preserve">A defendant </w:t>
      </w:r>
      <w:r>
        <w:rPr>
          <w:rFonts w:asciiTheme="minorHAnsi" w:eastAsia="Times New Roman" w:hAnsiTheme="minorHAnsi" w:cstheme="minorHAnsi"/>
          <w:shd w:val="clear" w:color="auto" w:fill="FFFFFF"/>
        </w:rPr>
        <w:t xml:space="preserve">with </w:t>
      </w:r>
      <w:r w:rsidRPr="007A1C89">
        <w:rPr>
          <w:rFonts w:asciiTheme="minorHAnsi" w:eastAsia="Times New Roman" w:hAnsiTheme="minorHAnsi" w:cstheme="minorHAnsi"/>
          <w:shd w:val="clear" w:color="auto" w:fill="FFFFFF"/>
        </w:rPr>
        <w:t>a pre-</w:t>
      </w:r>
      <w:r w:rsidRPr="007A1C89">
        <w:rPr>
          <w:rFonts w:asciiTheme="minorHAnsi" w:eastAsia="Times New Roman" w:hAnsiTheme="minorHAnsi" w:cstheme="minorHAnsi"/>
          <w:i/>
          <w:iCs/>
          <w:bdr w:val="none" w:sz="0" w:space="0" w:color="auto" w:frame="1"/>
        </w:rPr>
        <w:t>Banks</w:t>
      </w:r>
      <w:r w:rsidRPr="007A1C89">
        <w:rPr>
          <w:rFonts w:asciiTheme="minorHAnsi" w:eastAsia="Times New Roman" w:hAnsiTheme="minorHAnsi" w:cstheme="minorHAnsi"/>
          <w:shd w:val="clear" w:color="auto" w:fill="FFFFFF"/>
        </w:rPr>
        <w:t> and </w:t>
      </w:r>
      <w:r w:rsidRPr="007A1C89">
        <w:rPr>
          <w:rFonts w:asciiTheme="minorHAnsi" w:eastAsia="Times New Roman" w:hAnsiTheme="minorHAnsi" w:cstheme="minorHAnsi"/>
          <w:i/>
          <w:iCs/>
          <w:bdr w:val="none" w:sz="0" w:space="0" w:color="auto" w:frame="1"/>
        </w:rPr>
        <w:t>Clark</w:t>
      </w:r>
      <w:r w:rsidRPr="007A1C89">
        <w:rPr>
          <w:rFonts w:asciiTheme="minorHAnsi" w:eastAsia="Times New Roman" w:hAnsiTheme="minorHAnsi" w:cstheme="minorHAnsi"/>
          <w:shd w:val="clear" w:color="auto" w:fill="FFFFFF"/>
        </w:rPr>
        <w:t xml:space="preserve"> felony-murder special-circumstance finding </w:t>
      </w:r>
      <w:r w:rsidRPr="00682053">
        <w:rPr>
          <w:rFonts w:asciiTheme="minorHAnsi" w:eastAsia="Times New Roman" w:hAnsiTheme="minorHAnsi" w:cstheme="minorHAnsi"/>
          <w:shd w:val="clear" w:color="auto" w:fill="FFFFFF"/>
        </w:rPr>
        <w:t xml:space="preserve">whose conviction became final prior to </w:t>
      </w:r>
      <w:r w:rsidRPr="00682053">
        <w:rPr>
          <w:rFonts w:asciiTheme="minorHAnsi" w:eastAsia="Times New Roman" w:hAnsiTheme="minorHAnsi" w:cstheme="minorHAnsi"/>
          <w:i/>
          <w:iCs/>
          <w:color w:val="000000"/>
          <w:bdr w:val="none" w:sz="0" w:space="0" w:color="auto" w:frame="1"/>
          <w:shd w:val="clear" w:color="auto" w:fill="FFFFFF"/>
        </w:rPr>
        <w:t>Banks</w:t>
      </w:r>
      <w:r w:rsidRPr="00682053">
        <w:rPr>
          <w:rFonts w:asciiTheme="minorHAnsi" w:eastAsia="Times New Roman" w:hAnsiTheme="minorHAnsi" w:cstheme="minorHAnsi"/>
          <w:color w:val="000000"/>
          <w:bdr w:val="none" w:sz="0" w:space="0" w:color="auto" w:frame="1"/>
          <w:shd w:val="clear" w:color="auto" w:fill="FFFFFF"/>
        </w:rPr>
        <w:t> and </w:t>
      </w:r>
      <w:r w:rsidRPr="00682053">
        <w:rPr>
          <w:rFonts w:asciiTheme="minorHAnsi" w:eastAsia="Times New Roman" w:hAnsiTheme="minorHAnsi" w:cstheme="minorHAnsi"/>
          <w:i/>
          <w:iCs/>
          <w:color w:val="000000"/>
          <w:bdr w:val="none" w:sz="0" w:space="0" w:color="auto" w:frame="1"/>
          <w:shd w:val="clear" w:color="auto" w:fill="FFFFFF"/>
        </w:rPr>
        <w:t>Clark</w:t>
      </w:r>
      <w:r w:rsidRPr="00682053">
        <w:rPr>
          <w:rFonts w:asciiTheme="minorHAnsi" w:eastAsia="Times New Roman" w:hAnsiTheme="minorHAnsi" w:cstheme="minorHAnsi"/>
          <w:color w:val="000000"/>
          <w:bdr w:val="none" w:sz="0" w:space="0" w:color="auto" w:frame="1"/>
          <w:shd w:val="clear" w:color="auto" w:fill="FFFFFF"/>
        </w:rPr>
        <w:t> </w:t>
      </w:r>
      <w:r>
        <w:rPr>
          <w:rFonts w:asciiTheme="minorHAnsi" w:eastAsia="Times New Roman" w:hAnsiTheme="minorHAnsi" w:cstheme="minorHAnsi"/>
          <w:color w:val="000000"/>
          <w:bdr w:val="none" w:sz="0" w:space="0" w:color="auto" w:frame="1"/>
          <w:shd w:val="clear" w:color="auto" w:fill="FFFFFF"/>
        </w:rPr>
        <w:t xml:space="preserve">may file a petition for habeas corpus seeking to have the finding </w:t>
      </w:r>
      <w:r w:rsidR="00813F1B">
        <w:rPr>
          <w:rFonts w:asciiTheme="minorHAnsi" w:eastAsia="Times New Roman" w:hAnsiTheme="minorHAnsi" w:cstheme="minorHAnsi"/>
          <w:color w:val="000000"/>
          <w:bdr w:val="none" w:sz="0" w:space="0" w:color="auto" w:frame="1"/>
          <w:shd w:val="clear" w:color="auto" w:fill="FFFFFF"/>
        </w:rPr>
        <w:t>invalidated</w:t>
      </w:r>
      <w:r>
        <w:rPr>
          <w:rFonts w:asciiTheme="minorHAnsi" w:eastAsia="Times New Roman" w:hAnsiTheme="minorHAnsi" w:cstheme="minorHAnsi"/>
          <w:color w:val="000000"/>
          <w:bdr w:val="none" w:sz="0" w:space="0" w:color="auto" w:frame="1"/>
          <w:shd w:val="clear" w:color="auto" w:fill="FFFFFF"/>
        </w:rPr>
        <w:t>.</w:t>
      </w:r>
      <w:r w:rsidRPr="00682053">
        <w:rPr>
          <w:rFonts w:asciiTheme="minorHAnsi" w:eastAsia="Times New Roman" w:hAnsiTheme="minorHAnsi" w:cstheme="minorHAnsi"/>
          <w:color w:val="000000"/>
          <w:bdr w:val="none" w:sz="0" w:space="0" w:color="auto" w:frame="1"/>
          <w:shd w:val="clear" w:color="auto" w:fill="FFFFFF"/>
        </w:rPr>
        <w:t xml:space="preserve"> </w:t>
      </w:r>
      <w:r>
        <w:rPr>
          <w:rFonts w:asciiTheme="minorHAnsi" w:eastAsia="Times New Roman" w:hAnsiTheme="minorHAnsi" w:cstheme="minorHAnsi"/>
          <w:color w:val="000000"/>
          <w:bdr w:val="none" w:sz="0" w:space="0" w:color="auto" w:frame="1"/>
          <w:shd w:val="clear" w:color="auto" w:fill="FFFFFF"/>
        </w:rPr>
        <w:t xml:space="preserve"> Such a defendant </w:t>
      </w:r>
      <w:r w:rsidRPr="00682053">
        <w:rPr>
          <w:rFonts w:asciiTheme="minorHAnsi" w:eastAsia="Times New Roman" w:hAnsiTheme="minorHAnsi" w:cstheme="minorHAnsi"/>
          <w:color w:val="000000"/>
          <w:bdr w:val="none" w:sz="0" w:space="0" w:color="auto" w:frame="1"/>
          <w:shd w:val="clear" w:color="auto" w:fill="FFFFFF"/>
        </w:rPr>
        <w:t xml:space="preserve">“is entitled to habeas corpus relief ‘ “if there is no material dispute as to the facts relating to his conviction” ’ ” and “the special circumstances statute </w:t>
      </w:r>
      <w:r w:rsidRPr="00682053">
        <w:rPr>
          <w:rFonts w:asciiTheme="minorHAnsi" w:eastAsia="Times New Roman" w:hAnsiTheme="minorHAnsi" w:cstheme="minorHAnsi"/>
          <w:color w:val="000000"/>
          <w:bdr w:val="none" w:sz="0" w:space="0" w:color="auto" w:frame="1"/>
          <w:shd w:val="clear" w:color="auto" w:fill="FFFFFF"/>
        </w:rPr>
        <w:t xml:space="preserve">as construed in </w:t>
      </w:r>
      <w:bookmarkStart w:id="34" w:name="dabmci_beacbca056714d8cb3815df1ac6ffead"/>
      <w:r w:rsidRPr="00682053">
        <w:rPr>
          <w:rFonts w:asciiTheme="minorHAnsi" w:eastAsia="Times New Roman" w:hAnsiTheme="minorHAnsi" w:cstheme="minorHAnsi"/>
          <w:i/>
          <w:iCs/>
          <w:color w:val="000000"/>
          <w:bdr w:val="none" w:sz="0" w:space="0" w:color="auto" w:frame="1"/>
          <w:shd w:val="clear" w:color="auto" w:fill="FFFFFF"/>
        </w:rPr>
        <w:t>Banks</w:t>
      </w:r>
      <w:bookmarkEnd w:id="34"/>
      <w:r w:rsidRPr="00682053">
        <w:rPr>
          <w:rFonts w:asciiTheme="minorHAnsi" w:eastAsia="Times New Roman" w:hAnsiTheme="minorHAnsi" w:cstheme="minorHAnsi"/>
          <w:color w:val="000000"/>
          <w:bdr w:val="none" w:sz="0" w:space="0" w:color="auto" w:frame="1"/>
          <w:shd w:val="clear" w:color="auto" w:fill="FFFFFF"/>
        </w:rPr>
        <w:t xml:space="preserve"> and </w:t>
      </w:r>
      <w:r w:rsidRPr="00682053">
        <w:rPr>
          <w:rFonts w:asciiTheme="minorHAnsi" w:eastAsia="Times New Roman" w:hAnsiTheme="minorHAnsi" w:cstheme="minorHAnsi"/>
          <w:i/>
          <w:iCs/>
          <w:color w:val="000000"/>
          <w:bdr w:val="none" w:sz="0" w:space="0" w:color="auto" w:frame="1"/>
          <w:shd w:val="clear" w:color="auto" w:fill="FFFFFF"/>
        </w:rPr>
        <w:t>Clark</w:t>
      </w:r>
      <w:r w:rsidRPr="00682053">
        <w:rPr>
          <w:rFonts w:asciiTheme="minorHAnsi" w:eastAsia="Times New Roman" w:hAnsiTheme="minorHAnsi" w:cstheme="minorHAnsi"/>
          <w:color w:val="000000"/>
          <w:bdr w:val="none" w:sz="0" w:space="0" w:color="auto" w:frame="1"/>
          <w:shd w:val="clear" w:color="auto" w:fill="FFFFFF"/>
        </w:rPr>
        <w:t>” did not prohibit his conduct.  (</w:t>
      </w:r>
      <w:bookmarkStart w:id="35" w:name="dabmci_6bd6fa4776ef4cf18e7c84924ef956c3"/>
      <w:r w:rsidRPr="00682053">
        <w:rPr>
          <w:rFonts w:asciiTheme="minorHAnsi" w:eastAsia="Times New Roman" w:hAnsiTheme="minorHAnsi" w:cstheme="minorHAnsi"/>
          <w:i/>
          <w:iCs/>
          <w:color w:val="000000"/>
          <w:bdr w:val="none" w:sz="0" w:space="0" w:color="auto" w:frame="1"/>
        </w:rPr>
        <w:t>Scoggins</w:t>
      </w:r>
      <w:r>
        <w:rPr>
          <w:rFonts w:asciiTheme="minorHAnsi" w:eastAsia="Times New Roman" w:hAnsiTheme="minorHAnsi" w:cstheme="minorHAnsi"/>
          <w:color w:val="000000"/>
        </w:rPr>
        <w:t xml:space="preserve">, </w:t>
      </w:r>
      <w:r w:rsidRPr="00682053">
        <w:rPr>
          <w:rFonts w:asciiTheme="minorHAnsi" w:eastAsia="Times New Roman" w:hAnsiTheme="minorHAnsi" w:cstheme="minorHAnsi"/>
          <w:i/>
          <w:iCs/>
          <w:color w:val="000000"/>
        </w:rPr>
        <w:t>supra</w:t>
      </w:r>
      <w:r>
        <w:rPr>
          <w:rFonts w:asciiTheme="minorHAnsi" w:eastAsia="Times New Roman" w:hAnsiTheme="minorHAnsi" w:cstheme="minorHAnsi"/>
          <w:color w:val="000000"/>
        </w:rPr>
        <w:t>,</w:t>
      </w:r>
      <w:r w:rsidRPr="00682053">
        <w:rPr>
          <w:rFonts w:asciiTheme="minorHAnsi" w:eastAsia="Times New Roman" w:hAnsiTheme="minorHAnsi" w:cstheme="minorHAnsi"/>
          <w:color w:val="000000"/>
        </w:rPr>
        <w:t xml:space="preserve"> 9 Cal.5th </w:t>
      </w:r>
      <w:r>
        <w:rPr>
          <w:rFonts w:asciiTheme="minorHAnsi" w:eastAsia="Times New Roman" w:hAnsiTheme="minorHAnsi" w:cstheme="minorHAnsi"/>
          <w:color w:val="000000"/>
        </w:rPr>
        <w:t>at p. </w:t>
      </w:r>
      <w:r w:rsidRPr="00682053">
        <w:rPr>
          <w:rFonts w:asciiTheme="minorHAnsi" w:eastAsia="Times New Roman" w:hAnsiTheme="minorHAnsi" w:cstheme="minorHAnsi"/>
          <w:color w:val="000000"/>
        </w:rPr>
        <w:t>676</w:t>
      </w:r>
      <w:bookmarkEnd w:id="35"/>
      <w:r w:rsidRPr="00682053">
        <w:rPr>
          <w:rFonts w:asciiTheme="minorHAnsi" w:eastAsia="Times New Roman" w:hAnsiTheme="minorHAnsi" w:cstheme="minorHAnsi"/>
          <w:color w:val="000000"/>
        </w:rPr>
        <w:t>.)</w:t>
      </w:r>
    </w:p>
    <w:p w14:paraId="6C9EB694" w14:textId="4126B061" w:rsidR="0073336C" w:rsidRPr="0073336C" w:rsidRDefault="00024CFE" w:rsidP="003C2F07">
      <w:pPr>
        <w:keepNext/>
        <w:autoSpaceDE w:val="0"/>
        <w:autoSpaceDN w:val="0"/>
        <w:adjustRightInd w:val="0"/>
        <w:spacing w:before="240" w:line="240" w:lineRule="auto"/>
        <w:rPr>
          <w:bCs/>
          <w:i/>
          <w:shd w:val="clear" w:color="auto" w:fill="FFFFFF"/>
        </w:rPr>
      </w:pPr>
      <w:r w:rsidRPr="0073336C">
        <w:rPr>
          <w:bCs/>
          <w:i/>
          <w:shd w:val="clear" w:color="auto" w:fill="FFFFFF"/>
        </w:rPr>
        <w:tab/>
      </w:r>
      <w:r w:rsidRPr="0073336C">
        <w:rPr>
          <w:bCs/>
          <w:i/>
          <w:shd w:val="clear" w:color="auto" w:fill="FFFFFF"/>
        </w:rPr>
        <w:tab/>
        <w:t>4.</w:t>
      </w:r>
      <w:r w:rsidRPr="0073336C">
        <w:rPr>
          <w:bCs/>
          <w:i/>
          <w:shd w:val="clear" w:color="auto" w:fill="FFFFFF"/>
        </w:rPr>
        <w:tab/>
      </w:r>
      <w:r w:rsidRPr="0073336C">
        <w:rPr>
          <w:rFonts w:asciiTheme="minorHAnsi" w:eastAsia="Times New Roman" w:hAnsiTheme="minorHAnsi" w:cstheme="minorHAnsi"/>
          <w:bCs/>
          <w:i/>
          <w:shd w:val="clear" w:color="auto" w:fill="FFFFFF"/>
        </w:rPr>
        <w:t>Split Among the Courts of Appeal</w:t>
      </w:r>
    </w:p>
    <w:p w14:paraId="6218ACE7" w14:textId="2A25B0E2" w:rsidR="000B6771" w:rsidRPr="00040FCE" w:rsidRDefault="00024CFE" w:rsidP="000B6771">
      <w:pPr>
        <w:rPr>
          <w:rFonts w:asciiTheme="minorHAnsi" w:eastAsia="Times New Roman" w:hAnsiTheme="minorHAnsi" w:cstheme="minorHAnsi"/>
          <w:highlight w:val="yellow"/>
        </w:rPr>
      </w:pPr>
      <w:r w:rsidRPr="00040FCE">
        <w:rPr>
          <w:rFonts w:asciiTheme="minorHAnsi" w:eastAsia="Times New Roman" w:hAnsiTheme="minorHAnsi" w:cstheme="minorHAnsi"/>
          <w:bdr w:val="none" w:sz="0" w:space="0" w:color="auto" w:frame="1"/>
          <w:shd w:val="clear" w:color="auto" w:fill="FFFFFF"/>
        </w:rPr>
        <w:tab/>
      </w:r>
      <w:r w:rsidR="002A6A9F" w:rsidRPr="00040FCE">
        <w:rPr>
          <w:rFonts w:asciiTheme="minorHAnsi" w:eastAsia="Times New Roman" w:hAnsiTheme="minorHAnsi" w:cstheme="minorHAnsi"/>
          <w:bdr w:val="none" w:sz="0" w:space="0" w:color="auto" w:frame="1"/>
          <w:shd w:val="clear" w:color="auto" w:fill="FFFFFF"/>
        </w:rPr>
        <w:t xml:space="preserve">This court has yet to decide </w:t>
      </w:r>
      <w:r w:rsidR="004B6DA8" w:rsidRPr="00040FCE">
        <w:rPr>
          <w:rFonts w:asciiTheme="minorHAnsi" w:eastAsia="Times New Roman" w:hAnsiTheme="minorHAnsi" w:cstheme="minorHAnsi"/>
          <w:shd w:val="clear" w:color="auto" w:fill="FFFFFF"/>
        </w:rPr>
        <w:t>whether a pre-</w:t>
      </w:r>
      <w:r w:rsidR="004B6DA8" w:rsidRPr="00040FCE">
        <w:rPr>
          <w:rFonts w:asciiTheme="minorHAnsi" w:eastAsia="Times New Roman" w:hAnsiTheme="minorHAnsi" w:cstheme="minorHAnsi"/>
          <w:i/>
          <w:iCs/>
          <w:bdr w:val="none" w:sz="0" w:space="0" w:color="auto" w:frame="1"/>
        </w:rPr>
        <w:t>Banks</w:t>
      </w:r>
      <w:r w:rsidR="004B6DA8" w:rsidRPr="00040FCE">
        <w:rPr>
          <w:rFonts w:asciiTheme="minorHAnsi" w:eastAsia="Times New Roman" w:hAnsiTheme="minorHAnsi" w:cstheme="minorHAnsi"/>
          <w:shd w:val="clear" w:color="auto" w:fill="FFFFFF"/>
        </w:rPr>
        <w:t> and </w:t>
      </w:r>
      <w:r w:rsidR="004B6DA8" w:rsidRPr="00040FCE">
        <w:rPr>
          <w:rFonts w:asciiTheme="minorHAnsi" w:eastAsia="Times New Roman" w:hAnsiTheme="minorHAnsi" w:cstheme="minorHAnsi"/>
          <w:i/>
          <w:iCs/>
          <w:bdr w:val="none" w:sz="0" w:space="0" w:color="auto" w:frame="1"/>
        </w:rPr>
        <w:t>Clark</w:t>
      </w:r>
      <w:r w:rsidR="004B6DA8" w:rsidRPr="00040FCE">
        <w:rPr>
          <w:rFonts w:asciiTheme="minorHAnsi" w:eastAsia="Times New Roman" w:hAnsiTheme="minorHAnsi" w:cstheme="minorHAnsi"/>
          <w:shd w:val="clear" w:color="auto" w:fill="FFFFFF"/>
        </w:rPr>
        <w:t> felony-murder special-circumstance finding bars section 1170.95 resentencing relief</w:t>
      </w:r>
      <w:r w:rsidR="002A6A9F" w:rsidRPr="00040FCE">
        <w:rPr>
          <w:rFonts w:asciiTheme="minorHAnsi" w:eastAsia="Times New Roman" w:hAnsiTheme="minorHAnsi" w:cstheme="minorHAnsi"/>
          <w:shd w:val="clear" w:color="auto" w:fill="FFFFFF"/>
        </w:rPr>
        <w:t>; the other Courts of Appeal are split on the issue</w:t>
      </w:r>
      <w:r w:rsidR="003371A3" w:rsidRPr="00040FCE">
        <w:rPr>
          <w:rFonts w:asciiTheme="minorHAnsi" w:eastAsia="Times New Roman" w:hAnsiTheme="minorHAnsi" w:cstheme="minorHAnsi"/>
          <w:shd w:val="clear" w:color="auto" w:fill="FFFFFF"/>
        </w:rPr>
        <w:t>.</w:t>
      </w:r>
      <w:r w:rsidRPr="00040FCE">
        <w:rPr>
          <w:rFonts w:asciiTheme="minorHAnsi" w:eastAsia="Times New Roman" w:hAnsiTheme="minorHAnsi" w:cstheme="minorHAnsi"/>
          <w:bdr w:val="none" w:sz="0" w:space="0" w:color="auto" w:frame="1"/>
          <w:shd w:val="clear" w:color="auto" w:fill="FFFFFF"/>
        </w:rPr>
        <w:t xml:space="preserve"> </w:t>
      </w:r>
      <w:r w:rsidR="004B6DA8" w:rsidRPr="00040FCE">
        <w:rPr>
          <w:rFonts w:asciiTheme="minorHAnsi" w:eastAsia="Times New Roman" w:hAnsiTheme="minorHAnsi" w:cstheme="minorHAnsi"/>
          <w:shd w:val="clear" w:color="auto" w:fill="FFFFFF"/>
        </w:rPr>
        <w:t xml:space="preserve"> </w:t>
      </w:r>
      <w:r w:rsidRPr="00040FCE">
        <w:rPr>
          <w:rFonts w:asciiTheme="minorHAnsi" w:eastAsia="Times New Roman" w:hAnsiTheme="minorHAnsi" w:cstheme="minorHAnsi"/>
        </w:rPr>
        <w:t xml:space="preserve">“[S]ome courts [have held that] a section 1170.95 petitioner must always mount a successful collateral attack on a prior felony-murder </w:t>
      </w:r>
      <w:r w:rsidRPr="00040FCE">
        <w:rPr>
          <w:rFonts w:asciiTheme="minorHAnsi" w:eastAsia="Times New Roman" w:hAnsiTheme="minorHAnsi" w:cstheme="minorHAnsi"/>
        </w:rPr>
        <w:t>special-circumstance finding against him—no matter when it was made—and until he does so, he cannot plead a prima facie case under section</w:t>
      </w:r>
      <w:r w:rsidR="00AB7743" w:rsidRPr="00040FCE">
        <w:rPr>
          <w:rFonts w:asciiTheme="minorHAnsi" w:eastAsia="Times New Roman" w:hAnsiTheme="minorHAnsi" w:cstheme="minorHAnsi"/>
        </w:rPr>
        <w:t> </w:t>
      </w:r>
      <w:r w:rsidRPr="00040FCE">
        <w:rPr>
          <w:rFonts w:asciiTheme="minorHAnsi" w:eastAsia="Times New Roman" w:hAnsiTheme="minorHAnsi" w:cstheme="minorHAnsi"/>
        </w:rPr>
        <w:t>1170.95, subdivision (c) as a matter of law.</w:t>
      </w:r>
      <w:r w:rsidR="00BA29DB" w:rsidRPr="00040FCE">
        <w:rPr>
          <w:rFonts w:asciiTheme="minorHAnsi" w:eastAsia="Times New Roman" w:hAnsiTheme="minorHAnsi" w:cstheme="minorHAnsi"/>
        </w:rPr>
        <w:t>”  (</w:t>
      </w:r>
      <w:bookmarkStart w:id="36" w:name="dabmci_e5db56244d694b86ac63dd6a578a8571"/>
      <w:r w:rsidR="00BA29DB" w:rsidRPr="00040FCE">
        <w:rPr>
          <w:rFonts w:asciiTheme="minorHAnsi" w:eastAsia="Times New Roman" w:hAnsiTheme="minorHAnsi" w:cstheme="minorHAnsi"/>
          <w:i/>
          <w:iCs/>
          <w:bdr w:val="none" w:sz="0" w:space="0" w:color="auto" w:frame="1"/>
        </w:rPr>
        <w:t>People v. Secrease</w:t>
      </w:r>
      <w:r w:rsidR="00BA29DB" w:rsidRPr="00040FCE">
        <w:rPr>
          <w:rFonts w:asciiTheme="minorHAnsi" w:eastAsia="Times New Roman" w:hAnsiTheme="minorHAnsi" w:cstheme="minorHAnsi"/>
        </w:rPr>
        <w:t> </w:t>
      </w:r>
      <w:r w:rsidR="00681961" w:rsidRPr="00040FCE">
        <w:rPr>
          <w:rFonts w:asciiTheme="minorHAnsi" w:eastAsia="Times New Roman" w:hAnsiTheme="minorHAnsi" w:cstheme="minorHAnsi"/>
        </w:rPr>
        <w:t>(2021</w:t>
      </w:r>
      <w:r w:rsidR="00BA29DB" w:rsidRPr="00040FCE">
        <w:rPr>
          <w:rFonts w:asciiTheme="minorHAnsi" w:eastAsia="Times New Roman" w:hAnsiTheme="minorHAnsi" w:cstheme="minorHAnsi"/>
        </w:rPr>
        <w:t>)</w:t>
      </w:r>
      <w:r w:rsidR="00681961" w:rsidRPr="00040FCE">
        <w:rPr>
          <w:rFonts w:asciiTheme="minorHAnsi" w:eastAsia="Times New Roman" w:hAnsiTheme="minorHAnsi" w:cstheme="minorHAnsi"/>
        </w:rPr>
        <w:t xml:space="preserve"> 63 Cal.App.5th 231, </w:t>
      </w:r>
      <w:r w:rsidR="00040FCE" w:rsidRPr="00040FCE">
        <w:rPr>
          <w:rFonts w:asciiTheme="minorHAnsi" w:eastAsia="Times New Roman" w:hAnsiTheme="minorHAnsi" w:cstheme="minorHAnsi"/>
          <w:bdr w:val="none" w:sz="0" w:space="0" w:color="auto" w:frame="1"/>
        </w:rPr>
        <w:t>2</w:t>
      </w:r>
      <w:r w:rsidR="004E6260">
        <w:rPr>
          <w:rFonts w:asciiTheme="minorHAnsi" w:eastAsia="Times New Roman" w:hAnsiTheme="minorHAnsi" w:cstheme="minorHAnsi"/>
          <w:bdr w:val="none" w:sz="0" w:space="0" w:color="auto" w:frame="1"/>
        </w:rPr>
        <w:t>52</w:t>
      </w:r>
      <w:r w:rsidR="00040FCE" w:rsidRPr="00040FCE">
        <w:rPr>
          <w:rFonts w:asciiTheme="minorHAnsi" w:eastAsia="Times New Roman" w:hAnsiTheme="minorHAnsi" w:cstheme="minorHAnsi"/>
          <w:bdr w:val="none" w:sz="0" w:space="0" w:color="auto" w:frame="1"/>
        </w:rPr>
        <w:t xml:space="preserve"> </w:t>
      </w:r>
      <w:r w:rsidR="00673AEC" w:rsidRPr="00040FCE">
        <w:rPr>
          <w:rFonts w:asciiTheme="minorHAnsi" w:eastAsia="Times New Roman" w:hAnsiTheme="minorHAnsi" w:cstheme="minorHAnsi"/>
        </w:rPr>
        <w:t>(</w:t>
      </w:r>
      <w:r w:rsidR="00673AEC" w:rsidRPr="00040FCE">
        <w:rPr>
          <w:rFonts w:asciiTheme="minorHAnsi" w:eastAsia="Times New Roman" w:hAnsiTheme="minorHAnsi" w:cstheme="minorHAnsi"/>
          <w:i/>
          <w:iCs/>
          <w:bdr w:val="none" w:sz="0" w:space="0" w:color="auto" w:frame="1"/>
        </w:rPr>
        <w:t>Secrease</w:t>
      </w:r>
      <w:r w:rsidR="00673AEC" w:rsidRPr="00040FCE">
        <w:rPr>
          <w:rFonts w:asciiTheme="minorHAnsi" w:eastAsia="Times New Roman" w:hAnsiTheme="minorHAnsi" w:cstheme="minorHAnsi"/>
        </w:rPr>
        <w:t>)</w:t>
      </w:r>
      <w:bookmarkEnd w:id="36"/>
      <w:r w:rsidR="00BA29DB" w:rsidRPr="00040FCE">
        <w:rPr>
          <w:rFonts w:asciiTheme="minorHAnsi" w:eastAsia="Times New Roman" w:hAnsiTheme="minorHAnsi" w:cstheme="minorHAnsi"/>
        </w:rPr>
        <w:t xml:space="preserve"> [fn</w:t>
      </w:r>
      <w:r w:rsidR="002F1BB6">
        <w:rPr>
          <w:rFonts w:asciiTheme="minorHAnsi" w:eastAsia="Times New Roman" w:hAnsiTheme="minorHAnsi" w:cstheme="minorHAnsi"/>
        </w:rPr>
        <w:t>.</w:t>
      </w:r>
      <w:r w:rsidR="00BA29DB" w:rsidRPr="00040FCE">
        <w:rPr>
          <w:rFonts w:asciiTheme="minorHAnsi" w:eastAsia="Times New Roman" w:hAnsiTheme="minorHAnsi" w:cstheme="minorHAnsi"/>
        </w:rPr>
        <w:t xml:space="preserve"> omitted</w:t>
      </w:r>
      <w:r w:rsidR="004E6260">
        <w:rPr>
          <w:rFonts w:asciiTheme="minorHAnsi" w:eastAsia="Times New Roman" w:hAnsiTheme="minorHAnsi" w:cstheme="minorHAnsi"/>
        </w:rPr>
        <w:t>;</w:t>
      </w:r>
      <w:r w:rsidR="00BA29DB" w:rsidRPr="00040FCE">
        <w:rPr>
          <w:rFonts w:asciiTheme="minorHAnsi" w:eastAsia="Times New Roman" w:hAnsiTheme="minorHAnsi" w:cstheme="minorHAnsi"/>
        </w:rPr>
        <w:t xml:space="preserve"> citing </w:t>
      </w:r>
      <w:bookmarkStart w:id="37" w:name="dabmci_e1db16f324c44f218a92145dfc13029e"/>
      <w:r w:rsidRPr="00040FCE">
        <w:rPr>
          <w:rFonts w:asciiTheme="minorHAnsi" w:eastAsia="Times New Roman" w:hAnsiTheme="minorHAnsi" w:cstheme="minorHAnsi"/>
          <w:i/>
          <w:iCs/>
          <w:bdr w:val="none" w:sz="0" w:space="0" w:color="auto" w:frame="1"/>
        </w:rPr>
        <w:t>People v. Gomez</w:t>
      </w:r>
      <w:r w:rsidR="00BA29DB" w:rsidRPr="00040FCE">
        <w:rPr>
          <w:rFonts w:asciiTheme="minorHAnsi" w:eastAsia="Times New Roman" w:hAnsiTheme="minorHAnsi" w:cstheme="minorHAnsi"/>
        </w:rPr>
        <w:t xml:space="preserve"> (2020)</w:t>
      </w:r>
      <w:r w:rsidRPr="00040FCE">
        <w:rPr>
          <w:rFonts w:asciiTheme="minorHAnsi" w:eastAsia="Times New Roman" w:hAnsiTheme="minorHAnsi" w:cstheme="minorHAnsi"/>
        </w:rPr>
        <w:t xml:space="preserve"> 52 Cal.App.5th </w:t>
      </w:r>
      <w:r w:rsidR="00BA29DB" w:rsidRPr="00040FCE">
        <w:rPr>
          <w:rFonts w:asciiTheme="minorHAnsi" w:eastAsia="Times New Roman" w:hAnsiTheme="minorHAnsi" w:cstheme="minorHAnsi"/>
        </w:rPr>
        <w:t>1,</w:t>
      </w:r>
      <w:r w:rsidRPr="00040FCE">
        <w:rPr>
          <w:rFonts w:asciiTheme="minorHAnsi" w:eastAsia="Times New Roman" w:hAnsiTheme="minorHAnsi" w:cstheme="minorHAnsi"/>
        </w:rPr>
        <w:t xml:space="preserve"> 17</w:t>
      </w:r>
      <w:bookmarkEnd w:id="37"/>
      <w:r w:rsidRPr="00040FCE">
        <w:rPr>
          <w:rFonts w:asciiTheme="minorHAnsi" w:eastAsia="Times New Roman" w:hAnsiTheme="minorHAnsi" w:cstheme="minorHAnsi"/>
        </w:rPr>
        <w:t>, review granted</w:t>
      </w:r>
      <w:r w:rsidR="00BA29DB" w:rsidRPr="00040FCE">
        <w:rPr>
          <w:rFonts w:asciiTheme="minorHAnsi" w:eastAsia="Times New Roman" w:hAnsiTheme="minorHAnsi" w:cstheme="minorHAnsi"/>
        </w:rPr>
        <w:t xml:space="preserve"> </w:t>
      </w:r>
      <w:r w:rsidR="00BA29DB" w:rsidRPr="00040FCE">
        <w:rPr>
          <w:rFonts w:asciiTheme="minorHAnsi" w:hAnsiTheme="minorHAnsi" w:cstheme="minorHAnsi"/>
          <w:shd w:val="clear" w:color="auto" w:fill="FFFFFF"/>
        </w:rPr>
        <w:t>Oct. 14, 2020, S264033</w:t>
      </w:r>
      <w:r w:rsidRPr="00040FCE">
        <w:rPr>
          <w:rFonts w:asciiTheme="minorHAnsi" w:eastAsia="Times New Roman" w:hAnsiTheme="minorHAnsi" w:cstheme="minorHAnsi"/>
        </w:rPr>
        <w:t>;</w:t>
      </w:r>
      <w:r w:rsidR="00BA29DB" w:rsidRPr="00040FCE">
        <w:rPr>
          <w:rFonts w:asciiTheme="minorHAnsi" w:eastAsia="Times New Roman" w:hAnsiTheme="minorHAnsi" w:cstheme="minorHAnsi"/>
        </w:rPr>
        <w:t xml:space="preserve"> </w:t>
      </w:r>
      <w:bookmarkStart w:id="38" w:name="dabmci_ffc4be1a0e4b437380c91759d7c73839"/>
      <w:r w:rsidR="00BA29DB" w:rsidRPr="00040FCE">
        <w:rPr>
          <w:rStyle w:val="Emphasis"/>
          <w:rFonts w:asciiTheme="minorHAnsi" w:hAnsiTheme="minorHAnsi" w:cstheme="minorHAnsi"/>
          <w:bdr w:val="none" w:sz="0" w:space="0" w:color="auto" w:frame="1"/>
        </w:rPr>
        <w:t>People v. Galvan</w:t>
      </w:r>
      <w:r w:rsidR="00BA29DB" w:rsidRPr="00040FCE">
        <w:rPr>
          <w:rFonts w:asciiTheme="minorHAnsi" w:hAnsiTheme="minorHAnsi" w:cstheme="minorHAnsi"/>
          <w:shd w:val="clear" w:color="auto" w:fill="FFFFFF"/>
        </w:rPr>
        <w:t> (2020) 52 Cal.App.5th 1134, 1142</w:t>
      </w:r>
      <w:bookmarkEnd w:id="38"/>
      <w:r w:rsidR="00BA29DB" w:rsidRPr="00040FCE">
        <w:rPr>
          <w:rFonts w:asciiTheme="minorHAnsi" w:hAnsiTheme="minorHAnsi" w:cstheme="minorHAnsi"/>
          <w:shd w:val="clear" w:color="auto" w:fill="FFFFFF"/>
        </w:rPr>
        <w:t>, review granted Oct</w:t>
      </w:r>
      <w:r w:rsidR="00AA111D">
        <w:rPr>
          <w:rFonts w:asciiTheme="minorHAnsi" w:hAnsiTheme="minorHAnsi" w:cstheme="minorHAnsi"/>
          <w:shd w:val="clear" w:color="auto" w:fill="FFFFFF"/>
        </w:rPr>
        <w:t>.</w:t>
      </w:r>
      <w:r w:rsidR="00BA29DB" w:rsidRPr="00040FCE">
        <w:rPr>
          <w:rFonts w:asciiTheme="minorHAnsi" w:hAnsiTheme="minorHAnsi" w:cstheme="minorHAnsi"/>
          <w:shd w:val="clear" w:color="auto" w:fill="FFFFFF"/>
        </w:rPr>
        <w:t xml:space="preserve"> 14, 2020, S264284</w:t>
      </w:r>
      <w:r w:rsidRPr="00040FCE">
        <w:rPr>
          <w:rFonts w:asciiTheme="minorHAnsi" w:eastAsia="Times New Roman" w:hAnsiTheme="minorHAnsi" w:cstheme="minorHAnsi"/>
        </w:rPr>
        <w:t>; </w:t>
      </w:r>
      <w:bookmarkStart w:id="39" w:name="dabmci_8364728a13dd49ef90073330a616bf0f"/>
      <w:r w:rsidR="00673AEC" w:rsidRPr="00040FCE">
        <w:rPr>
          <w:rFonts w:asciiTheme="minorHAnsi" w:eastAsia="Times New Roman" w:hAnsiTheme="minorHAnsi" w:cstheme="minorHAnsi"/>
          <w:i/>
          <w:iCs/>
          <w:bdr w:val="none" w:sz="0" w:space="0" w:color="auto" w:frame="1"/>
        </w:rPr>
        <w:t>People v. Jones</w:t>
      </w:r>
      <w:r w:rsidR="00673AEC" w:rsidRPr="00040FCE">
        <w:rPr>
          <w:rFonts w:asciiTheme="minorHAnsi" w:eastAsia="Times New Roman" w:hAnsiTheme="minorHAnsi" w:cstheme="minorHAnsi"/>
        </w:rPr>
        <w:t> (2020) 56 Cal.App.5th 474, 483-484</w:t>
      </w:r>
      <w:bookmarkEnd w:id="39"/>
      <w:r w:rsidRPr="00040FCE">
        <w:rPr>
          <w:rFonts w:asciiTheme="minorHAnsi" w:eastAsia="Times New Roman" w:hAnsiTheme="minorHAnsi" w:cstheme="minorHAnsi"/>
        </w:rPr>
        <w:t>, review grante</w:t>
      </w:r>
      <w:r w:rsidRPr="00040FCE">
        <w:rPr>
          <w:rFonts w:asciiTheme="minorHAnsi" w:eastAsia="Times New Roman" w:hAnsiTheme="minorHAnsi" w:cstheme="minorHAnsi"/>
        </w:rPr>
        <w:t>d</w:t>
      </w:r>
      <w:r w:rsidR="00673AEC" w:rsidRPr="00040FCE">
        <w:rPr>
          <w:rFonts w:asciiTheme="minorHAnsi" w:eastAsia="Times New Roman" w:hAnsiTheme="minorHAnsi" w:cstheme="minorHAnsi"/>
        </w:rPr>
        <w:t xml:space="preserve"> Jan</w:t>
      </w:r>
      <w:r w:rsidR="002F1BB6">
        <w:rPr>
          <w:rFonts w:asciiTheme="minorHAnsi" w:eastAsia="Times New Roman" w:hAnsiTheme="minorHAnsi" w:cstheme="minorHAnsi"/>
        </w:rPr>
        <w:t>.</w:t>
      </w:r>
      <w:r w:rsidR="00673AEC" w:rsidRPr="00040FCE">
        <w:rPr>
          <w:rFonts w:asciiTheme="minorHAnsi" w:eastAsia="Times New Roman" w:hAnsiTheme="minorHAnsi" w:cstheme="minorHAnsi"/>
        </w:rPr>
        <w:t xml:space="preserve"> 27, 2021, </w:t>
      </w:r>
      <w:r w:rsidR="00673AEC" w:rsidRPr="00040FCE">
        <w:rPr>
          <w:rFonts w:asciiTheme="minorHAnsi" w:hAnsiTheme="minorHAnsi" w:cstheme="minorHAnsi"/>
          <w:shd w:val="clear" w:color="auto" w:fill="FFFFFF"/>
        </w:rPr>
        <w:t>S265854</w:t>
      </w:r>
      <w:r w:rsidRPr="00040FCE">
        <w:rPr>
          <w:rFonts w:asciiTheme="minorHAnsi" w:eastAsia="Times New Roman" w:hAnsiTheme="minorHAnsi" w:cstheme="minorHAnsi"/>
        </w:rPr>
        <w:t>; </w:t>
      </w:r>
      <w:bookmarkStart w:id="40" w:name="dabmci_e8ec867d069048a19c6d221744e4d61c"/>
      <w:r w:rsidRPr="00040FCE">
        <w:rPr>
          <w:rFonts w:asciiTheme="minorHAnsi" w:eastAsia="Times New Roman" w:hAnsiTheme="minorHAnsi" w:cstheme="minorHAnsi"/>
          <w:i/>
          <w:iCs/>
          <w:bdr w:val="none" w:sz="0" w:space="0" w:color="auto" w:frame="1"/>
        </w:rPr>
        <w:t>Allison</w:t>
      </w:r>
      <w:r w:rsidRPr="00040FCE">
        <w:rPr>
          <w:rFonts w:asciiTheme="minorHAnsi" w:eastAsia="Times New Roman" w:hAnsiTheme="minorHAnsi" w:cstheme="minorHAnsi"/>
        </w:rPr>
        <w:t>, </w:t>
      </w:r>
      <w:r w:rsidRPr="00040FCE">
        <w:rPr>
          <w:rFonts w:asciiTheme="minorHAnsi" w:eastAsia="Times New Roman" w:hAnsiTheme="minorHAnsi" w:cstheme="minorHAnsi"/>
          <w:i/>
          <w:iCs/>
          <w:bdr w:val="none" w:sz="0" w:space="0" w:color="auto" w:frame="1"/>
        </w:rPr>
        <w:t>supra</w:t>
      </w:r>
      <w:r w:rsidRPr="00040FCE">
        <w:rPr>
          <w:rFonts w:asciiTheme="minorHAnsi" w:eastAsia="Times New Roman" w:hAnsiTheme="minorHAnsi" w:cstheme="minorHAnsi"/>
        </w:rPr>
        <w:t>, 55 Cal.App.5th at p.</w:t>
      </w:r>
      <w:r w:rsidR="00620EA4">
        <w:rPr>
          <w:rFonts w:asciiTheme="minorHAnsi" w:eastAsia="Times New Roman" w:hAnsiTheme="minorHAnsi" w:cstheme="minorHAnsi"/>
        </w:rPr>
        <w:t> </w:t>
      </w:r>
      <w:r w:rsidRPr="00040FCE">
        <w:rPr>
          <w:rFonts w:asciiTheme="minorHAnsi" w:eastAsia="Times New Roman" w:hAnsiTheme="minorHAnsi" w:cstheme="minorHAnsi"/>
        </w:rPr>
        <w:t>459, fn</w:t>
      </w:r>
      <w:r w:rsidRPr="00A8519A">
        <w:rPr>
          <w:rFonts w:asciiTheme="minorHAnsi" w:eastAsia="Times New Roman" w:hAnsiTheme="minorHAnsi" w:cstheme="minorHAnsi"/>
        </w:rPr>
        <w:t>. 9</w:t>
      </w:r>
      <w:bookmarkEnd w:id="40"/>
      <w:r w:rsidR="002417D3" w:rsidRPr="00A8519A">
        <w:rPr>
          <w:rFonts w:asciiTheme="minorHAnsi" w:eastAsia="Times New Roman" w:hAnsiTheme="minorHAnsi" w:cstheme="minorHAnsi"/>
        </w:rPr>
        <w:t>]</w:t>
      </w:r>
      <w:r w:rsidR="00A8519A" w:rsidRPr="00A8519A">
        <w:rPr>
          <w:rFonts w:asciiTheme="minorHAnsi" w:eastAsia="Times New Roman" w:hAnsiTheme="minorHAnsi" w:cstheme="minorHAnsi"/>
        </w:rPr>
        <w:t xml:space="preserve">; see </w:t>
      </w:r>
      <w:r w:rsidR="00A8519A" w:rsidRPr="0063057C">
        <w:rPr>
          <w:rFonts w:asciiTheme="minorHAnsi" w:eastAsia="Times New Roman" w:hAnsiTheme="minorHAnsi" w:cstheme="minorHAnsi"/>
          <w:i/>
          <w:iCs/>
          <w:bdr w:val="none" w:sz="0" w:space="0" w:color="auto" w:frame="1"/>
        </w:rPr>
        <w:t>People v. Simmons</w:t>
      </w:r>
      <w:r w:rsidR="00A8519A" w:rsidRPr="0063057C">
        <w:rPr>
          <w:rFonts w:asciiTheme="minorHAnsi" w:eastAsia="Times New Roman" w:hAnsiTheme="minorHAnsi" w:cstheme="minorHAnsi"/>
        </w:rPr>
        <w:t> (2021) 65 Cal.App.5th 739 [“</w:t>
      </w:r>
      <w:r w:rsidR="00A8519A" w:rsidRPr="0063057C">
        <w:rPr>
          <w:rFonts w:asciiTheme="minorHAnsi" w:eastAsia="Times New Roman" w:hAnsiTheme="minorHAnsi" w:cstheme="minorHAnsi"/>
          <w:shd w:val="clear" w:color="auto" w:fill="FFFFFF"/>
        </w:rPr>
        <w:t>We find more persuasive those cases holding that a special circumstance finding precludes relief as a matter of law.”]</w:t>
      </w:r>
      <w:r w:rsidRPr="00A8519A">
        <w:rPr>
          <w:rFonts w:asciiTheme="minorHAnsi" w:eastAsia="Times New Roman" w:hAnsiTheme="minorHAnsi" w:cstheme="minorHAnsi"/>
        </w:rPr>
        <w:t xml:space="preserve">.)  </w:t>
      </w:r>
      <w:r w:rsidR="00673AEC" w:rsidRPr="00040FCE">
        <w:rPr>
          <w:rFonts w:asciiTheme="minorHAnsi" w:eastAsia="Times New Roman" w:hAnsiTheme="minorHAnsi" w:cstheme="minorHAnsi"/>
        </w:rPr>
        <w:t>“</w:t>
      </w:r>
      <w:r w:rsidRPr="00040FCE">
        <w:rPr>
          <w:rFonts w:asciiTheme="minorHAnsi" w:eastAsia="Times New Roman" w:hAnsiTheme="minorHAnsi" w:cstheme="minorHAnsi"/>
        </w:rPr>
        <w:t xml:space="preserve">The </w:t>
      </w:r>
      <w:r w:rsidRPr="00040FCE">
        <w:rPr>
          <w:rFonts w:asciiTheme="minorHAnsi" w:eastAsia="Times New Roman" w:hAnsiTheme="minorHAnsi" w:cstheme="minorHAnsi"/>
        </w:rPr>
        <w:t>courts so holding point out that major participation and reckless disregard of human life have always been required elements of a special circumstance finding under section 190.2, subdivisions</w:t>
      </w:r>
      <w:r w:rsidR="00AB7743" w:rsidRPr="00040FCE">
        <w:rPr>
          <w:rFonts w:asciiTheme="minorHAnsi" w:eastAsia="Times New Roman" w:hAnsiTheme="minorHAnsi" w:cstheme="minorHAnsi"/>
        </w:rPr>
        <w:t> </w:t>
      </w:r>
      <w:r w:rsidRPr="00040FCE">
        <w:rPr>
          <w:rFonts w:asciiTheme="minorHAnsi" w:eastAsia="Times New Roman" w:hAnsiTheme="minorHAnsi" w:cstheme="minorHAnsi"/>
        </w:rPr>
        <w:t>(a)(17) and (d).  And because revisiting those issues in a sect</w:t>
      </w:r>
      <w:r w:rsidRPr="00040FCE">
        <w:rPr>
          <w:rFonts w:asciiTheme="minorHAnsi" w:eastAsia="Times New Roman" w:hAnsiTheme="minorHAnsi" w:cstheme="minorHAnsi"/>
        </w:rPr>
        <w:t xml:space="preserve">ion 1170.95 </w:t>
      </w:r>
      <w:r w:rsidRPr="00040FCE">
        <w:rPr>
          <w:rFonts w:asciiTheme="minorHAnsi" w:eastAsia="Times New Roman" w:hAnsiTheme="minorHAnsi" w:cstheme="minorHAnsi"/>
        </w:rPr>
        <w:lastRenderedPageBreak/>
        <w:t>proceeding, ‘ “in effect,” ’ amounts to an attack on a valid special circumstance finding, these courts take the view that a defendant in [Pineda’s] position must first invalidate the special circumstance finding before he may seek section 1170</w:t>
      </w:r>
      <w:r w:rsidRPr="00040FCE">
        <w:rPr>
          <w:rFonts w:asciiTheme="minorHAnsi" w:eastAsia="Times New Roman" w:hAnsiTheme="minorHAnsi" w:cstheme="minorHAnsi"/>
        </w:rPr>
        <w:t xml:space="preserve">.95 relief.  [Citations.]  </w:t>
      </w:r>
      <w:r w:rsidRPr="00040FCE">
        <w:rPr>
          <w:rFonts w:asciiTheme="minorHAnsi" w:eastAsia="Times New Roman" w:hAnsiTheme="minorHAnsi" w:cstheme="minorHAnsi"/>
          <w:bdr w:val="none" w:sz="0" w:space="0" w:color="auto" w:frame="1"/>
          <w:shd w:val="clear" w:color="auto" w:fill="FFFFFF"/>
        </w:rPr>
        <w:t xml:space="preserve">In this view, it is not the changes to </w:t>
      </w:r>
      <w:bookmarkStart w:id="41" w:name="dabmci_d215e3adcf134d84bfcc3a0257515c04"/>
      <w:r w:rsidRPr="00040FCE">
        <w:rPr>
          <w:rFonts w:asciiTheme="minorHAnsi" w:eastAsia="Times New Roman" w:hAnsiTheme="minorHAnsi" w:cstheme="minorHAnsi"/>
          <w:bdr w:val="none" w:sz="0" w:space="0" w:color="auto" w:frame="1"/>
          <w:shd w:val="clear" w:color="auto" w:fill="FFFFFF"/>
        </w:rPr>
        <w:t>sections 188 and 189</w:t>
      </w:r>
      <w:bookmarkEnd w:id="41"/>
      <w:r w:rsidRPr="00040FCE">
        <w:rPr>
          <w:rFonts w:asciiTheme="minorHAnsi" w:eastAsia="Times New Roman" w:hAnsiTheme="minorHAnsi" w:cstheme="minorHAnsi"/>
          <w:bdr w:val="none" w:sz="0" w:space="0" w:color="auto" w:frame="1"/>
          <w:shd w:val="clear" w:color="auto" w:fill="FFFFFF"/>
        </w:rPr>
        <w:t xml:space="preserve"> that potentially render such a defendant</w:t>
      </w:r>
      <w:r w:rsidR="00681961" w:rsidRPr="00040FCE">
        <w:rPr>
          <w:rFonts w:asciiTheme="minorHAnsi" w:eastAsia="Times New Roman" w:hAnsiTheme="minorHAnsi" w:cstheme="minorHAnsi"/>
          <w:bdr w:val="none" w:sz="0" w:space="0" w:color="auto" w:frame="1"/>
          <w:shd w:val="clear" w:color="auto" w:fill="FFFFFF"/>
        </w:rPr>
        <w:t>’</w:t>
      </w:r>
      <w:r w:rsidRPr="00040FCE">
        <w:rPr>
          <w:rFonts w:asciiTheme="minorHAnsi" w:eastAsia="Times New Roman" w:hAnsiTheme="minorHAnsi" w:cstheme="minorHAnsi"/>
          <w:bdr w:val="none" w:sz="0" w:space="0" w:color="auto" w:frame="1"/>
          <w:shd w:val="clear" w:color="auto" w:fill="FFFFFF"/>
        </w:rPr>
        <w:t>s murder conviction invalid under current law; it is the</w:t>
      </w:r>
      <w:r w:rsidR="00673AEC" w:rsidRPr="00040FCE">
        <w:rPr>
          <w:rFonts w:asciiTheme="minorHAnsi" w:eastAsia="Times New Roman" w:hAnsiTheme="minorHAnsi" w:cstheme="minorHAnsi"/>
          <w:bdr w:val="none" w:sz="0" w:space="0" w:color="auto" w:frame="1"/>
          <w:shd w:val="clear" w:color="auto" w:fill="FFFFFF"/>
        </w:rPr>
        <w:t xml:space="preserve"> </w:t>
      </w:r>
      <w:r w:rsidRPr="00040FCE">
        <w:rPr>
          <w:rFonts w:asciiTheme="minorHAnsi" w:eastAsia="Times New Roman" w:hAnsiTheme="minorHAnsi" w:cstheme="minorHAnsi"/>
          <w:i/>
          <w:iCs/>
          <w:bdr w:val="none" w:sz="0" w:space="0" w:color="auto" w:frame="1"/>
          <w:shd w:val="clear" w:color="auto" w:fill="FFFFFF"/>
        </w:rPr>
        <w:t>Banks</w:t>
      </w:r>
      <w:r w:rsidR="00673AEC" w:rsidRPr="00040FCE">
        <w:rPr>
          <w:rFonts w:asciiTheme="minorHAnsi" w:eastAsia="Times New Roman" w:hAnsiTheme="minorHAnsi" w:cstheme="minorHAnsi"/>
          <w:bdr w:val="none" w:sz="0" w:space="0" w:color="auto" w:frame="1"/>
          <w:shd w:val="clear" w:color="auto" w:fill="FFFFFF"/>
        </w:rPr>
        <w:t xml:space="preserve"> </w:t>
      </w:r>
      <w:r w:rsidRPr="00040FCE">
        <w:rPr>
          <w:rFonts w:asciiTheme="minorHAnsi" w:eastAsia="Times New Roman" w:hAnsiTheme="minorHAnsi" w:cstheme="minorHAnsi"/>
          <w:bdr w:val="none" w:sz="0" w:space="0" w:color="auto" w:frame="1"/>
          <w:shd w:val="clear" w:color="auto" w:fill="FFFFFF"/>
        </w:rPr>
        <w:t>and</w:t>
      </w:r>
      <w:r w:rsidR="00673AEC" w:rsidRPr="00040FCE">
        <w:rPr>
          <w:rFonts w:asciiTheme="minorHAnsi" w:eastAsia="Times New Roman" w:hAnsiTheme="minorHAnsi" w:cstheme="minorHAnsi"/>
          <w:bdr w:val="none" w:sz="0" w:space="0" w:color="auto" w:frame="1"/>
          <w:shd w:val="clear" w:color="auto" w:fill="FFFFFF"/>
        </w:rPr>
        <w:t xml:space="preserve"> </w:t>
      </w:r>
      <w:r w:rsidRPr="00040FCE">
        <w:rPr>
          <w:rFonts w:asciiTheme="minorHAnsi" w:eastAsia="Times New Roman" w:hAnsiTheme="minorHAnsi" w:cstheme="minorHAnsi"/>
          <w:i/>
          <w:iCs/>
          <w:bdr w:val="none" w:sz="0" w:space="0" w:color="auto" w:frame="1"/>
          <w:shd w:val="clear" w:color="auto" w:fill="FFFFFF"/>
        </w:rPr>
        <w:t>Clark</w:t>
      </w:r>
      <w:r w:rsidR="00673AEC" w:rsidRPr="00040FCE">
        <w:rPr>
          <w:rFonts w:asciiTheme="minorHAnsi" w:eastAsia="Times New Roman" w:hAnsiTheme="minorHAnsi" w:cstheme="minorHAnsi"/>
          <w:bdr w:val="none" w:sz="0" w:space="0" w:color="auto" w:frame="1"/>
          <w:shd w:val="clear" w:color="auto" w:fill="FFFFFF"/>
        </w:rPr>
        <w:t xml:space="preserve"> </w:t>
      </w:r>
      <w:r w:rsidRPr="00040FCE">
        <w:rPr>
          <w:rFonts w:asciiTheme="minorHAnsi" w:eastAsia="Times New Roman" w:hAnsiTheme="minorHAnsi" w:cstheme="minorHAnsi"/>
          <w:bdr w:val="none" w:sz="0" w:space="0" w:color="auto" w:frame="1"/>
          <w:shd w:val="clear" w:color="auto" w:fill="FFFFFF"/>
        </w:rPr>
        <w:t xml:space="preserve">decisions that have that effect, which is why the </w:t>
      </w:r>
      <w:r w:rsidRPr="00040FCE">
        <w:rPr>
          <w:rFonts w:asciiTheme="minorHAnsi" w:eastAsia="Times New Roman" w:hAnsiTheme="minorHAnsi" w:cstheme="minorHAnsi"/>
          <w:bdr w:val="none" w:sz="0" w:space="0" w:color="auto" w:frame="1"/>
          <w:shd w:val="clear" w:color="auto" w:fill="FFFFFF"/>
        </w:rPr>
        <w:t>remedy of habeas corpus must be sought in the first instance.</w:t>
      </w:r>
      <w:r w:rsidRPr="00040FCE">
        <w:rPr>
          <w:rFonts w:asciiTheme="minorHAnsi" w:eastAsia="Times New Roman" w:hAnsiTheme="minorHAnsi" w:cstheme="minorHAnsi"/>
        </w:rPr>
        <w:t xml:space="preserve">  [Citation.]”  (</w:t>
      </w:r>
      <w:bookmarkStart w:id="42" w:name="dabmci_a33d5211f08c47d98d9aab1cd435adea"/>
      <w:r w:rsidRPr="00040FCE">
        <w:rPr>
          <w:rFonts w:asciiTheme="minorHAnsi" w:eastAsia="Times New Roman" w:hAnsiTheme="minorHAnsi" w:cstheme="minorHAnsi"/>
          <w:i/>
          <w:iCs/>
          <w:bdr w:val="none" w:sz="0" w:space="0" w:color="auto" w:frame="1"/>
        </w:rPr>
        <w:t>Secrease</w:t>
      </w:r>
      <w:r w:rsidR="00673AEC" w:rsidRPr="00040FCE">
        <w:rPr>
          <w:rFonts w:asciiTheme="minorHAnsi" w:eastAsia="Times New Roman" w:hAnsiTheme="minorHAnsi" w:cstheme="minorHAnsi"/>
        </w:rPr>
        <w:t xml:space="preserve">, </w:t>
      </w:r>
      <w:r w:rsidR="00673AEC" w:rsidRPr="00040FCE">
        <w:rPr>
          <w:rFonts w:asciiTheme="minorHAnsi" w:eastAsia="Times New Roman" w:hAnsiTheme="minorHAnsi" w:cstheme="minorHAnsi"/>
          <w:i/>
          <w:iCs/>
        </w:rPr>
        <w:t>supra</w:t>
      </w:r>
      <w:r w:rsidR="00673AEC" w:rsidRPr="00040FCE">
        <w:rPr>
          <w:rFonts w:asciiTheme="minorHAnsi" w:eastAsia="Times New Roman" w:hAnsiTheme="minorHAnsi" w:cstheme="minorHAnsi"/>
        </w:rPr>
        <w:t xml:space="preserve">, </w:t>
      </w:r>
      <w:r w:rsidRPr="00040FCE">
        <w:rPr>
          <w:rFonts w:asciiTheme="minorHAnsi" w:eastAsia="Times New Roman" w:hAnsiTheme="minorHAnsi" w:cstheme="minorHAnsi"/>
        </w:rPr>
        <w:t xml:space="preserve">at </w:t>
      </w:r>
      <w:r w:rsidR="00040FCE">
        <w:rPr>
          <w:rFonts w:asciiTheme="minorHAnsi" w:eastAsia="Times New Roman" w:hAnsiTheme="minorHAnsi" w:cstheme="minorHAnsi"/>
        </w:rPr>
        <w:t>p</w:t>
      </w:r>
      <w:r w:rsidR="004E6260">
        <w:rPr>
          <w:rFonts w:asciiTheme="minorHAnsi" w:eastAsia="Times New Roman" w:hAnsiTheme="minorHAnsi" w:cstheme="minorHAnsi"/>
        </w:rPr>
        <w:t>p</w:t>
      </w:r>
      <w:r w:rsidR="00040FCE">
        <w:rPr>
          <w:rFonts w:asciiTheme="minorHAnsi" w:eastAsia="Times New Roman" w:hAnsiTheme="minorHAnsi" w:cstheme="minorHAnsi"/>
        </w:rPr>
        <w:t xml:space="preserve">. </w:t>
      </w:r>
      <w:bookmarkEnd w:id="42"/>
      <w:r w:rsidR="004E6260">
        <w:rPr>
          <w:rFonts w:asciiTheme="minorHAnsi" w:eastAsia="Times New Roman" w:hAnsiTheme="minorHAnsi" w:cstheme="minorHAnsi"/>
        </w:rPr>
        <w:t>252-253, fn. omitted</w:t>
      </w:r>
      <w:r w:rsidR="00673AEC" w:rsidRPr="00040FCE">
        <w:rPr>
          <w:rFonts w:asciiTheme="minorHAnsi" w:eastAsia="Times New Roman" w:hAnsiTheme="minorHAnsi" w:cstheme="minorHAnsi"/>
        </w:rPr>
        <w:t>.)</w:t>
      </w:r>
    </w:p>
    <w:p w14:paraId="4E1852A5" w14:textId="6737E62C" w:rsidR="002A5850" w:rsidRPr="0063057C" w:rsidRDefault="00024CFE" w:rsidP="002A5850">
      <w:pPr>
        <w:rPr>
          <w:rFonts w:asciiTheme="minorHAnsi" w:eastAsia="Times New Roman" w:hAnsiTheme="minorHAnsi" w:cstheme="minorHAnsi"/>
        </w:rPr>
      </w:pPr>
      <w:r w:rsidRPr="00AB57FD">
        <w:rPr>
          <w:rFonts w:asciiTheme="minorHAnsi" w:eastAsia="Times New Roman" w:hAnsiTheme="minorHAnsi" w:cstheme="minorHAnsi"/>
        </w:rPr>
        <w:tab/>
        <w:t xml:space="preserve">“Other courts do not impose a requirement that a section 1170.95 petitioner who seeks resentencing in the face of a prior jury </w:t>
      </w:r>
      <w:r w:rsidRPr="00AB57FD">
        <w:rPr>
          <w:rFonts w:asciiTheme="minorHAnsi" w:eastAsia="Times New Roman" w:hAnsiTheme="minorHAnsi" w:cstheme="minorHAnsi"/>
        </w:rPr>
        <w:t>finding under section 190.2, subdivision</w:t>
      </w:r>
      <w:r>
        <w:rPr>
          <w:rFonts w:asciiTheme="minorHAnsi" w:eastAsia="Times New Roman" w:hAnsiTheme="minorHAnsi" w:cstheme="minorHAnsi"/>
        </w:rPr>
        <w:t> </w:t>
      </w:r>
      <w:r w:rsidRPr="00AB57FD">
        <w:rPr>
          <w:rFonts w:asciiTheme="minorHAnsi" w:eastAsia="Times New Roman" w:hAnsiTheme="minorHAnsi" w:cstheme="minorHAnsi"/>
        </w:rPr>
        <w:t xml:space="preserve">(a)(17) must first obtain habeas </w:t>
      </w:r>
      <w:r w:rsidR="00FE6F46">
        <w:rPr>
          <w:rFonts w:asciiTheme="minorHAnsi" w:eastAsia="Times New Roman" w:hAnsiTheme="minorHAnsi" w:cstheme="minorHAnsi"/>
        </w:rPr>
        <w:t xml:space="preserve">corpus </w:t>
      </w:r>
      <w:r w:rsidRPr="00AB57FD">
        <w:rPr>
          <w:rFonts w:asciiTheme="minorHAnsi" w:eastAsia="Times New Roman" w:hAnsiTheme="minorHAnsi" w:cstheme="minorHAnsi"/>
        </w:rPr>
        <w:t xml:space="preserve">relief, and hold that he may opt to pursue relief by attacking his murder conviction—not his special circumstance finding—on the ground that, under current law as revised by </w:t>
      </w:r>
      <w:bookmarkStart w:id="43" w:name="dabmci_9834d20d64ec45a1a3917b7ad84eb8a7"/>
      <w:r w:rsidRPr="00AB57FD">
        <w:rPr>
          <w:rFonts w:asciiTheme="minorHAnsi" w:eastAsia="Times New Roman" w:hAnsiTheme="minorHAnsi" w:cstheme="minorHAnsi"/>
        </w:rPr>
        <w:t>S</w:t>
      </w:r>
      <w:r w:rsidRPr="00AB57FD">
        <w:rPr>
          <w:rFonts w:asciiTheme="minorHAnsi" w:eastAsia="Times New Roman" w:hAnsiTheme="minorHAnsi" w:cstheme="minorHAnsi"/>
        </w:rPr>
        <w:t>enate Bill 1437</w:t>
      </w:r>
      <w:bookmarkEnd w:id="43"/>
      <w:r w:rsidRPr="00AB57FD">
        <w:rPr>
          <w:rFonts w:asciiTheme="minorHAnsi" w:eastAsia="Times New Roman" w:hAnsiTheme="minorHAnsi" w:cstheme="minorHAnsi"/>
        </w:rPr>
        <w:t>, he could no longer be convicted of murder.</w:t>
      </w:r>
      <w:r w:rsidR="00673AEC" w:rsidRPr="00AB57FD">
        <w:rPr>
          <w:rFonts w:asciiTheme="minorHAnsi" w:eastAsia="Times New Roman" w:hAnsiTheme="minorHAnsi" w:cstheme="minorHAnsi"/>
        </w:rPr>
        <w:t>”  (</w:t>
      </w:r>
      <w:bookmarkStart w:id="44" w:name="dabmci_4823089ee5394232adf8fd498d59c420"/>
      <w:r w:rsidR="00673AEC" w:rsidRPr="00AB57FD">
        <w:rPr>
          <w:rFonts w:asciiTheme="minorHAnsi" w:eastAsia="Times New Roman" w:hAnsiTheme="minorHAnsi" w:cstheme="minorHAnsi"/>
          <w:i/>
          <w:iCs/>
          <w:bdr w:val="none" w:sz="0" w:space="0" w:color="auto" w:frame="1"/>
        </w:rPr>
        <w:t>Secrease</w:t>
      </w:r>
      <w:r w:rsidR="00673AEC" w:rsidRPr="00AB57FD">
        <w:rPr>
          <w:rFonts w:asciiTheme="minorHAnsi" w:eastAsia="Times New Roman" w:hAnsiTheme="minorHAnsi" w:cstheme="minorHAnsi"/>
        </w:rPr>
        <w:t xml:space="preserve">, </w:t>
      </w:r>
      <w:r w:rsidR="00673AEC" w:rsidRPr="00AB57FD">
        <w:rPr>
          <w:rFonts w:asciiTheme="minorHAnsi" w:eastAsia="Times New Roman" w:hAnsiTheme="minorHAnsi" w:cstheme="minorHAnsi"/>
          <w:i/>
          <w:iCs/>
        </w:rPr>
        <w:t>supra</w:t>
      </w:r>
      <w:r w:rsidR="00673AEC" w:rsidRPr="00AB57FD">
        <w:rPr>
          <w:rFonts w:asciiTheme="minorHAnsi" w:eastAsia="Times New Roman" w:hAnsiTheme="minorHAnsi" w:cstheme="minorHAnsi"/>
        </w:rPr>
        <w:t xml:space="preserve">, </w:t>
      </w:r>
      <w:r w:rsidR="00FE6F46" w:rsidRPr="00040FCE">
        <w:rPr>
          <w:rFonts w:asciiTheme="minorHAnsi" w:eastAsia="Times New Roman" w:hAnsiTheme="minorHAnsi" w:cstheme="minorHAnsi"/>
        </w:rPr>
        <w:t xml:space="preserve">63 Cal.App.5th </w:t>
      </w:r>
      <w:r w:rsidR="00673AEC" w:rsidRPr="00AB57FD">
        <w:rPr>
          <w:rFonts w:asciiTheme="minorHAnsi" w:eastAsia="Times New Roman" w:hAnsiTheme="minorHAnsi" w:cstheme="minorHAnsi"/>
        </w:rPr>
        <w:t xml:space="preserve">at </w:t>
      </w:r>
      <w:r w:rsidR="00040FCE">
        <w:rPr>
          <w:rFonts w:asciiTheme="minorHAnsi" w:eastAsia="Times New Roman" w:hAnsiTheme="minorHAnsi" w:cstheme="minorHAnsi"/>
        </w:rPr>
        <w:t xml:space="preserve">p. </w:t>
      </w:r>
      <w:bookmarkEnd w:id="44"/>
      <w:r w:rsidR="00FE6F46">
        <w:rPr>
          <w:rFonts w:asciiTheme="minorHAnsi" w:eastAsia="Times New Roman" w:hAnsiTheme="minorHAnsi" w:cstheme="minorHAnsi"/>
        </w:rPr>
        <w:t>253</w:t>
      </w:r>
      <w:r w:rsidR="00673AEC" w:rsidRPr="00AB57FD">
        <w:rPr>
          <w:rFonts w:asciiTheme="minorHAnsi" w:eastAsia="Times New Roman" w:hAnsiTheme="minorHAnsi" w:cstheme="minorHAnsi"/>
        </w:rPr>
        <w:t xml:space="preserve"> [citing </w:t>
      </w:r>
      <w:bookmarkStart w:id="45" w:name="dabmci_488f075041e041e2837c54b16d8619c3"/>
      <w:r w:rsidR="00673AEC" w:rsidRPr="00AB57FD">
        <w:rPr>
          <w:rStyle w:val="cohl"/>
          <w:rFonts w:asciiTheme="minorHAnsi" w:hAnsiTheme="minorHAnsi" w:cstheme="minorHAnsi"/>
          <w:i/>
          <w:iCs/>
          <w:bdr w:val="none" w:sz="0" w:space="0" w:color="auto" w:frame="1"/>
          <w:shd w:val="clear" w:color="auto" w:fill="FFFFFF"/>
        </w:rPr>
        <w:t>People v. Torres</w:t>
      </w:r>
      <w:r w:rsidR="00673AEC" w:rsidRPr="00AB57FD">
        <w:rPr>
          <w:rStyle w:val="cohl"/>
          <w:rFonts w:asciiTheme="minorHAnsi" w:hAnsiTheme="minorHAnsi" w:cstheme="minorHAnsi"/>
          <w:bdr w:val="none" w:sz="0" w:space="0" w:color="auto" w:frame="1"/>
          <w:shd w:val="clear" w:color="auto" w:fill="FFFFFF"/>
        </w:rPr>
        <w:t> (2020) 46 Cal.App.5th 1168, 1179-1180</w:t>
      </w:r>
      <w:bookmarkEnd w:id="45"/>
      <w:r w:rsidR="00673AEC" w:rsidRPr="00AB57FD">
        <w:rPr>
          <w:rStyle w:val="cohl"/>
          <w:rFonts w:asciiTheme="minorHAnsi" w:hAnsiTheme="minorHAnsi" w:cstheme="minorHAnsi"/>
          <w:bdr w:val="none" w:sz="0" w:space="0" w:color="auto" w:frame="1"/>
          <w:shd w:val="clear" w:color="auto" w:fill="FFFFFF"/>
        </w:rPr>
        <w:t xml:space="preserve">, </w:t>
      </w:r>
      <w:r w:rsidR="00673AEC" w:rsidRPr="00AB57FD">
        <w:rPr>
          <w:rStyle w:val="cohl"/>
          <w:rFonts w:asciiTheme="minorHAnsi" w:hAnsiTheme="minorHAnsi" w:cstheme="minorHAnsi"/>
          <w:bdr w:val="none" w:sz="0" w:space="0" w:color="auto" w:frame="1"/>
        </w:rPr>
        <w:t>review granted Jun</w:t>
      </w:r>
      <w:r w:rsidR="00FE6F46">
        <w:rPr>
          <w:rStyle w:val="cohl"/>
          <w:rFonts w:asciiTheme="minorHAnsi" w:hAnsiTheme="minorHAnsi" w:cstheme="minorHAnsi"/>
          <w:bdr w:val="none" w:sz="0" w:space="0" w:color="auto" w:frame="1"/>
        </w:rPr>
        <w:t>.</w:t>
      </w:r>
      <w:r w:rsidR="00673AEC" w:rsidRPr="00AB57FD">
        <w:rPr>
          <w:rStyle w:val="cohl"/>
          <w:rFonts w:asciiTheme="minorHAnsi" w:hAnsiTheme="minorHAnsi" w:cstheme="minorHAnsi"/>
          <w:bdr w:val="none" w:sz="0" w:space="0" w:color="auto" w:frame="1"/>
        </w:rPr>
        <w:t xml:space="preserve"> 24, 2020, S26</w:t>
      </w:r>
      <w:r w:rsidR="00FE6F46">
        <w:rPr>
          <w:rStyle w:val="cohl"/>
          <w:rFonts w:asciiTheme="minorHAnsi" w:hAnsiTheme="minorHAnsi" w:cstheme="minorHAnsi"/>
          <w:bdr w:val="none" w:sz="0" w:space="0" w:color="auto" w:frame="1"/>
        </w:rPr>
        <w:t>2</w:t>
      </w:r>
      <w:r w:rsidR="00673AEC" w:rsidRPr="00AB57FD">
        <w:rPr>
          <w:rStyle w:val="cohl"/>
          <w:rFonts w:asciiTheme="minorHAnsi" w:hAnsiTheme="minorHAnsi" w:cstheme="minorHAnsi"/>
          <w:bdr w:val="none" w:sz="0" w:space="0" w:color="auto" w:frame="1"/>
        </w:rPr>
        <w:t>011</w:t>
      </w:r>
      <w:r w:rsidRPr="00AB57FD">
        <w:rPr>
          <w:rFonts w:asciiTheme="minorHAnsi" w:eastAsia="Times New Roman" w:hAnsiTheme="minorHAnsi" w:cstheme="minorHAnsi"/>
        </w:rPr>
        <w:t>; </w:t>
      </w:r>
      <w:bookmarkStart w:id="46" w:name="dabmci_1e84ff8fba564a7ba19aa9c759982043"/>
      <w:r w:rsidR="00AB57FD" w:rsidRPr="00AB57FD">
        <w:rPr>
          <w:rFonts w:asciiTheme="minorHAnsi" w:eastAsia="Times New Roman" w:hAnsiTheme="minorHAnsi" w:cstheme="minorHAnsi"/>
          <w:i/>
          <w:iCs/>
        </w:rPr>
        <w:t xml:space="preserve">People v. </w:t>
      </w:r>
      <w:r w:rsidRPr="00AB57FD">
        <w:rPr>
          <w:rFonts w:asciiTheme="minorHAnsi" w:eastAsia="Times New Roman" w:hAnsiTheme="minorHAnsi" w:cstheme="minorHAnsi"/>
          <w:i/>
          <w:iCs/>
          <w:bdr w:val="none" w:sz="0" w:space="0" w:color="auto" w:frame="1"/>
        </w:rPr>
        <w:t>Smith</w:t>
      </w:r>
      <w:r w:rsidR="00AB57FD" w:rsidRPr="00AB57FD">
        <w:rPr>
          <w:rFonts w:asciiTheme="minorHAnsi" w:eastAsia="Times New Roman" w:hAnsiTheme="minorHAnsi" w:cstheme="minorHAnsi"/>
        </w:rPr>
        <w:t xml:space="preserve"> (2020) </w:t>
      </w:r>
      <w:r w:rsidRPr="00AB57FD">
        <w:rPr>
          <w:rFonts w:asciiTheme="minorHAnsi" w:eastAsia="Times New Roman" w:hAnsiTheme="minorHAnsi" w:cstheme="minorHAnsi"/>
        </w:rPr>
        <w:t>49 Cal.App.5th</w:t>
      </w:r>
      <w:r w:rsidR="00AB57FD" w:rsidRPr="00AB57FD">
        <w:rPr>
          <w:rFonts w:asciiTheme="minorHAnsi" w:eastAsia="Times New Roman" w:hAnsiTheme="minorHAnsi" w:cstheme="minorHAnsi"/>
        </w:rPr>
        <w:t xml:space="preserve"> 85, </w:t>
      </w:r>
      <w:r w:rsidRPr="00AB57FD">
        <w:rPr>
          <w:rFonts w:asciiTheme="minorHAnsi" w:eastAsia="Times New Roman" w:hAnsiTheme="minorHAnsi" w:cstheme="minorHAnsi"/>
        </w:rPr>
        <w:t>93</w:t>
      </w:r>
      <w:r w:rsidR="00AB57FD" w:rsidRPr="00AB57FD">
        <w:rPr>
          <w:rFonts w:asciiTheme="minorHAnsi" w:eastAsia="Times New Roman" w:hAnsiTheme="minorHAnsi" w:cstheme="minorHAnsi"/>
        </w:rPr>
        <w:t>-</w:t>
      </w:r>
      <w:r w:rsidRPr="00AB57FD">
        <w:rPr>
          <w:rFonts w:asciiTheme="minorHAnsi" w:eastAsia="Times New Roman" w:hAnsiTheme="minorHAnsi" w:cstheme="minorHAnsi"/>
        </w:rPr>
        <w:t xml:space="preserve">94, </w:t>
      </w:r>
      <w:bookmarkEnd w:id="46"/>
      <w:r w:rsidRPr="00AB57FD">
        <w:rPr>
          <w:rFonts w:asciiTheme="minorHAnsi" w:eastAsia="Times New Roman" w:hAnsiTheme="minorHAnsi" w:cstheme="minorHAnsi"/>
        </w:rPr>
        <w:t>review granted</w:t>
      </w:r>
      <w:r w:rsidR="00AB57FD" w:rsidRPr="00AB57FD">
        <w:rPr>
          <w:rFonts w:asciiTheme="minorHAnsi" w:hAnsiTheme="minorHAnsi" w:cstheme="minorHAnsi"/>
          <w:shd w:val="clear" w:color="auto" w:fill="FFFFFF"/>
        </w:rPr>
        <w:t xml:space="preserve"> Jul</w:t>
      </w:r>
      <w:r w:rsidR="00FE6F46">
        <w:rPr>
          <w:rFonts w:asciiTheme="minorHAnsi" w:hAnsiTheme="minorHAnsi" w:cstheme="minorHAnsi"/>
          <w:shd w:val="clear" w:color="auto" w:fill="FFFFFF"/>
        </w:rPr>
        <w:t>.</w:t>
      </w:r>
      <w:r w:rsidR="00AB57FD" w:rsidRPr="00AB57FD">
        <w:rPr>
          <w:rFonts w:asciiTheme="minorHAnsi" w:hAnsiTheme="minorHAnsi" w:cstheme="minorHAnsi"/>
          <w:shd w:val="clear" w:color="auto" w:fill="FFFFFF"/>
        </w:rPr>
        <w:t xml:space="preserve"> 22, 2020, S262835</w:t>
      </w:r>
      <w:r w:rsidRPr="00AB57FD">
        <w:rPr>
          <w:rFonts w:asciiTheme="minorHAnsi" w:eastAsia="Times New Roman" w:hAnsiTheme="minorHAnsi" w:cstheme="minorHAnsi"/>
        </w:rPr>
        <w:t>; </w:t>
      </w:r>
      <w:bookmarkStart w:id="47" w:name="dabmci_84266ba24715446d89567204639939b0"/>
      <w:r w:rsidR="00AB57FD" w:rsidRPr="00AB57FD">
        <w:rPr>
          <w:rFonts w:asciiTheme="minorHAnsi" w:eastAsia="Times New Roman" w:hAnsiTheme="minorHAnsi" w:cstheme="minorHAnsi"/>
          <w:i/>
          <w:iCs/>
        </w:rPr>
        <w:t xml:space="preserve">People v. </w:t>
      </w:r>
      <w:r w:rsidRPr="00AB57FD">
        <w:rPr>
          <w:rFonts w:asciiTheme="minorHAnsi" w:eastAsia="Times New Roman" w:hAnsiTheme="minorHAnsi" w:cstheme="minorHAnsi"/>
          <w:i/>
          <w:iCs/>
          <w:bdr w:val="none" w:sz="0" w:space="0" w:color="auto" w:frame="1"/>
        </w:rPr>
        <w:t>York</w:t>
      </w:r>
      <w:r w:rsidR="00AB57FD" w:rsidRPr="00AB57FD">
        <w:rPr>
          <w:rFonts w:asciiTheme="minorHAnsi" w:eastAsia="Times New Roman" w:hAnsiTheme="minorHAnsi" w:cstheme="minorHAnsi"/>
        </w:rPr>
        <w:t xml:space="preserve"> (2020)</w:t>
      </w:r>
      <w:r w:rsidRPr="00AB57FD">
        <w:rPr>
          <w:rFonts w:asciiTheme="minorHAnsi" w:eastAsia="Times New Roman" w:hAnsiTheme="minorHAnsi" w:cstheme="minorHAnsi"/>
        </w:rPr>
        <w:t xml:space="preserve"> 54 Cal.App.5th </w:t>
      </w:r>
      <w:r w:rsidR="00AB57FD" w:rsidRPr="00AB57FD">
        <w:rPr>
          <w:rFonts w:asciiTheme="minorHAnsi" w:eastAsia="Times New Roman" w:hAnsiTheme="minorHAnsi" w:cstheme="minorHAnsi"/>
        </w:rPr>
        <w:t>250,</w:t>
      </w:r>
      <w:r w:rsidRPr="00AB57FD">
        <w:rPr>
          <w:rFonts w:asciiTheme="minorHAnsi" w:eastAsia="Times New Roman" w:hAnsiTheme="minorHAnsi" w:cstheme="minorHAnsi"/>
        </w:rPr>
        <w:t xml:space="preserve"> 259</w:t>
      </w:r>
      <w:r w:rsidR="00AB57FD" w:rsidRPr="00AB57FD">
        <w:rPr>
          <w:rFonts w:asciiTheme="minorHAnsi" w:eastAsia="Times New Roman" w:hAnsiTheme="minorHAnsi" w:cstheme="minorHAnsi"/>
        </w:rPr>
        <w:t>-</w:t>
      </w:r>
      <w:r w:rsidRPr="00AB57FD">
        <w:rPr>
          <w:rFonts w:asciiTheme="minorHAnsi" w:eastAsia="Times New Roman" w:hAnsiTheme="minorHAnsi" w:cstheme="minorHAnsi"/>
        </w:rPr>
        <w:t>261</w:t>
      </w:r>
      <w:bookmarkEnd w:id="47"/>
      <w:r w:rsidRPr="00AB57FD">
        <w:rPr>
          <w:rFonts w:asciiTheme="minorHAnsi" w:eastAsia="Times New Roman" w:hAnsiTheme="minorHAnsi" w:cstheme="minorHAnsi"/>
        </w:rPr>
        <w:t>, review granted</w:t>
      </w:r>
      <w:r w:rsidR="00AB57FD" w:rsidRPr="00AB57FD">
        <w:rPr>
          <w:rFonts w:asciiTheme="minorHAnsi" w:eastAsia="Times New Roman" w:hAnsiTheme="minorHAnsi" w:cstheme="minorHAnsi"/>
        </w:rPr>
        <w:t xml:space="preserve"> Nov. 18, 2020, </w:t>
      </w:r>
      <w:r w:rsidR="00AB57FD" w:rsidRPr="00AB57FD">
        <w:rPr>
          <w:rFonts w:asciiTheme="minorHAnsi" w:hAnsiTheme="minorHAnsi" w:cstheme="minorHAnsi"/>
          <w:shd w:val="clear" w:color="auto" w:fill="FFFFFF"/>
        </w:rPr>
        <w:t>S264954</w:t>
      </w:r>
      <w:r w:rsidR="00A8519A">
        <w:rPr>
          <w:rFonts w:asciiTheme="minorHAnsi" w:hAnsiTheme="minorHAnsi" w:cstheme="minorHAnsi"/>
          <w:shd w:val="clear" w:color="auto" w:fill="FFFFFF"/>
        </w:rPr>
        <w:t>)</w:t>
      </w:r>
      <w:r w:rsidRPr="00AB57FD">
        <w:rPr>
          <w:rFonts w:asciiTheme="minorHAnsi" w:eastAsia="Times New Roman" w:hAnsiTheme="minorHAnsi" w:cstheme="minorHAnsi"/>
        </w:rPr>
        <w:t>; </w:t>
      </w:r>
      <w:bookmarkStart w:id="48" w:name="dabmci_82816c1d425140cb9c099b47283a6c20"/>
      <w:r w:rsidRPr="00AB57FD">
        <w:rPr>
          <w:rFonts w:asciiTheme="minorHAnsi" w:eastAsia="Times New Roman" w:hAnsiTheme="minorHAnsi" w:cstheme="minorHAnsi"/>
          <w:i/>
          <w:iCs/>
          <w:bdr w:val="none" w:sz="0" w:space="0" w:color="auto" w:frame="1"/>
        </w:rPr>
        <w:t>People v. Harris</w:t>
      </w:r>
      <w:r w:rsidR="00AB57FD" w:rsidRPr="00AB57FD">
        <w:rPr>
          <w:rFonts w:asciiTheme="minorHAnsi" w:eastAsia="Times New Roman" w:hAnsiTheme="minorHAnsi" w:cstheme="minorHAnsi"/>
        </w:rPr>
        <w:t xml:space="preserve"> (2021)</w:t>
      </w:r>
      <w:r w:rsidRPr="00AB57FD">
        <w:rPr>
          <w:rFonts w:asciiTheme="minorHAnsi" w:eastAsia="Times New Roman" w:hAnsiTheme="minorHAnsi" w:cstheme="minorHAnsi"/>
        </w:rPr>
        <w:t xml:space="preserve"> 60 Cal.App.5th </w:t>
      </w:r>
      <w:r w:rsidR="00AB57FD" w:rsidRPr="00AB57FD">
        <w:rPr>
          <w:rFonts w:asciiTheme="minorHAnsi" w:eastAsia="Times New Roman" w:hAnsiTheme="minorHAnsi" w:cstheme="minorHAnsi"/>
        </w:rPr>
        <w:t>939,</w:t>
      </w:r>
      <w:r w:rsidRPr="00AB57FD">
        <w:rPr>
          <w:rFonts w:asciiTheme="minorHAnsi" w:eastAsia="Times New Roman" w:hAnsiTheme="minorHAnsi" w:cstheme="minorHAnsi"/>
        </w:rPr>
        <w:t xml:space="preserve"> 956</w:t>
      </w:r>
      <w:r w:rsidR="00AB57FD" w:rsidRPr="00AB57FD">
        <w:rPr>
          <w:rFonts w:asciiTheme="minorHAnsi" w:eastAsia="Times New Roman" w:hAnsiTheme="minorHAnsi" w:cstheme="minorHAnsi"/>
        </w:rPr>
        <w:t>-</w:t>
      </w:r>
      <w:r w:rsidRPr="00AB57FD">
        <w:rPr>
          <w:rFonts w:asciiTheme="minorHAnsi" w:eastAsia="Times New Roman" w:hAnsiTheme="minorHAnsi" w:cstheme="minorHAnsi"/>
        </w:rPr>
        <w:t>958</w:t>
      </w:r>
      <w:bookmarkEnd w:id="48"/>
      <w:r w:rsidR="00FE6F46">
        <w:rPr>
          <w:rFonts w:asciiTheme="minorHAnsi" w:eastAsia="Times New Roman" w:hAnsiTheme="minorHAnsi" w:cstheme="minorHAnsi"/>
        </w:rPr>
        <w:t xml:space="preserve">, </w:t>
      </w:r>
      <w:r w:rsidR="00FE6F46" w:rsidRPr="00AB57FD">
        <w:rPr>
          <w:rFonts w:asciiTheme="minorHAnsi" w:eastAsia="Times New Roman" w:hAnsiTheme="minorHAnsi" w:cstheme="minorHAnsi"/>
        </w:rPr>
        <w:t>review granted</w:t>
      </w:r>
      <w:r w:rsidR="00233E6F">
        <w:rPr>
          <w:rFonts w:asciiTheme="minorHAnsi" w:eastAsia="Times New Roman" w:hAnsiTheme="minorHAnsi" w:cstheme="minorHAnsi"/>
        </w:rPr>
        <w:t xml:space="preserve"> Apr. 28, 2021, S2678</w:t>
      </w:r>
      <w:r w:rsidR="00233E6F" w:rsidRPr="00A8519A">
        <w:rPr>
          <w:rFonts w:asciiTheme="minorHAnsi" w:eastAsia="Times New Roman" w:hAnsiTheme="minorHAnsi" w:cstheme="minorHAnsi"/>
        </w:rPr>
        <w:t>02</w:t>
      </w:r>
      <w:r w:rsidR="00AB57FD" w:rsidRPr="00444C0F">
        <w:rPr>
          <w:rFonts w:asciiTheme="minorHAnsi" w:eastAsia="Times New Roman" w:hAnsiTheme="minorHAnsi" w:cstheme="minorHAnsi"/>
        </w:rPr>
        <w:t>]</w:t>
      </w:r>
      <w:r w:rsidR="00A8519A" w:rsidRPr="00A8519A">
        <w:rPr>
          <w:rFonts w:asciiTheme="minorHAnsi" w:eastAsia="Times New Roman" w:hAnsiTheme="minorHAnsi" w:cstheme="minorHAnsi"/>
        </w:rPr>
        <w:t xml:space="preserve">; see </w:t>
      </w:r>
      <w:r w:rsidR="00A8519A" w:rsidRPr="0063057C">
        <w:rPr>
          <w:rFonts w:asciiTheme="minorHAnsi" w:eastAsia="Times New Roman" w:hAnsiTheme="minorHAnsi" w:cstheme="minorHAnsi"/>
          <w:i/>
          <w:iCs/>
          <w:bdr w:val="none" w:sz="0" w:space="0" w:color="auto" w:frame="1"/>
        </w:rPr>
        <w:t>People v. Gonzalez</w:t>
      </w:r>
      <w:r w:rsidR="00A8519A" w:rsidRPr="0063057C">
        <w:rPr>
          <w:rFonts w:asciiTheme="minorHAnsi" w:eastAsia="Times New Roman" w:hAnsiTheme="minorHAnsi" w:cstheme="minorHAnsi"/>
        </w:rPr>
        <w:t xml:space="preserve"> (2021) 65 Cal.App.5th 420 [adopting the holding in </w:t>
      </w:r>
      <w:r w:rsidR="00A8519A" w:rsidRPr="0063057C">
        <w:rPr>
          <w:rFonts w:asciiTheme="minorHAnsi" w:eastAsia="Times New Roman" w:hAnsiTheme="minorHAnsi" w:cstheme="minorHAnsi"/>
          <w:i/>
          <w:iCs/>
        </w:rPr>
        <w:t>York</w:t>
      </w:r>
      <w:r w:rsidR="00A8519A" w:rsidRPr="0063057C">
        <w:rPr>
          <w:rFonts w:asciiTheme="minorHAnsi" w:eastAsia="Times New Roman" w:hAnsiTheme="minorHAnsi" w:cstheme="minorHAnsi"/>
        </w:rPr>
        <w:t>]</w:t>
      </w:r>
      <w:r w:rsidR="00AB57FD" w:rsidRPr="00A8519A">
        <w:rPr>
          <w:rFonts w:asciiTheme="minorHAnsi" w:eastAsia="Times New Roman" w:hAnsiTheme="minorHAnsi" w:cstheme="minorHAnsi"/>
        </w:rPr>
        <w:t>.)</w:t>
      </w:r>
      <w:r w:rsidRPr="00444C0F">
        <w:rPr>
          <w:rFonts w:asciiTheme="minorHAnsi" w:eastAsia="Times New Roman" w:hAnsiTheme="minorHAnsi" w:cstheme="minorHAnsi"/>
        </w:rPr>
        <w:t xml:space="preserve"> </w:t>
      </w:r>
      <w:r w:rsidR="00AB57FD" w:rsidRPr="00A8519A">
        <w:rPr>
          <w:rFonts w:asciiTheme="minorHAnsi" w:eastAsia="Times New Roman" w:hAnsiTheme="minorHAnsi" w:cstheme="minorHAnsi"/>
        </w:rPr>
        <w:t xml:space="preserve"> </w:t>
      </w:r>
      <w:r w:rsidR="00AB57FD">
        <w:rPr>
          <w:rFonts w:asciiTheme="minorHAnsi" w:eastAsia="Times New Roman" w:hAnsiTheme="minorHAnsi" w:cstheme="minorHAnsi"/>
        </w:rPr>
        <w:t>“</w:t>
      </w:r>
      <w:r w:rsidRPr="000B6771">
        <w:rPr>
          <w:rFonts w:asciiTheme="minorHAnsi" w:eastAsia="Times New Roman" w:hAnsiTheme="minorHAnsi" w:cstheme="minorHAnsi"/>
          <w:color w:val="000000"/>
        </w:rPr>
        <w:t>A</w:t>
      </w:r>
      <w:r w:rsidRPr="000B6771">
        <w:rPr>
          <w:rFonts w:asciiTheme="minorHAnsi" w:eastAsia="Times New Roman" w:hAnsiTheme="minorHAnsi" w:cstheme="minorHAnsi"/>
          <w:color w:val="000000"/>
          <w:bdr w:val="none" w:sz="0" w:space="0" w:color="auto" w:frame="1"/>
          <w:shd w:val="clear" w:color="auto" w:fill="FFFFFF"/>
        </w:rPr>
        <w:t>ccording to these courts, if the petitioner obtains vacatur of a prior special circumstance finding in a section 1170.95</w:t>
      </w:r>
      <w:r w:rsidR="005159F9">
        <w:rPr>
          <w:rFonts w:asciiTheme="minorHAnsi" w:eastAsia="Times New Roman" w:hAnsiTheme="minorHAnsi" w:cstheme="minorHAnsi"/>
          <w:color w:val="000000"/>
          <w:bdr w:val="none" w:sz="0" w:space="0" w:color="auto" w:frame="1"/>
          <w:shd w:val="clear" w:color="auto" w:fill="FFFFFF"/>
        </w:rPr>
        <w:t xml:space="preserve"> </w:t>
      </w:r>
      <w:r w:rsidRPr="000B6771">
        <w:rPr>
          <w:rFonts w:asciiTheme="minorHAnsi" w:eastAsia="Times New Roman" w:hAnsiTheme="minorHAnsi" w:cstheme="minorHAnsi"/>
          <w:color w:val="000000"/>
          <w:bdr w:val="none" w:sz="0" w:space="0" w:color="auto" w:frame="1"/>
          <w:shd w:val="clear" w:color="auto" w:fill="FFFFFF"/>
        </w:rPr>
        <w:t xml:space="preserve">proceeding, that is because the statute expressly requires it as a </w:t>
      </w:r>
      <w:r w:rsidR="00AB57FD">
        <w:rPr>
          <w:rFonts w:asciiTheme="minorHAnsi" w:eastAsia="Times New Roman" w:hAnsiTheme="minorHAnsi" w:cstheme="minorHAnsi"/>
          <w:color w:val="000000"/>
          <w:bdr w:val="none" w:sz="0" w:space="0" w:color="auto" w:frame="1"/>
          <w:shd w:val="clear" w:color="auto" w:fill="FFFFFF"/>
        </w:rPr>
        <w:t>‘</w:t>
      </w:r>
      <w:r w:rsidRPr="000B6771">
        <w:rPr>
          <w:rFonts w:asciiTheme="minorHAnsi" w:eastAsia="Times New Roman" w:hAnsiTheme="minorHAnsi" w:cstheme="minorHAnsi"/>
          <w:color w:val="000000"/>
          <w:bdr w:val="none" w:sz="0" w:space="0" w:color="auto" w:frame="1"/>
          <w:shd w:val="clear" w:color="auto" w:fill="FFFFFF"/>
        </w:rPr>
        <w:t>collateral consequence</w:t>
      </w:r>
      <w:r w:rsidRPr="007A1C89">
        <w:rPr>
          <w:rFonts w:asciiTheme="minorHAnsi" w:eastAsia="Times New Roman" w:hAnsiTheme="minorHAnsi" w:cstheme="minorHAnsi"/>
          <w:color w:val="000000"/>
          <w:bdr w:val="none" w:sz="0" w:space="0" w:color="auto" w:frame="1"/>
          <w:shd w:val="clear" w:color="auto" w:fill="FFFFFF"/>
        </w:rPr>
        <w:t>’</w:t>
      </w:r>
      <w:r w:rsidRPr="000B6771">
        <w:rPr>
          <w:rFonts w:asciiTheme="minorHAnsi" w:eastAsia="Times New Roman" w:hAnsiTheme="minorHAnsi" w:cstheme="minorHAnsi"/>
          <w:color w:val="000000"/>
          <w:bdr w:val="none" w:sz="0" w:space="0" w:color="auto" w:frame="1"/>
          <w:shd w:val="clear" w:color="auto" w:fill="FFFFFF"/>
        </w:rPr>
        <w:t xml:space="preserve"> of the resentencing relief to which a successful section 1170.95 petitioner is entitled</w:t>
      </w:r>
      <w:r w:rsidRPr="000B6771">
        <w:rPr>
          <w:rFonts w:asciiTheme="minorHAnsi" w:eastAsia="Times New Roman" w:hAnsiTheme="minorHAnsi" w:cstheme="minorHAnsi"/>
          <w:color w:val="000000"/>
        </w:rPr>
        <w:t>.</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 xml:space="preserve"> </w:t>
      </w:r>
      <w:r w:rsidRPr="007A1C89">
        <w:rPr>
          <w:rFonts w:asciiTheme="minorHAnsi" w:eastAsia="Times New Roman" w:hAnsiTheme="minorHAnsi" w:cstheme="minorHAnsi"/>
          <w:color w:val="000000"/>
        </w:rPr>
        <w:t xml:space="preserve">[Citation.]  [¶]  </w:t>
      </w:r>
      <w:r w:rsidRPr="000B6771">
        <w:rPr>
          <w:rFonts w:asciiTheme="minorHAnsi" w:eastAsia="Times New Roman" w:hAnsiTheme="minorHAnsi" w:cstheme="minorHAnsi"/>
          <w:color w:val="000000"/>
        </w:rPr>
        <w:t>These courts see no basis to graft what is, in effect, a</w:t>
      </w:r>
      <w:r w:rsidRPr="000B6771">
        <w:rPr>
          <w:rFonts w:asciiTheme="minorHAnsi" w:eastAsia="Times New Roman" w:hAnsiTheme="minorHAnsi" w:cstheme="minorHAnsi"/>
          <w:color w:val="000000"/>
        </w:rPr>
        <w:t>n exhaustion requirement onto</w:t>
      </w:r>
      <w:r w:rsidR="00444C0F">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section</w:t>
      </w:r>
      <w:r w:rsidR="00444C0F">
        <w:rPr>
          <w:rFonts w:asciiTheme="minorHAnsi" w:eastAsia="Times New Roman" w:hAnsiTheme="minorHAnsi" w:cstheme="minorHAnsi"/>
          <w:color w:val="000000"/>
        </w:rPr>
        <w:t> </w:t>
      </w:r>
      <w:r w:rsidRPr="000B6771">
        <w:rPr>
          <w:rFonts w:asciiTheme="minorHAnsi" w:eastAsia="Times New Roman" w:hAnsiTheme="minorHAnsi" w:cstheme="minorHAnsi"/>
          <w:color w:val="000000"/>
        </w:rPr>
        <w:t xml:space="preserve">1170.95, thereby forcing petitioners with felony-murder special-circumstances findings to obtain habeas relief first, before seeking section 1170.95 resentencing. </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In their view,</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because</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i/>
          <w:iCs/>
          <w:color w:val="000000"/>
          <w:bdr w:val="none" w:sz="0" w:space="0" w:color="auto" w:frame="1"/>
        </w:rPr>
        <w:t>Banks</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and</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i/>
          <w:iCs/>
          <w:color w:val="000000"/>
          <w:bdr w:val="none" w:sz="0" w:space="0" w:color="auto" w:frame="1"/>
        </w:rPr>
        <w:t>Clark</w:t>
      </w:r>
      <w:r w:rsidRPr="007A1C89">
        <w:rPr>
          <w:rFonts w:asciiTheme="minorHAnsi" w:eastAsia="Times New Roman" w:hAnsiTheme="minorHAnsi" w:cstheme="minorHAnsi"/>
          <w:color w:val="000000"/>
        </w:rPr>
        <w:t xml:space="preserve"> ‘</w:t>
      </w:r>
      <w:r w:rsidRPr="000B6771">
        <w:rPr>
          <w:rFonts w:asciiTheme="minorHAnsi" w:eastAsia="Times New Roman" w:hAnsiTheme="minorHAnsi" w:cstheme="minorHAnsi"/>
          <w:color w:val="000000"/>
        </w:rPr>
        <w:t>construed sect</w:t>
      </w:r>
      <w:r w:rsidRPr="000B6771">
        <w:rPr>
          <w:rFonts w:asciiTheme="minorHAnsi" w:eastAsia="Times New Roman" w:hAnsiTheme="minorHAnsi" w:cstheme="minorHAnsi"/>
          <w:color w:val="000000"/>
        </w:rPr>
        <w:t>ion 190.2, subdivision (d) in a significantly different, and narrower manner than courts had previously construed the statute</w:t>
      </w:r>
      <w:r w:rsidRPr="007A1C89">
        <w:rPr>
          <w:rFonts w:asciiTheme="minorHAnsi" w:eastAsia="Times New Roman" w:hAnsiTheme="minorHAnsi" w:cstheme="minorHAnsi"/>
          <w:color w:val="000000"/>
        </w:rPr>
        <w:t>’</w:t>
      </w:r>
      <w:r w:rsidRPr="000B6771">
        <w:rPr>
          <w:rFonts w:asciiTheme="minorHAnsi" w:eastAsia="Times New Roman" w:hAnsiTheme="minorHAnsi" w:cstheme="minorHAnsi"/>
          <w:color w:val="000000"/>
        </w:rPr>
        <w:t xml:space="preserve"> </w:t>
      </w:r>
      <w:r w:rsidRPr="007A1C89">
        <w:rPr>
          <w:rFonts w:asciiTheme="minorHAnsi" w:eastAsia="Times New Roman" w:hAnsiTheme="minorHAnsi" w:cstheme="minorHAnsi"/>
          <w:color w:val="000000"/>
        </w:rPr>
        <w:t>[citation]</w:t>
      </w:r>
      <w:r w:rsidRPr="000B6771">
        <w:rPr>
          <w:rFonts w:asciiTheme="minorHAnsi" w:eastAsia="Times New Roman" w:hAnsiTheme="minorHAnsi" w:cstheme="minorHAnsi"/>
          <w:color w:val="000000"/>
        </w:rPr>
        <w:t xml:space="preserve">, it is not </w:t>
      </w:r>
      <w:r w:rsidRPr="000B6771">
        <w:rPr>
          <w:rFonts w:asciiTheme="minorHAnsi" w:eastAsia="Times New Roman" w:hAnsiTheme="minorHAnsi" w:cstheme="minorHAnsi"/>
          <w:color w:val="000000"/>
        </w:rPr>
        <w:lastRenderedPageBreak/>
        <w:t>appropriate to give a pre</w:t>
      </w:r>
      <w:r w:rsidR="00041C93">
        <w:rPr>
          <w:rFonts w:asciiTheme="minorHAnsi" w:eastAsia="Times New Roman" w:hAnsiTheme="minorHAnsi" w:cstheme="minorHAnsi"/>
          <w:color w:val="000000"/>
        </w:rPr>
        <w:noBreakHyphen/>
      </w:r>
      <w:r w:rsidRPr="000B6771">
        <w:rPr>
          <w:rFonts w:asciiTheme="minorHAnsi" w:eastAsia="Times New Roman" w:hAnsiTheme="minorHAnsi" w:cstheme="minorHAnsi"/>
          <w:i/>
          <w:iCs/>
          <w:color w:val="000000"/>
          <w:bdr w:val="none" w:sz="0" w:space="0" w:color="auto" w:frame="1"/>
        </w:rPr>
        <w:t>Banks</w:t>
      </w:r>
      <w:r w:rsidRPr="000B6771">
        <w:rPr>
          <w:rFonts w:asciiTheme="minorHAnsi" w:eastAsia="Times New Roman" w:hAnsiTheme="minorHAnsi" w:cstheme="minorHAnsi"/>
          <w:color w:val="000000"/>
        </w:rPr>
        <w:t> and </w:t>
      </w:r>
      <w:r w:rsidRPr="000B6771">
        <w:rPr>
          <w:rFonts w:asciiTheme="minorHAnsi" w:eastAsia="Times New Roman" w:hAnsiTheme="minorHAnsi" w:cstheme="minorHAnsi"/>
          <w:i/>
          <w:iCs/>
          <w:color w:val="000000"/>
          <w:bdr w:val="none" w:sz="0" w:space="0" w:color="auto" w:frame="1"/>
        </w:rPr>
        <w:t>Clark</w:t>
      </w:r>
      <w:r w:rsidRPr="000B6771">
        <w:rPr>
          <w:rFonts w:asciiTheme="minorHAnsi" w:eastAsia="Times New Roman" w:hAnsiTheme="minorHAnsi" w:cstheme="minorHAnsi"/>
          <w:color w:val="000000"/>
        </w:rPr>
        <w:t xml:space="preserve"> felony-murder special-circumstance finding preclusive </w:t>
      </w:r>
      <w:r w:rsidRPr="000B6771">
        <w:rPr>
          <w:rFonts w:asciiTheme="minorHAnsi" w:eastAsia="Times New Roman" w:hAnsiTheme="minorHAnsi" w:cstheme="minorHAnsi"/>
          <w:color w:val="000000"/>
        </w:rPr>
        <w:t>effect.</w:t>
      </w:r>
      <w:r w:rsidRPr="007A1C89">
        <w:rPr>
          <w:rFonts w:asciiTheme="minorHAnsi" w:eastAsia="Times New Roman" w:hAnsiTheme="minorHAnsi" w:cstheme="minorHAnsi"/>
          <w:color w:val="000000"/>
          <w:bdr w:val="none" w:sz="0" w:space="0" w:color="auto" w:frame="1"/>
          <w:shd w:val="clear" w:color="auto" w:fill="FFFFFF"/>
        </w:rPr>
        <w:t>”  (</w:t>
      </w:r>
      <w:bookmarkStart w:id="49" w:name="dabmci_020355348e834b768eb1b15a6de622d1"/>
      <w:r w:rsidR="00444C0F" w:rsidRPr="00AB57FD">
        <w:rPr>
          <w:rFonts w:asciiTheme="minorHAnsi" w:eastAsia="Times New Roman" w:hAnsiTheme="minorHAnsi" w:cstheme="minorHAnsi"/>
          <w:i/>
          <w:iCs/>
          <w:bdr w:val="none" w:sz="0" w:space="0" w:color="auto" w:frame="1"/>
        </w:rPr>
        <w:t>Secrease</w:t>
      </w:r>
      <w:r w:rsidR="00444C0F" w:rsidRPr="00AB57FD">
        <w:rPr>
          <w:rFonts w:asciiTheme="minorHAnsi" w:eastAsia="Times New Roman" w:hAnsiTheme="minorHAnsi" w:cstheme="minorHAnsi"/>
        </w:rPr>
        <w:t xml:space="preserve">, </w:t>
      </w:r>
      <w:r w:rsidR="00444C0F" w:rsidRPr="00AB57FD">
        <w:rPr>
          <w:rFonts w:asciiTheme="minorHAnsi" w:eastAsia="Times New Roman" w:hAnsiTheme="minorHAnsi" w:cstheme="minorHAnsi"/>
          <w:i/>
          <w:iCs/>
        </w:rPr>
        <w:t>supra</w:t>
      </w:r>
      <w:r w:rsidR="00444C0F" w:rsidRPr="00AB57FD">
        <w:rPr>
          <w:rFonts w:asciiTheme="minorHAnsi" w:eastAsia="Times New Roman" w:hAnsiTheme="minorHAnsi" w:cstheme="minorHAnsi"/>
        </w:rPr>
        <w:t xml:space="preserve">, </w:t>
      </w:r>
      <w:r w:rsidR="00AB57FD" w:rsidRPr="00AB57FD">
        <w:rPr>
          <w:rFonts w:asciiTheme="minorHAnsi" w:eastAsia="Times New Roman" w:hAnsiTheme="minorHAnsi" w:cstheme="minorHAnsi"/>
        </w:rPr>
        <w:t>at</w:t>
      </w:r>
      <w:r w:rsidR="00040FCE">
        <w:rPr>
          <w:rFonts w:asciiTheme="minorHAnsi" w:eastAsia="Times New Roman" w:hAnsiTheme="minorHAnsi" w:cstheme="minorHAnsi"/>
        </w:rPr>
        <w:t xml:space="preserve"> p</w:t>
      </w:r>
      <w:r w:rsidR="00233E6F">
        <w:rPr>
          <w:rFonts w:asciiTheme="minorHAnsi" w:eastAsia="Times New Roman" w:hAnsiTheme="minorHAnsi" w:cstheme="minorHAnsi"/>
        </w:rPr>
        <w:t>p</w:t>
      </w:r>
      <w:r w:rsidR="00040FCE">
        <w:rPr>
          <w:rFonts w:asciiTheme="minorHAnsi" w:eastAsia="Times New Roman" w:hAnsiTheme="minorHAnsi" w:cstheme="minorHAnsi"/>
        </w:rPr>
        <w:t>.</w:t>
      </w:r>
      <w:r w:rsidR="00444C0F">
        <w:rPr>
          <w:rFonts w:asciiTheme="minorHAnsi" w:eastAsia="Times New Roman" w:hAnsiTheme="minorHAnsi" w:cstheme="minorHAnsi"/>
        </w:rPr>
        <w:t> </w:t>
      </w:r>
      <w:r w:rsidR="00C92C44">
        <w:rPr>
          <w:rFonts w:asciiTheme="minorHAnsi" w:eastAsia="Times New Roman" w:hAnsiTheme="minorHAnsi" w:cstheme="minorHAnsi"/>
        </w:rPr>
        <w:t>2</w:t>
      </w:r>
      <w:r w:rsidR="00040FCE">
        <w:rPr>
          <w:rFonts w:asciiTheme="minorHAnsi" w:eastAsia="Times New Roman" w:hAnsiTheme="minorHAnsi" w:cstheme="minorHAnsi"/>
        </w:rPr>
        <w:t>53</w:t>
      </w:r>
      <w:bookmarkEnd w:id="49"/>
      <w:r w:rsidR="00233E6F">
        <w:rPr>
          <w:rFonts w:asciiTheme="minorHAnsi" w:eastAsia="Times New Roman" w:hAnsiTheme="minorHAnsi" w:cstheme="minorHAnsi"/>
        </w:rPr>
        <w:t>-254</w:t>
      </w:r>
      <w:r w:rsidRPr="007A1C89">
        <w:rPr>
          <w:rFonts w:asciiTheme="minorHAnsi" w:eastAsia="Times New Roman" w:hAnsiTheme="minorHAnsi" w:cstheme="minorHAnsi"/>
          <w:color w:val="000000"/>
        </w:rPr>
        <w:t>.)</w:t>
      </w:r>
    </w:p>
    <w:p w14:paraId="0CE3DFFF" w14:textId="32385C3F" w:rsidR="00DF0CE0" w:rsidRDefault="00024CFE" w:rsidP="00F76489">
      <w:pPr>
        <w:rPr>
          <w:rFonts w:asciiTheme="minorHAnsi" w:eastAsia="Times New Roman" w:hAnsiTheme="minorHAnsi" w:cstheme="minorHAnsi"/>
          <w:color w:val="000000"/>
          <w:shd w:val="clear" w:color="auto" w:fill="FFFFFF"/>
        </w:rPr>
      </w:pPr>
      <w:r w:rsidRPr="00F76489">
        <w:rPr>
          <w:rFonts w:asciiTheme="minorHAnsi" w:eastAsia="Times New Roman" w:hAnsiTheme="minorHAnsi" w:cstheme="minorHAnsi"/>
          <w:color w:val="000000"/>
        </w:rPr>
        <w:tab/>
        <w:t xml:space="preserve">The court in </w:t>
      </w:r>
      <w:bookmarkStart w:id="50" w:name="dabmci_a02f59fc18334864bfd3f6bdce672364"/>
      <w:r w:rsidRPr="00F76489">
        <w:rPr>
          <w:rFonts w:asciiTheme="minorHAnsi" w:eastAsia="Times New Roman" w:hAnsiTheme="minorHAnsi" w:cstheme="minorHAnsi"/>
          <w:i/>
          <w:iCs/>
          <w:color w:val="000000"/>
        </w:rPr>
        <w:t>Secrease</w:t>
      </w:r>
      <w:bookmarkEnd w:id="50"/>
      <w:r w:rsidRPr="00F76489">
        <w:rPr>
          <w:rFonts w:asciiTheme="minorHAnsi" w:eastAsia="Times New Roman" w:hAnsiTheme="minorHAnsi" w:cstheme="minorHAnsi"/>
          <w:color w:val="000000"/>
        </w:rPr>
        <w:t xml:space="preserve"> adopted what it characterized as “</w:t>
      </w:r>
      <w:r w:rsidRPr="002A5850">
        <w:rPr>
          <w:rFonts w:asciiTheme="minorHAnsi" w:eastAsia="Times New Roman" w:hAnsiTheme="minorHAnsi" w:cstheme="minorHAnsi"/>
          <w:color w:val="000000"/>
          <w:bdr w:val="none" w:sz="0" w:space="0" w:color="auto" w:frame="1"/>
          <w:shd w:val="clear" w:color="auto" w:fill="FFFFFF"/>
        </w:rPr>
        <w:t>a middle ground between these two lines of cases.</w:t>
      </w:r>
      <w:r w:rsidRPr="00F76489">
        <w:rPr>
          <w:rFonts w:asciiTheme="minorHAnsi" w:eastAsia="Times New Roman" w:hAnsiTheme="minorHAnsi" w:cstheme="minorHAnsi"/>
          <w:color w:val="000000"/>
          <w:bdr w:val="none" w:sz="0" w:space="0" w:color="auto" w:frame="1"/>
          <w:shd w:val="clear" w:color="auto" w:fill="FFFFFF"/>
        </w:rPr>
        <w:t>”  (</w:t>
      </w:r>
      <w:bookmarkStart w:id="51" w:name="dabmci_00198d94bc364951ae550a221ec27585"/>
      <w:r w:rsidR="00040FCE" w:rsidRPr="00AB57FD">
        <w:rPr>
          <w:rFonts w:asciiTheme="minorHAnsi" w:eastAsia="Times New Roman" w:hAnsiTheme="minorHAnsi" w:cstheme="minorHAnsi"/>
          <w:i/>
          <w:iCs/>
          <w:bdr w:val="none" w:sz="0" w:space="0" w:color="auto" w:frame="1"/>
        </w:rPr>
        <w:t>Secrease</w:t>
      </w:r>
      <w:r w:rsidR="00040FCE" w:rsidRPr="00AB57FD">
        <w:rPr>
          <w:rFonts w:asciiTheme="minorHAnsi" w:eastAsia="Times New Roman" w:hAnsiTheme="minorHAnsi" w:cstheme="minorHAnsi"/>
        </w:rPr>
        <w:t xml:space="preserve">, </w:t>
      </w:r>
      <w:r w:rsidR="00040FCE" w:rsidRPr="00AB57FD">
        <w:rPr>
          <w:rFonts w:asciiTheme="minorHAnsi" w:eastAsia="Times New Roman" w:hAnsiTheme="minorHAnsi" w:cstheme="minorHAnsi"/>
          <w:i/>
          <w:iCs/>
        </w:rPr>
        <w:t>supra</w:t>
      </w:r>
      <w:r w:rsidR="00040FCE" w:rsidRPr="00AB57FD">
        <w:rPr>
          <w:rFonts w:asciiTheme="minorHAnsi" w:eastAsia="Times New Roman" w:hAnsiTheme="minorHAnsi" w:cstheme="minorHAnsi"/>
        </w:rPr>
        <w:t xml:space="preserve">, </w:t>
      </w:r>
      <w:r w:rsidR="00FE6EB3">
        <w:rPr>
          <w:rFonts w:asciiTheme="minorHAnsi" w:eastAsia="Times New Roman" w:hAnsiTheme="minorHAnsi" w:cstheme="minorHAnsi"/>
        </w:rPr>
        <w:t xml:space="preserve">63 Cal.App.5th </w:t>
      </w:r>
      <w:r w:rsidR="00040FCE" w:rsidRPr="00AB57FD">
        <w:rPr>
          <w:rFonts w:asciiTheme="minorHAnsi" w:eastAsia="Times New Roman" w:hAnsiTheme="minorHAnsi" w:cstheme="minorHAnsi"/>
        </w:rPr>
        <w:t>at</w:t>
      </w:r>
      <w:r w:rsidR="00040FCE">
        <w:rPr>
          <w:rFonts w:asciiTheme="minorHAnsi" w:eastAsia="Times New Roman" w:hAnsiTheme="minorHAnsi" w:cstheme="minorHAnsi"/>
        </w:rPr>
        <w:t xml:space="preserve"> p. </w:t>
      </w:r>
      <w:r w:rsidR="00FE6EB3">
        <w:rPr>
          <w:rFonts w:asciiTheme="minorHAnsi" w:eastAsia="Times New Roman" w:hAnsiTheme="minorHAnsi" w:cstheme="minorHAnsi"/>
        </w:rPr>
        <w:t>2</w:t>
      </w:r>
      <w:r w:rsidR="00040FCE">
        <w:rPr>
          <w:rFonts w:asciiTheme="minorHAnsi" w:eastAsia="Times New Roman" w:hAnsiTheme="minorHAnsi" w:cstheme="minorHAnsi"/>
        </w:rPr>
        <w:t>47</w:t>
      </w:r>
      <w:bookmarkEnd w:id="51"/>
      <w:r w:rsidRPr="00F76489">
        <w:rPr>
          <w:rFonts w:asciiTheme="minorHAnsi" w:eastAsia="Times New Roman" w:hAnsiTheme="minorHAnsi" w:cstheme="minorHAnsi"/>
          <w:color w:val="000000"/>
          <w:bdr w:val="none" w:sz="0" w:space="0" w:color="auto" w:frame="1"/>
          <w:shd w:val="clear" w:color="auto" w:fill="FFFFFF"/>
        </w:rPr>
        <w:t xml:space="preserve">.)  </w:t>
      </w:r>
      <w:r w:rsidRPr="00F76489">
        <w:rPr>
          <w:rFonts w:asciiTheme="minorHAnsi" w:eastAsia="Times New Roman" w:hAnsiTheme="minorHAnsi" w:cstheme="minorHAnsi"/>
          <w:i/>
          <w:iCs/>
          <w:color w:val="000000"/>
          <w:shd w:val="clear" w:color="auto" w:fill="FFFFFF"/>
        </w:rPr>
        <w:t>Secrease</w:t>
      </w:r>
      <w:r w:rsidRPr="00F76489">
        <w:rPr>
          <w:rFonts w:asciiTheme="minorHAnsi" w:eastAsia="Times New Roman" w:hAnsiTheme="minorHAnsi" w:cstheme="minorHAnsi"/>
          <w:color w:val="000000"/>
          <w:shd w:val="clear" w:color="auto" w:fill="FFFFFF"/>
        </w:rPr>
        <w:t xml:space="preserve"> “</w:t>
      </w:r>
      <w:r w:rsidRPr="002A5850">
        <w:rPr>
          <w:rFonts w:asciiTheme="minorHAnsi" w:eastAsia="Times New Roman" w:hAnsiTheme="minorHAnsi" w:cstheme="minorHAnsi"/>
          <w:color w:val="000000"/>
          <w:shd w:val="clear" w:color="auto" w:fill="FFFFFF"/>
        </w:rPr>
        <w:t>agree</w:t>
      </w:r>
      <w:r w:rsidRPr="00F76489">
        <w:rPr>
          <w:rFonts w:asciiTheme="minorHAnsi" w:eastAsia="Times New Roman" w:hAnsiTheme="minorHAnsi" w:cstheme="minorHAnsi"/>
          <w:color w:val="000000"/>
          <w:shd w:val="clear" w:color="auto" w:fill="FFFFFF"/>
        </w:rPr>
        <w:t>[d]</w:t>
      </w:r>
      <w:r w:rsidRPr="002A5850">
        <w:rPr>
          <w:rFonts w:asciiTheme="minorHAnsi" w:eastAsia="Times New Roman" w:hAnsiTheme="minorHAnsi" w:cstheme="minorHAnsi"/>
          <w:color w:val="000000"/>
          <w:shd w:val="clear" w:color="auto" w:fill="FFFFFF"/>
        </w:rPr>
        <w:t xml:space="preserve"> with the courts concluding that </w:t>
      </w:r>
      <w:r w:rsidRPr="00F76489">
        <w:rPr>
          <w:rFonts w:asciiTheme="minorHAnsi" w:eastAsia="Times New Roman" w:hAnsiTheme="minorHAnsi" w:cstheme="minorHAnsi"/>
          <w:color w:val="000000"/>
          <w:shd w:val="clear" w:color="auto" w:fill="FFFFFF"/>
        </w:rPr>
        <w:t xml:space="preserve">[petitioners with </w:t>
      </w:r>
      <w:r w:rsidRPr="00F76489">
        <w:rPr>
          <w:rFonts w:asciiTheme="minorHAnsi" w:eastAsia="Times New Roman" w:hAnsiTheme="minorHAnsi" w:cstheme="minorHAnsi"/>
          <w:color w:val="000000"/>
        </w:rPr>
        <w:t>a pre-</w:t>
      </w:r>
      <w:r w:rsidRPr="00F76489">
        <w:rPr>
          <w:rFonts w:asciiTheme="minorHAnsi" w:eastAsia="Times New Roman" w:hAnsiTheme="minorHAnsi" w:cstheme="minorHAnsi"/>
          <w:i/>
          <w:iCs/>
          <w:color w:val="000000"/>
          <w:bdr w:val="none" w:sz="0" w:space="0" w:color="auto" w:frame="1"/>
        </w:rPr>
        <w:t>Banks</w:t>
      </w:r>
      <w:r w:rsidR="005159F9">
        <w:rPr>
          <w:rFonts w:asciiTheme="minorHAnsi" w:eastAsia="Times New Roman" w:hAnsiTheme="minorHAnsi" w:cstheme="minorHAnsi"/>
          <w:color w:val="000000"/>
        </w:rPr>
        <w:t xml:space="preserve"> </w:t>
      </w:r>
      <w:r w:rsidRPr="00F76489">
        <w:rPr>
          <w:rFonts w:asciiTheme="minorHAnsi" w:eastAsia="Times New Roman" w:hAnsiTheme="minorHAnsi" w:cstheme="minorHAnsi"/>
          <w:color w:val="000000"/>
        </w:rPr>
        <w:t>and</w:t>
      </w:r>
      <w:r w:rsidR="005159F9">
        <w:rPr>
          <w:rFonts w:asciiTheme="minorHAnsi" w:eastAsia="Times New Roman" w:hAnsiTheme="minorHAnsi" w:cstheme="minorHAnsi"/>
          <w:color w:val="000000"/>
        </w:rPr>
        <w:t xml:space="preserve"> </w:t>
      </w:r>
      <w:r w:rsidRPr="00F76489">
        <w:rPr>
          <w:rFonts w:asciiTheme="minorHAnsi" w:eastAsia="Times New Roman" w:hAnsiTheme="minorHAnsi" w:cstheme="minorHAnsi"/>
          <w:i/>
          <w:iCs/>
          <w:color w:val="000000"/>
          <w:bdr w:val="none" w:sz="0" w:space="0" w:color="auto" w:frame="1"/>
        </w:rPr>
        <w:t>Clark</w:t>
      </w:r>
      <w:r w:rsidR="005159F9">
        <w:rPr>
          <w:rFonts w:asciiTheme="minorHAnsi" w:eastAsia="Times New Roman" w:hAnsiTheme="minorHAnsi" w:cstheme="minorHAnsi"/>
          <w:color w:val="000000"/>
        </w:rPr>
        <w:t xml:space="preserve"> </w:t>
      </w:r>
      <w:r w:rsidRPr="00F76489">
        <w:rPr>
          <w:rFonts w:asciiTheme="minorHAnsi" w:eastAsia="Times New Roman" w:hAnsiTheme="minorHAnsi" w:cstheme="minorHAnsi"/>
          <w:color w:val="000000"/>
        </w:rPr>
        <w:t>felony-murder special-circumstance finding</w:t>
      </w:r>
      <w:r w:rsidRPr="00F76489">
        <w:rPr>
          <w:rFonts w:asciiTheme="minorHAnsi" w:eastAsia="Times New Roman" w:hAnsiTheme="minorHAnsi" w:cstheme="minorHAnsi"/>
          <w:color w:val="000000"/>
          <w:shd w:val="clear" w:color="auto" w:fill="FFFFFF"/>
        </w:rPr>
        <w:t xml:space="preserve"> are</w:t>
      </w:r>
      <w:r w:rsidR="00233E6F" w:rsidRPr="00F76489">
        <w:rPr>
          <w:rFonts w:asciiTheme="minorHAnsi" w:eastAsia="Times New Roman" w:hAnsiTheme="minorHAnsi" w:cstheme="minorHAnsi"/>
          <w:color w:val="000000"/>
          <w:shd w:val="clear" w:color="auto" w:fill="FFFFFF"/>
        </w:rPr>
        <w:t>]</w:t>
      </w:r>
      <w:r w:rsidRPr="00F76489">
        <w:rPr>
          <w:rFonts w:asciiTheme="minorHAnsi" w:eastAsia="Times New Roman" w:hAnsiTheme="minorHAnsi" w:cstheme="minorHAnsi"/>
          <w:color w:val="000000"/>
          <w:shd w:val="clear" w:color="auto" w:fill="FFFFFF"/>
        </w:rPr>
        <w:t xml:space="preserve"> </w:t>
      </w:r>
      <w:r w:rsidRPr="002A5850">
        <w:rPr>
          <w:rFonts w:asciiTheme="minorHAnsi" w:eastAsia="Times New Roman" w:hAnsiTheme="minorHAnsi" w:cstheme="minorHAnsi"/>
          <w:color w:val="000000"/>
          <w:shd w:val="clear" w:color="auto" w:fill="FFFFFF"/>
        </w:rPr>
        <w:t>not barred as a matter of law from pleading a prima facie case for relief under</w:t>
      </w:r>
      <w:r w:rsidR="005159F9">
        <w:rPr>
          <w:rFonts w:asciiTheme="minorHAnsi" w:eastAsia="Times New Roman" w:hAnsiTheme="minorHAnsi" w:cstheme="minorHAnsi"/>
          <w:color w:val="000000"/>
          <w:shd w:val="clear" w:color="auto" w:fill="FFFFFF"/>
        </w:rPr>
        <w:t xml:space="preserve"> </w:t>
      </w:r>
      <w:r w:rsidRPr="002A5850">
        <w:rPr>
          <w:rFonts w:asciiTheme="minorHAnsi" w:eastAsia="Times New Roman" w:hAnsiTheme="minorHAnsi" w:cstheme="minorHAnsi"/>
          <w:color w:val="000000"/>
          <w:shd w:val="clear" w:color="auto" w:fill="FFFFFF"/>
        </w:rPr>
        <w:t>section</w:t>
      </w:r>
      <w:r w:rsidR="00681961">
        <w:rPr>
          <w:rFonts w:asciiTheme="minorHAnsi" w:eastAsia="Times New Roman" w:hAnsiTheme="minorHAnsi" w:cstheme="minorHAnsi"/>
          <w:color w:val="000000"/>
          <w:shd w:val="clear" w:color="auto" w:fill="FFFFFF"/>
        </w:rPr>
        <w:t> </w:t>
      </w:r>
      <w:r w:rsidRPr="002A5850">
        <w:rPr>
          <w:rFonts w:asciiTheme="minorHAnsi" w:eastAsia="Times New Roman" w:hAnsiTheme="minorHAnsi" w:cstheme="minorHAnsi"/>
          <w:color w:val="000000"/>
          <w:shd w:val="clear" w:color="auto" w:fill="FFFFFF"/>
        </w:rPr>
        <w:t>1170.95, subdivision (c)</w:t>
      </w:r>
      <w:r w:rsidRPr="00F76489">
        <w:rPr>
          <w:rFonts w:asciiTheme="minorHAnsi" w:eastAsia="Times New Roman" w:hAnsiTheme="minorHAnsi" w:cstheme="minorHAnsi"/>
          <w:color w:val="000000"/>
          <w:shd w:val="clear" w:color="auto" w:fill="FFFFFF"/>
        </w:rPr>
        <w:t xml:space="preserve">” </w:t>
      </w:r>
      <w:r w:rsidRPr="00F76489">
        <w:rPr>
          <w:rFonts w:asciiTheme="minorHAnsi" w:eastAsia="Times New Roman" w:hAnsiTheme="minorHAnsi" w:cstheme="minorHAnsi"/>
          <w:i/>
          <w:iCs/>
          <w:color w:val="000000"/>
          <w:shd w:val="clear" w:color="auto" w:fill="FFFFFF"/>
        </w:rPr>
        <w:t>and</w:t>
      </w:r>
      <w:r w:rsidRPr="00F76489">
        <w:rPr>
          <w:rFonts w:asciiTheme="minorHAnsi" w:eastAsia="Times New Roman" w:hAnsiTheme="minorHAnsi" w:cstheme="minorHAnsi"/>
          <w:color w:val="000000"/>
          <w:shd w:val="clear" w:color="auto" w:fill="FFFFFF"/>
        </w:rPr>
        <w:t xml:space="preserve"> “</w:t>
      </w:r>
      <w:r w:rsidRPr="002A5850">
        <w:rPr>
          <w:rFonts w:asciiTheme="minorHAnsi" w:eastAsia="Times New Roman" w:hAnsiTheme="minorHAnsi" w:cstheme="minorHAnsi"/>
          <w:color w:val="000000"/>
          <w:shd w:val="clear" w:color="auto" w:fill="FFFFFF"/>
        </w:rPr>
        <w:t xml:space="preserve">with a </w:t>
      </w:r>
      <w:r w:rsidRPr="002A5850">
        <w:rPr>
          <w:rFonts w:asciiTheme="minorHAnsi" w:eastAsia="Times New Roman" w:hAnsiTheme="minorHAnsi" w:cstheme="minorHAnsi"/>
          <w:color w:val="000000"/>
          <w:shd w:val="clear" w:color="auto" w:fill="FFFFFF"/>
        </w:rPr>
        <w:t>critical premise of the courts reaching the opposite conclusion—specifically, that</w:t>
      </w:r>
      <w:r w:rsidR="005159F9">
        <w:rPr>
          <w:rFonts w:asciiTheme="minorHAnsi" w:eastAsia="Times New Roman" w:hAnsiTheme="minorHAnsi" w:cstheme="minorHAnsi"/>
          <w:color w:val="000000"/>
          <w:shd w:val="clear" w:color="auto" w:fill="FFFFFF"/>
        </w:rPr>
        <w:t xml:space="preserve"> </w:t>
      </w:r>
      <w:r w:rsidRPr="002A5850">
        <w:rPr>
          <w:rFonts w:asciiTheme="minorHAnsi" w:eastAsia="Times New Roman" w:hAnsiTheme="minorHAnsi" w:cstheme="minorHAnsi"/>
          <w:color w:val="000000"/>
          <w:shd w:val="clear" w:color="auto" w:fill="FFFFFF"/>
        </w:rPr>
        <w:t>section 1170.95 does not allow relitigation of factual questions that were settled by a prior jury</w:t>
      </w:r>
      <w:r w:rsidRPr="00F76489">
        <w:rPr>
          <w:rFonts w:asciiTheme="minorHAnsi" w:eastAsia="Times New Roman" w:hAnsiTheme="minorHAnsi" w:cstheme="minorHAnsi"/>
          <w:color w:val="000000"/>
          <w:shd w:val="clear" w:color="auto" w:fill="FFFFFF"/>
        </w:rPr>
        <w:t xml:space="preserve"> . . . .”  </w:t>
      </w:r>
      <w:r w:rsidRPr="00F76489">
        <w:rPr>
          <w:rFonts w:asciiTheme="minorHAnsi" w:eastAsia="Times New Roman" w:hAnsiTheme="minorHAnsi" w:cstheme="minorHAnsi"/>
          <w:color w:val="000000"/>
          <w:bdr w:val="none" w:sz="0" w:space="0" w:color="auto" w:frame="1"/>
        </w:rPr>
        <w:t>(</w:t>
      </w:r>
      <w:bookmarkStart w:id="52" w:name="dabmci_774e9179fd2f4d0eabed82d4cf0622d1"/>
      <w:r w:rsidR="00040FCE" w:rsidRPr="00040FCE">
        <w:rPr>
          <w:rFonts w:asciiTheme="minorHAnsi" w:eastAsia="Times New Roman" w:hAnsiTheme="minorHAnsi" w:cstheme="minorHAnsi"/>
          <w:i/>
          <w:iCs/>
          <w:color w:val="000000"/>
        </w:rPr>
        <w:t>Ibid</w:t>
      </w:r>
      <w:r w:rsidRPr="00F76489">
        <w:rPr>
          <w:rFonts w:asciiTheme="minorHAnsi" w:eastAsia="Times New Roman" w:hAnsiTheme="minorHAnsi" w:cstheme="minorHAnsi"/>
          <w:color w:val="000000"/>
        </w:rPr>
        <w:t>.</w:t>
      </w:r>
      <w:bookmarkEnd w:id="52"/>
      <w:r w:rsidRPr="00F76489">
        <w:rPr>
          <w:rFonts w:asciiTheme="minorHAnsi" w:eastAsia="Times New Roman" w:hAnsiTheme="minorHAnsi" w:cstheme="minorHAnsi"/>
          <w:color w:val="000000"/>
        </w:rPr>
        <w:t>)</w:t>
      </w:r>
      <w:r w:rsidR="00F76489" w:rsidRPr="00F76489">
        <w:rPr>
          <w:rFonts w:asciiTheme="minorHAnsi" w:eastAsia="Times New Roman" w:hAnsiTheme="minorHAnsi" w:cstheme="minorHAnsi"/>
          <w:color w:val="000000"/>
        </w:rPr>
        <w:t xml:space="preserve">  </w:t>
      </w:r>
      <w:r w:rsidR="00F76489" w:rsidRPr="00F76489">
        <w:rPr>
          <w:rFonts w:asciiTheme="minorHAnsi" w:eastAsia="Times New Roman" w:hAnsiTheme="minorHAnsi" w:cstheme="minorHAnsi"/>
          <w:color w:val="000000"/>
          <w:bdr w:val="none" w:sz="0" w:space="0" w:color="auto" w:frame="1"/>
          <w:shd w:val="clear" w:color="auto" w:fill="FFFFFF"/>
        </w:rPr>
        <w:t xml:space="preserve">Accordingly, </w:t>
      </w:r>
      <w:r w:rsidR="00F76489" w:rsidRPr="00F76489">
        <w:rPr>
          <w:rFonts w:asciiTheme="minorHAnsi" w:eastAsia="Times New Roman" w:hAnsiTheme="minorHAnsi" w:cstheme="minorHAnsi"/>
          <w:i/>
          <w:iCs/>
          <w:color w:val="000000"/>
          <w:bdr w:val="none" w:sz="0" w:space="0" w:color="auto" w:frame="1"/>
          <w:shd w:val="clear" w:color="auto" w:fill="FFFFFF"/>
        </w:rPr>
        <w:t>Secrease</w:t>
      </w:r>
      <w:r w:rsidR="00F76489" w:rsidRPr="00F76489">
        <w:rPr>
          <w:rFonts w:asciiTheme="minorHAnsi" w:eastAsia="Times New Roman" w:hAnsiTheme="minorHAnsi" w:cstheme="minorHAnsi"/>
          <w:color w:val="000000"/>
          <w:bdr w:val="none" w:sz="0" w:space="0" w:color="auto" w:frame="1"/>
          <w:shd w:val="clear" w:color="auto" w:fill="FFFFFF"/>
        </w:rPr>
        <w:t xml:space="preserve"> held </w:t>
      </w:r>
      <w:r w:rsidR="00AB57FD" w:rsidRPr="00AB57FD">
        <w:rPr>
          <w:rFonts w:asciiTheme="minorHAnsi" w:eastAsia="Times New Roman" w:hAnsiTheme="minorHAnsi" w:cstheme="minorHAnsi"/>
          <w:color w:val="000000"/>
          <w:bdr w:val="none" w:sz="0" w:space="0" w:color="auto" w:frame="1"/>
          <w:shd w:val="clear" w:color="auto" w:fill="FFFFFF"/>
        </w:rPr>
        <w:t xml:space="preserve">that </w:t>
      </w:r>
      <w:r w:rsidR="00F76489" w:rsidRPr="00F76489">
        <w:rPr>
          <w:rFonts w:asciiTheme="minorHAnsi" w:eastAsia="Times New Roman" w:hAnsiTheme="minorHAnsi" w:cstheme="minorHAnsi"/>
          <w:color w:val="000000"/>
          <w:bdr w:val="none" w:sz="0" w:space="0" w:color="auto" w:frame="1"/>
          <w:shd w:val="clear" w:color="auto" w:fill="FFFFFF"/>
        </w:rPr>
        <w:t>“</w:t>
      </w:r>
      <w:r w:rsidR="00AB57FD" w:rsidRPr="00AB57FD">
        <w:rPr>
          <w:rFonts w:asciiTheme="minorHAnsi" w:eastAsia="Times New Roman" w:hAnsiTheme="minorHAnsi" w:cstheme="minorHAnsi"/>
          <w:color w:val="000000"/>
          <w:bdr w:val="none" w:sz="0" w:space="0" w:color="auto" w:frame="1"/>
          <w:shd w:val="clear" w:color="auto" w:fill="FFFFFF"/>
        </w:rPr>
        <w:t>where a petitioner facing a felony-murder special-circumstance finding has never been afforded a</w:t>
      </w:r>
      <w:r w:rsidR="005159F9">
        <w:rPr>
          <w:rFonts w:asciiTheme="minorHAnsi" w:eastAsia="Times New Roman" w:hAnsiTheme="minorHAnsi" w:cstheme="minorHAnsi"/>
          <w:color w:val="000000"/>
          <w:bdr w:val="none" w:sz="0" w:space="0" w:color="auto" w:frame="1"/>
          <w:shd w:val="clear" w:color="auto" w:fill="FFFFFF"/>
        </w:rPr>
        <w:t xml:space="preserve"> </w:t>
      </w:r>
      <w:r w:rsidR="00AB57FD" w:rsidRPr="00AB57FD">
        <w:rPr>
          <w:rFonts w:asciiTheme="minorHAnsi" w:eastAsia="Times New Roman" w:hAnsiTheme="minorHAnsi" w:cstheme="minorHAnsi"/>
          <w:i/>
          <w:iCs/>
          <w:color w:val="000000"/>
          <w:bdr w:val="none" w:sz="0" w:space="0" w:color="auto" w:frame="1"/>
          <w:shd w:val="clear" w:color="auto" w:fill="FFFFFF"/>
        </w:rPr>
        <w:t>Banks</w:t>
      </w:r>
      <w:r w:rsidR="005159F9">
        <w:rPr>
          <w:rFonts w:asciiTheme="minorHAnsi" w:eastAsia="Times New Roman" w:hAnsiTheme="minorHAnsi" w:cstheme="minorHAnsi"/>
          <w:color w:val="000000"/>
          <w:bdr w:val="none" w:sz="0" w:space="0" w:color="auto" w:frame="1"/>
          <w:shd w:val="clear" w:color="auto" w:fill="FFFFFF"/>
        </w:rPr>
        <w:t xml:space="preserve"> </w:t>
      </w:r>
      <w:r w:rsidR="00AB57FD" w:rsidRPr="00AB57FD">
        <w:rPr>
          <w:rFonts w:asciiTheme="minorHAnsi" w:eastAsia="Times New Roman" w:hAnsiTheme="minorHAnsi" w:cstheme="minorHAnsi"/>
          <w:color w:val="000000"/>
          <w:bdr w:val="none" w:sz="0" w:space="0" w:color="auto" w:frame="1"/>
          <w:shd w:val="clear" w:color="auto" w:fill="FFFFFF"/>
        </w:rPr>
        <w:t>and</w:t>
      </w:r>
      <w:r w:rsidR="005159F9">
        <w:rPr>
          <w:rFonts w:asciiTheme="minorHAnsi" w:eastAsia="Times New Roman" w:hAnsiTheme="minorHAnsi" w:cstheme="minorHAnsi"/>
          <w:color w:val="000000"/>
          <w:bdr w:val="none" w:sz="0" w:space="0" w:color="auto" w:frame="1"/>
          <w:shd w:val="clear" w:color="auto" w:fill="FFFFFF"/>
        </w:rPr>
        <w:t xml:space="preserve"> </w:t>
      </w:r>
      <w:r w:rsidR="00AB57FD" w:rsidRPr="00AB57FD">
        <w:rPr>
          <w:rFonts w:asciiTheme="minorHAnsi" w:eastAsia="Times New Roman" w:hAnsiTheme="minorHAnsi" w:cstheme="minorHAnsi"/>
          <w:i/>
          <w:iCs/>
          <w:color w:val="000000"/>
          <w:bdr w:val="none" w:sz="0" w:space="0" w:color="auto" w:frame="1"/>
          <w:shd w:val="clear" w:color="auto" w:fill="FFFFFF"/>
        </w:rPr>
        <w:t>Clark</w:t>
      </w:r>
      <w:r w:rsidR="005159F9">
        <w:rPr>
          <w:rFonts w:asciiTheme="minorHAnsi" w:eastAsia="Times New Roman" w:hAnsiTheme="minorHAnsi" w:cstheme="minorHAnsi"/>
          <w:color w:val="000000"/>
          <w:bdr w:val="none" w:sz="0" w:space="0" w:color="auto" w:frame="1"/>
          <w:shd w:val="clear" w:color="auto" w:fill="FFFFFF"/>
        </w:rPr>
        <w:t xml:space="preserve"> </w:t>
      </w:r>
      <w:r w:rsidR="00AB57FD" w:rsidRPr="00AB57FD">
        <w:rPr>
          <w:rFonts w:asciiTheme="minorHAnsi" w:eastAsia="Times New Roman" w:hAnsiTheme="minorHAnsi" w:cstheme="minorHAnsi"/>
          <w:color w:val="000000"/>
          <w:bdr w:val="none" w:sz="0" w:space="0" w:color="auto" w:frame="1"/>
          <w:shd w:val="clear" w:color="auto" w:fill="FFFFFF"/>
        </w:rPr>
        <w:t>sufficiency-of-the-evidence review—by any court, at the trial or appellate level—section 1170.95 courts have an obligation to undertake such an analysis at the prima facie entitlement-to-relief stage of a resentencing proceeding under subdivision (c) of the statute.</w:t>
      </w:r>
      <w:r>
        <w:rPr>
          <w:rFonts w:asciiTheme="minorHAnsi" w:eastAsia="Times New Roman" w:hAnsiTheme="minorHAnsi" w:cstheme="minorHAnsi"/>
          <w:color w:val="000000"/>
          <w:bdr w:val="none" w:sz="0" w:space="0" w:color="auto" w:frame="1"/>
          <w:shd w:val="clear" w:color="auto" w:fill="FFFFFF"/>
        </w:rPr>
        <w:t xml:space="preserve">”  </w:t>
      </w:r>
      <w:r w:rsidRPr="00F76489">
        <w:rPr>
          <w:rFonts w:asciiTheme="minorHAnsi" w:eastAsia="Times New Roman" w:hAnsiTheme="minorHAnsi" w:cstheme="minorHAnsi"/>
          <w:color w:val="000000"/>
          <w:shd w:val="clear" w:color="auto" w:fill="FFFFFF"/>
        </w:rPr>
        <w:t>(</w:t>
      </w:r>
      <w:bookmarkStart w:id="53" w:name="dabmci_ab585bf8f4c14014aa84b63d62bb8b79"/>
      <w:r w:rsidR="00233E6F" w:rsidRPr="00040FCE">
        <w:rPr>
          <w:rFonts w:asciiTheme="minorHAnsi" w:eastAsia="Times New Roman" w:hAnsiTheme="minorHAnsi" w:cstheme="minorHAnsi"/>
          <w:i/>
          <w:iCs/>
          <w:color w:val="000000"/>
        </w:rPr>
        <w:t>Id</w:t>
      </w:r>
      <w:r w:rsidR="00233E6F" w:rsidRPr="00F76489">
        <w:rPr>
          <w:rFonts w:asciiTheme="minorHAnsi" w:eastAsia="Times New Roman" w:hAnsiTheme="minorHAnsi" w:cstheme="minorHAnsi"/>
          <w:color w:val="000000"/>
        </w:rPr>
        <w:t xml:space="preserve">. </w:t>
      </w:r>
      <w:r w:rsidRPr="00AB57FD">
        <w:rPr>
          <w:rFonts w:asciiTheme="minorHAnsi" w:eastAsia="Times New Roman" w:hAnsiTheme="minorHAnsi" w:cstheme="minorHAnsi"/>
        </w:rPr>
        <w:t>at</w:t>
      </w:r>
      <w:r>
        <w:rPr>
          <w:rFonts w:asciiTheme="minorHAnsi" w:eastAsia="Times New Roman" w:hAnsiTheme="minorHAnsi" w:cstheme="minorHAnsi"/>
        </w:rPr>
        <w:t xml:space="preserve"> p. </w:t>
      </w:r>
      <w:r w:rsidR="00050DAB">
        <w:rPr>
          <w:rFonts w:asciiTheme="minorHAnsi" w:eastAsia="Times New Roman" w:hAnsiTheme="minorHAnsi" w:cstheme="minorHAnsi"/>
          <w:color w:val="000000"/>
          <w:shd w:val="clear" w:color="auto" w:fill="FFFFFF"/>
        </w:rPr>
        <w:t>2</w:t>
      </w:r>
      <w:r>
        <w:rPr>
          <w:rFonts w:asciiTheme="minorHAnsi" w:eastAsia="Times New Roman" w:hAnsiTheme="minorHAnsi" w:cstheme="minorHAnsi"/>
          <w:color w:val="000000"/>
          <w:shd w:val="clear" w:color="auto" w:fill="FFFFFF"/>
        </w:rPr>
        <w:t>5</w:t>
      </w:r>
      <w:r w:rsidR="00050DAB">
        <w:rPr>
          <w:rFonts w:asciiTheme="minorHAnsi" w:eastAsia="Times New Roman" w:hAnsiTheme="minorHAnsi" w:cstheme="minorHAnsi"/>
          <w:color w:val="000000"/>
          <w:shd w:val="clear" w:color="auto" w:fill="FFFFFF"/>
        </w:rPr>
        <w:t>5</w:t>
      </w:r>
      <w:bookmarkEnd w:id="53"/>
      <w:r w:rsidRPr="00F76489">
        <w:rPr>
          <w:rFonts w:asciiTheme="minorHAnsi" w:eastAsia="Times New Roman" w:hAnsiTheme="minorHAnsi" w:cstheme="minorHAnsi"/>
          <w:color w:val="000000"/>
          <w:shd w:val="clear" w:color="auto" w:fill="FFFFFF"/>
        </w:rPr>
        <w:t>.)</w:t>
      </w:r>
    </w:p>
    <w:p w14:paraId="5C733C5F" w14:textId="1046D7DD" w:rsidR="00DF0CE0" w:rsidRPr="002A6A9F" w:rsidRDefault="00024CFE" w:rsidP="00DF0CE0">
      <w:pPr>
        <w:rPr>
          <w:rFonts w:asciiTheme="minorHAnsi" w:eastAsia="Times New Roman" w:hAnsiTheme="minorHAnsi" w:cstheme="minorHAnsi"/>
          <w:bdr w:val="none" w:sz="0" w:space="0" w:color="auto" w:frame="1"/>
          <w:shd w:val="clear" w:color="auto" w:fill="FFFFFF"/>
        </w:rPr>
      </w:pPr>
      <w:r w:rsidRPr="002A6A9F">
        <w:rPr>
          <w:rFonts w:asciiTheme="minorHAnsi" w:eastAsia="Times New Roman" w:hAnsiTheme="minorHAnsi" w:cstheme="minorHAnsi"/>
          <w:bdr w:val="none" w:sz="0" w:space="0" w:color="auto" w:frame="1"/>
          <w:shd w:val="clear" w:color="auto" w:fill="FFFFFF"/>
        </w:rPr>
        <w:tab/>
      </w:r>
      <w:r w:rsidRPr="002A6A9F">
        <w:rPr>
          <w:rFonts w:asciiTheme="minorHAnsi" w:eastAsia="Times New Roman" w:hAnsiTheme="minorHAnsi" w:cstheme="minorHAnsi"/>
          <w:shd w:val="clear" w:color="auto" w:fill="FFFFFF"/>
        </w:rPr>
        <w:t xml:space="preserve">The Supreme Court </w:t>
      </w:r>
      <w:r w:rsidR="00AB240B">
        <w:rPr>
          <w:rFonts w:asciiTheme="minorHAnsi" w:eastAsia="Times New Roman" w:hAnsiTheme="minorHAnsi" w:cstheme="minorHAnsi"/>
          <w:shd w:val="clear" w:color="auto" w:fill="FFFFFF"/>
        </w:rPr>
        <w:t>has</w:t>
      </w:r>
      <w:r w:rsidRPr="002A6A9F">
        <w:rPr>
          <w:rFonts w:asciiTheme="minorHAnsi" w:eastAsia="Times New Roman" w:hAnsiTheme="minorHAnsi" w:cstheme="minorHAnsi"/>
          <w:shd w:val="clear" w:color="auto" w:fill="FFFFFF"/>
        </w:rPr>
        <w:t xml:space="preserve"> granted review on the issue of whether a felony-murder special circumstance finding under section 190.2, subdivision (a)(17) made before</w:t>
      </w:r>
      <w:r w:rsidR="005159F9">
        <w:rPr>
          <w:rFonts w:asciiTheme="minorHAnsi" w:eastAsia="Times New Roman" w:hAnsiTheme="minorHAnsi" w:cstheme="minorHAnsi"/>
          <w:shd w:val="clear" w:color="auto" w:fill="FFFFFF"/>
        </w:rPr>
        <w:t xml:space="preserve"> </w:t>
      </w:r>
      <w:r w:rsidRPr="002A6A9F">
        <w:rPr>
          <w:rFonts w:asciiTheme="minorHAnsi" w:eastAsia="Times New Roman" w:hAnsiTheme="minorHAnsi" w:cstheme="minorHAnsi"/>
          <w:i/>
          <w:iCs/>
          <w:bdr w:val="none" w:sz="0" w:space="0" w:color="auto" w:frame="1"/>
        </w:rPr>
        <w:t>Banks</w:t>
      </w:r>
      <w:r w:rsidR="005159F9">
        <w:rPr>
          <w:rFonts w:asciiTheme="minorHAnsi" w:eastAsia="Times New Roman" w:hAnsiTheme="minorHAnsi" w:cstheme="minorHAnsi"/>
          <w:shd w:val="clear" w:color="auto" w:fill="FFFFFF"/>
        </w:rPr>
        <w:t xml:space="preserve"> </w:t>
      </w:r>
      <w:r w:rsidRPr="002A6A9F">
        <w:rPr>
          <w:rFonts w:asciiTheme="minorHAnsi" w:eastAsia="Times New Roman" w:hAnsiTheme="minorHAnsi" w:cstheme="minorHAnsi"/>
          <w:shd w:val="clear" w:color="auto" w:fill="FFFFFF"/>
        </w:rPr>
        <w:t>and</w:t>
      </w:r>
      <w:r w:rsidR="005159F9">
        <w:rPr>
          <w:rFonts w:asciiTheme="minorHAnsi" w:eastAsia="Times New Roman" w:hAnsiTheme="minorHAnsi" w:cstheme="minorHAnsi"/>
          <w:shd w:val="clear" w:color="auto" w:fill="FFFFFF"/>
        </w:rPr>
        <w:t xml:space="preserve"> </w:t>
      </w:r>
      <w:r w:rsidRPr="002A6A9F">
        <w:rPr>
          <w:rFonts w:asciiTheme="minorHAnsi" w:eastAsia="Times New Roman" w:hAnsiTheme="minorHAnsi" w:cstheme="minorHAnsi"/>
          <w:i/>
          <w:iCs/>
          <w:bdr w:val="none" w:sz="0" w:space="0" w:color="auto" w:frame="1"/>
        </w:rPr>
        <w:t>Clark</w:t>
      </w:r>
      <w:r w:rsidR="005159F9">
        <w:rPr>
          <w:rFonts w:asciiTheme="minorHAnsi" w:eastAsia="Times New Roman" w:hAnsiTheme="minorHAnsi" w:cstheme="minorHAnsi"/>
          <w:shd w:val="clear" w:color="auto" w:fill="FFFFFF"/>
        </w:rPr>
        <w:t xml:space="preserve"> </w:t>
      </w:r>
      <w:r w:rsidRPr="002A6A9F">
        <w:rPr>
          <w:rFonts w:asciiTheme="minorHAnsi" w:eastAsia="Times New Roman" w:hAnsiTheme="minorHAnsi" w:cstheme="minorHAnsi"/>
          <w:shd w:val="clear" w:color="auto" w:fill="FFFFFF"/>
        </w:rPr>
        <w:t>precludes a defendant from making a prima facie showing of eligibility for relief under</w:t>
      </w:r>
      <w:r w:rsidR="005159F9">
        <w:rPr>
          <w:rFonts w:asciiTheme="minorHAnsi" w:eastAsia="Times New Roman" w:hAnsiTheme="minorHAnsi" w:cstheme="minorHAnsi"/>
          <w:shd w:val="clear" w:color="auto" w:fill="FFFFFF"/>
        </w:rPr>
        <w:t xml:space="preserve"> </w:t>
      </w:r>
      <w:r w:rsidRPr="002A6A9F">
        <w:rPr>
          <w:rFonts w:asciiTheme="minorHAnsi" w:eastAsia="Times New Roman" w:hAnsiTheme="minorHAnsi" w:cstheme="minorHAnsi"/>
          <w:shd w:val="clear" w:color="auto" w:fill="FFFFFF"/>
        </w:rPr>
        <w:t>section</w:t>
      </w:r>
      <w:r>
        <w:rPr>
          <w:rFonts w:asciiTheme="minorHAnsi" w:eastAsia="Times New Roman" w:hAnsiTheme="minorHAnsi" w:cstheme="minorHAnsi"/>
          <w:shd w:val="clear" w:color="auto" w:fill="FFFFFF"/>
        </w:rPr>
        <w:t> </w:t>
      </w:r>
      <w:r w:rsidRPr="002A6A9F">
        <w:rPr>
          <w:rFonts w:asciiTheme="minorHAnsi" w:eastAsia="Times New Roman" w:hAnsiTheme="minorHAnsi" w:cstheme="minorHAnsi"/>
          <w:shd w:val="clear" w:color="auto" w:fill="FFFFFF"/>
        </w:rPr>
        <w:t>1170.95.</w:t>
      </w:r>
      <w:r w:rsidR="005159F9">
        <w:rPr>
          <w:rFonts w:asciiTheme="minorHAnsi" w:eastAsia="Times New Roman" w:hAnsiTheme="minorHAnsi" w:cstheme="minorHAnsi"/>
          <w:shd w:val="clear" w:color="auto" w:fill="FFFFFF"/>
        </w:rPr>
        <w:t xml:space="preserve"> </w:t>
      </w:r>
      <w:r w:rsidR="002247BE">
        <w:rPr>
          <w:rFonts w:asciiTheme="minorHAnsi" w:eastAsia="Times New Roman" w:hAnsiTheme="minorHAnsi" w:cstheme="minorHAnsi"/>
          <w:shd w:val="clear" w:color="auto" w:fill="FFFFFF"/>
        </w:rPr>
        <w:t xml:space="preserve"> (</w:t>
      </w:r>
      <w:r w:rsidR="002247BE" w:rsidRPr="002A6A9F">
        <w:rPr>
          <w:rFonts w:asciiTheme="minorHAnsi" w:eastAsia="Times New Roman" w:hAnsiTheme="minorHAnsi" w:cstheme="minorHAnsi"/>
          <w:i/>
          <w:iCs/>
          <w:bdr w:val="none" w:sz="0" w:space="0" w:color="auto" w:frame="1"/>
        </w:rPr>
        <w:t>Strong</w:t>
      </w:r>
      <w:r w:rsidR="0088619E" w:rsidRPr="0088619E">
        <w:rPr>
          <w:rFonts w:asciiTheme="minorHAnsi" w:eastAsia="Times New Roman" w:hAnsiTheme="minorHAnsi" w:cstheme="minorHAnsi"/>
          <w:bdr w:val="none" w:sz="0" w:space="0" w:color="auto" w:frame="1"/>
        </w:rPr>
        <w:t>,</w:t>
      </w:r>
      <w:r w:rsidR="0088619E">
        <w:rPr>
          <w:rFonts w:asciiTheme="minorHAnsi" w:eastAsia="Times New Roman" w:hAnsiTheme="minorHAnsi" w:cstheme="minorHAnsi"/>
          <w:i/>
          <w:iCs/>
          <w:bdr w:val="none" w:sz="0" w:space="0" w:color="auto" w:frame="1"/>
        </w:rPr>
        <w:t xml:space="preserve"> supra</w:t>
      </w:r>
      <w:r w:rsidR="002247BE" w:rsidRPr="002A6A9F">
        <w:rPr>
          <w:rFonts w:asciiTheme="minorHAnsi" w:eastAsia="Times New Roman" w:hAnsiTheme="minorHAnsi" w:cstheme="minorHAnsi"/>
          <w:shd w:val="clear" w:color="auto" w:fill="FFFFFF"/>
        </w:rPr>
        <w:t> (Dec. 18, 2020, C091162) [nonpub. opn.], review granted</w:t>
      </w:r>
      <w:r w:rsidR="002247BE">
        <w:rPr>
          <w:rFonts w:asciiTheme="minorHAnsi" w:eastAsia="Times New Roman" w:hAnsiTheme="minorHAnsi" w:cstheme="minorHAnsi"/>
          <w:shd w:val="clear" w:color="auto" w:fill="FFFFFF"/>
        </w:rPr>
        <w:t>.)</w:t>
      </w:r>
    </w:p>
    <w:p w14:paraId="676E6331" w14:textId="77777777" w:rsidR="00DF0CE0" w:rsidRDefault="00024CFE" w:rsidP="005159F9">
      <w:pPr>
        <w:keepNext/>
        <w:autoSpaceDE w:val="0"/>
        <w:autoSpaceDN w:val="0"/>
        <w:adjustRightInd w:val="0"/>
        <w:rPr>
          <w:b/>
          <w:i/>
          <w:shd w:val="clear" w:color="auto" w:fill="FFFFFF"/>
        </w:rPr>
      </w:pPr>
      <w:r w:rsidRPr="004E04F6">
        <w:rPr>
          <w:b/>
          <w:i/>
          <w:shd w:val="clear" w:color="auto" w:fill="FFFFFF"/>
        </w:rPr>
        <w:tab/>
      </w:r>
      <w:r>
        <w:rPr>
          <w:b/>
          <w:i/>
          <w:shd w:val="clear" w:color="auto" w:fill="FFFFFF"/>
        </w:rPr>
        <w:t>B</w:t>
      </w:r>
      <w:r w:rsidRPr="004E04F6">
        <w:rPr>
          <w:b/>
          <w:i/>
          <w:shd w:val="clear" w:color="auto" w:fill="FFFFFF"/>
        </w:rPr>
        <w:t>.</w:t>
      </w:r>
      <w:r w:rsidRPr="004E04F6">
        <w:rPr>
          <w:b/>
          <w:i/>
          <w:shd w:val="clear" w:color="auto" w:fill="FFFFFF"/>
        </w:rPr>
        <w:tab/>
      </w:r>
      <w:r>
        <w:rPr>
          <w:b/>
          <w:i/>
          <w:shd w:val="clear" w:color="auto" w:fill="FFFFFF"/>
        </w:rPr>
        <w:t>Analysis</w:t>
      </w:r>
    </w:p>
    <w:p w14:paraId="7BB988E4" w14:textId="4565640E" w:rsidR="000E7BE2" w:rsidRPr="000E7BE2" w:rsidRDefault="00024CFE" w:rsidP="00850160">
      <w:pPr>
        <w:rPr>
          <w:rFonts w:ascii="Source Sans Pro" w:eastAsia="Times New Roman" w:hAnsi="Source Sans Pro"/>
          <w:color w:val="000000"/>
          <w:sz w:val="24"/>
          <w:szCs w:val="24"/>
        </w:rPr>
      </w:pPr>
      <w:r w:rsidRPr="000E7BE2">
        <w:rPr>
          <w:rFonts w:asciiTheme="minorHAnsi" w:eastAsia="Times New Roman" w:hAnsiTheme="minorHAnsi" w:cstheme="minorHAnsi"/>
          <w:shd w:val="clear" w:color="auto" w:fill="FFFFFF"/>
        </w:rPr>
        <w:tab/>
        <w:t xml:space="preserve">We find </w:t>
      </w:r>
      <w:r w:rsidRPr="000E7BE2">
        <w:rPr>
          <w:rFonts w:asciiTheme="minorHAnsi" w:eastAsia="Times New Roman" w:hAnsiTheme="minorHAnsi" w:cstheme="minorHAnsi"/>
          <w:i/>
          <w:iCs/>
          <w:shd w:val="clear" w:color="auto" w:fill="FFFFFF"/>
        </w:rPr>
        <w:t>Secrease</w:t>
      </w:r>
      <w:r w:rsidRPr="000E7BE2">
        <w:rPr>
          <w:rFonts w:asciiTheme="minorHAnsi" w:eastAsia="Times New Roman" w:hAnsiTheme="minorHAnsi" w:cstheme="minorHAnsi"/>
          <w:shd w:val="clear" w:color="auto" w:fill="FFFFFF"/>
        </w:rPr>
        <w:t xml:space="preserve"> to be persuasive and follow the middle</w:t>
      </w:r>
      <w:r w:rsidR="00AC570E">
        <w:rPr>
          <w:rFonts w:asciiTheme="minorHAnsi" w:eastAsia="Times New Roman" w:hAnsiTheme="minorHAnsi" w:cstheme="minorHAnsi"/>
          <w:shd w:val="clear" w:color="auto" w:fill="FFFFFF"/>
        </w:rPr>
        <w:t>-</w:t>
      </w:r>
      <w:r w:rsidRPr="000E7BE2">
        <w:rPr>
          <w:rFonts w:asciiTheme="minorHAnsi" w:eastAsia="Times New Roman" w:hAnsiTheme="minorHAnsi" w:cstheme="minorHAnsi"/>
          <w:shd w:val="clear" w:color="auto" w:fill="FFFFFF"/>
        </w:rPr>
        <w:t xml:space="preserve">ground approach adopted there.  </w:t>
      </w:r>
      <w:r w:rsidR="00850160" w:rsidRPr="000E7BE2">
        <w:rPr>
          <w:rFonts w:asciiTheme="minorHAnsi" w:eastAsia="Times New Roman" w:hAnsiTheme="minorHAnsi" w:cstheme="minorHAnsi"/>
          <w:shd w:val="clear" w:color="auto" w:fill="FFFFFF"/>
        </w:rPr>
        <w:t xml:space="preserve">Pineda is entitled to a judicial determination as to </w:t>
      </w:r>
      <w:r w:rsidR="00850160" w:rsidRPr="00850160">
        <w:rPr>
          <w:rFonts w:asciiTheme="minorHAnsi" w:eastAsia="Times New Roman" w:hAnsiTheme="minorHAnsi" w:cstheme="minorHAnsi"/>
          <w:shd w:val="clear" w:color="auto" w:fill="FFFFFF"/>
        </w:rPr>
        <w:t xml:space="preserve">whether </w:t>
      </w:r>
      <w:r w:rsidR="00850160" w:rsidRPr="000E7BE2">
        <w:rPr>
          <w:rFonts w:asciiTheme="minorHAnsi" w:eastAsia="Times New Roman" w:hAnsiTheme="minorHAnsi" w:cstheme="minorHAnsi"/>
          <w:shd w:val="clear" w:color="auto" w:fill="FFFFFF"/>
        </w:rPr>
        <w:t xml:space="preserve">his </w:t>
      </w:r>
      <w:r w:rsidR="00850160" w:rsidRPr="00850160">
        <w:rPr>
          <w:rFonts w:asciiTheme="minorHAnsi" w:eastAsia="Times New Roman" w:hAnsiTheme="minorHAnsi" w:cstheme="minorHAnsi"/>
          <w:bdr w:val="none" w:sz="0" w:space="0" w:color="auto" w:frame="1"/>
          <w:shd w:val="clear" w:color="auto" w:fill="FFFFFF"/>
        </w:rPr>
        <w:t>conduct is proscribed by the special circumstances statute, as construed in</w:t>
      </w:r>
      <w:r w:rsidR="005159F9">
        <w:rPr>
          <w:rFonts w:asciiTheme="minorHAnsi" w:eastAsia="Times New Roman" w:hAnsiTheme="minorHAnsi" w:cstheme="minorHAnsi"/>
          <w:bdr w:val="none" w:sz="0" w:space="0" w:color="auto" w:frame="1"/>
          <w:shd w:val="clear" w:color="auto" w:fill="FFFFFF"/>
        </w:rPr>
        <w:t xml:space="preserve"> </w:t>
      </w:r>
      <w:r w:rsidR="005159F9" w:rsidRPr="002A6A9F">
        <w:rPr>
          <w:rFonts w:asciiTheme="minorHAnsi" w:eastAsia="Times New Roman" w:hAnsiTheme="minorHAnsi" w:cstheme="minorHAnsi"/>
          <w:i/>
          <w:iCs/>
          <w:bdr w:val="none" w:sz="0" w:space="0" w:color="auto" w:frame="1"/>
        </w:rPr>
        <w:t>Banks</w:t>
      </w:r>
      <w:r w:rsidR="005159F9">
        <w:rPr>
          <w:rFonts w:asciiTheme="minorHAnsi" w:eastAsia="Times New Roman" w:hAnsiTheme="minorHAnsi" w:cstheme="minorHAnsi"/>
          <w:shd w:val="clear" w:color="auto" w:fill="FFFFFF"/>
        </w:rPr>
        <w:t xml:space="preserve"> </w:t>
      </w:r>
      <w:r w:rsidR="005159F9" w:rsidRPr="002A6A9F">
        <w:rPr>
          <w:rFonts w:asciiTheme="minorHAnsi" w:eastAsia="Times New Roman" w:hAnsiTheme="minorHAnsi" w:cstheme="minorHAnsi"/>
          <w:shd w:val="clear" w:color="auto" w:fill="FFFFFF"/>
        </w:rPr>
        <w:t>and</w:t>
      </w:r>
      <w:r w:rsidR="005159F9">
        <w:rPr>
          <w:rFonts w:asciiTheme="minorHAnsi" w:eastAsia="Times New Roman" w:hAnsiTheme="minorHAnsi" w:cstheme="minorHAnsi"/>
          <w:shd w:val="clear" w:color="auto" w:fill="FFFFFF"/>
        </w:rPr>
        <w:t xml:space="preserve"> </w:t>
      </w:r>
      <w:r w:rsidR="005159F9" w:rsidRPr="002A6A9F">
        <w:rPr>
          <w:rFonts w:asciiTheme="minorHAnsi" w:eastAsia="Times New Roman" w:hAnsiTheme="minorHAnsi" w:cstheme="minorHAnsi"/>
          <w:i/>
          <w:iCs/>
          <w:bdr w:val="none" w:sz="0" w:space="0" w:color="auto" w:frame="1"/>
        </w:rPr>
        <w:t>Clark</w:t>
      </w:r>
      <w:r w:rsidR="00850160" w:rsidRPr="00850160">
        <w:rPr>
          <w:rFonts w:asciiTheme="minorHAnsi" w:eastAsia="Times New Roman" w:hAnsiTheme="minorHAnsi" w:cstheme="minorHAnsi"/>
          <w:bdr w:val="none" w:sz="0" w:space="0" w:color="auto" w:frame="1"/>
          <w:shd w:val="clear" w:color="auto" w:fill="FFFFFF"/>
        </w:rPr>
        <w:t>.</w:t>
      </w:r>
      <w:r w:rsidR="00850160" w:rsidRPr="000E7BE2">
        <w:rPr>
          <w:rFonts w:asciiTheme="minorHAnsi" w:eastAsia="Times New Roman" w:hAnsiTheme="minorHAnsi" w:cstheme="minorHAnsi"/>
          <w:bdr w:val="none" w:sz="0" w:space="0" w:color="auto" w:frame="1"/>
          <w:shd w:val="clear" w:color="auto" w:fill="FFFFFF"/>
        </w:rPr>
        <w:t xml:space="preserve">  (</w:t>
      </w:r>
      <w:bookmarkStart w:id="54" w:name="dabmci_c9b731d25d554504a71909898694f11b"/>
      <w:r w:rsidR="00850160" w:rsidRPr="00850160">
        <w:rPr>
          <w:rFonts w:asciiTheme="minorHAnsi" w:eastAsia="Times New Roman" w:hAnsiTheme="minorHAnsi" w:cstheme="minorHAnsi"/>
          <w:i/>
          <w:iCs/>
          <w:bdr w:val="none" w:sz="0" w:space="0" w:color="auto" w:frame="1"/>
        </w:rPr>
        <w:t>Secrease</w:t>
      </w:r>
      <w:r w:rsidR="00850160" w:rsidRPr="000E7BE2">
        <w:rPr>
          <w:rFonts w:asciiTheme="minorHAnsi" w:eastAsia="Times New Roman" w:hAnsiTheme="minorHAnsi" w:cstheme="minorHAnsi"/>
        </w:rPr>
        <w:t xml:space="preserve">, </w:t>
      </w:r>
      <w:r w:rsidR="00850160" w:rsidRPr="000E7BE2">
        <w:rPr>
          <w:rFonts w:asciiTheme="minorHAnsi" w:eastAsia="Times New Roman" w:hAnsiTheme="minorHAnsi" w:cstheme="minorHAnsi"/>
          <w:i/>
          <w:iCs/>
        </w:rPr>
        <w:t>supra</w:t>
      </w:r>
      <w:r w:rsidR="00850160" w:rsidRPr="000E7BE2">
        <w:rPr>
          <w:rFonts w:asciiTheme="minorHAnsi" w:eastAsia="Times New Roman" w:hAnsiTheme="minorHAnsi" w:cstheme="minorHAnsi"/>
        </w:rPr>
        <w:t xml:space="preserve">, </w:t>
      </w:r>
      <w:r w:rsidR="004E7EE2">
        <w:rPr>
          <w:rFonts w:asciiTheme="minorHAnsi" w:eastAsia="Times New Roman" w:hAnsiTheme="minorHAnsi" w:cstheme="minorHAnsi"/>
        </w:rPr>
        <w:t xml:space="preserve">63 Cal.App.5th </w:t>
      </w:r>
      <w:r w:rsidR="00850160" w:rsidRPr="000E7BE2">
        <w:rPr>
          <w:rFonts w:asciiTheme="minorHAnsi" w:eastAsia="Times New Roman" w:hAnsiTheme="minorHAnsi" w:cstheme="minorHAnsi"/>
        </w:rPr>
        <w:t xml:space="preserve">at p. </w:t>
      </w:r>
      <w:bookmarkEnd w:id="54"/>
      <w:r w:rsidR="00A40BA3">
        <w:rPr>
          <w:rFonts w:asciiTheme="minorHAnsi" w:eastAsia="Times New Roman" w:hAnsiTheme="minorHAnsi" w:cstheme="minorHAnsi"/>
        </w:rPr>
        <w:t>259</w:t>
      </w:r>
      <w:r w:rsidR="00850160" w:rsidRPr="000E7BE2">
        <w:rPr>
          <w:rFonts w:asciiTheme="minorHAnsi" w:eastAsia="Times New Roman" w:hAnsiTheme="minorHAnsi" w:cstheme="minorHAnsi"/>
        </w:rPr>
        <w:t xml:space="preserve">; </w:t>
      </w:r>
      <w:bookmarkStart w:id="55" w:name="dabmci_2fc8835c8a4a4c7682f8e6c5a0f07d5b"/>
      <w:r w:rsidR="00850160" w:rsidRPr="00850160">
        <w:rPr>
          <w:rFonts w:asciiTheme="minorHAnsi" w:eastAsia="Times New Roman" w:hAnsiTheme="minorHAnsi" w:cstheme="minorHAnsi"/>
          <w:i/>
          <w:iCs/>
          <w:bdr w:val="none" w:sz="0" w:space="0" w:color="auto" w:frame="1"/>
        </w:rPr>
        <w:t>Scoggins</w:t>
      </w:r>
      <w:r w:rsidR="002C4D28">
        <w:rPr>
          <w:rFonts w:asciiTheme="minorHAnsi" w:eastAsia="Times New Roman" w:hAnsiTheme="minorHAnsi" w:cstheme="minorHAnsi"/>
        </w:rPr>
        <w:t xml:space="preserve">, </w:t>
      </w:r>
      <w:r w:rsidR="002C4D28" w:rsidRPr="002417D3">
        <w:rPr>
          <w:rFonts w:asciiTheme="minorHAnsi" w:eastAsia="Times New Roman" w:hAnsiTheme="minorHAnsi" w:cstheme="minorHAnsi"/>
          <w:i/>
          <w:iCs/>
        </w:rPr>
        <w:t>supra</w:t>
      </w:r>
      <w:r w:rsidR="002C4D28">
        <w:rPr>
          <w:rFonts w:asciiTheme="minorHAnsi" w:eastAsia="Times New Roman" w:hAnsiTheme="minorHAnsi" w:cstheme="minorHAnsi"/>
        </w:rPr>
        <w:t xml:space="preserve">, </w:t>
      </w:r>
      <w:r w:rsidR="00850160" w:rsidRPr="00850160">
        <w:rPr>
          <w:rFonts w:asciiTheme="minorHAnsi" w:eastAsia="Times New Roman" w:hAnsiTheme="minorHAnsi" w:cstheme="minorHAnsi"/>
        </w:rPr>
        <w:t xml:space="preserve">9 Cal.5th </w:t>
      </w:r>
      <w:r w:rsidR="002C4D28">
        <w:rPr>
          <w:rFonts w:asciiTheme="minorHAnsi" w:eastAsia="Times New Roman" w:hAnsiTheme="minorHAnsi" w:cstheme="minorHAnsi"/>
        </w:rPr>
        <w:t>at p.</w:t>
      </w:r>
      <w:r w:rsidR="00850160" w:rsidRPr="00850160">
        <w:rPr>
          <w:rFonts w:asciiTheme="minorHAnsi" w:eastAsia="Times New Roman" w:hAnsiTheme="minorHAnsi" w:cstheme="minorHAnsi"/>
        </w:rPr>
        <w:t xml:space="preserve"> 674</w:t>
      </w:r>
      <w:bookmarkEnd w:id="55"/>
      <w:r w:rsidR="00850160" w:rsidRPr="000E7BE2">
        <w:rPr>
          <w:rFonts w:asciiTheme="minorHAnsi" w:eastAsia="Times New Roman" w:hAnsiTheme="minorHAnsi" w:cstheme="minorHAnsi"/>
        </w:rPr>
        <w:t>.)</w:t>
      </w:r>
      <w:r w:rsidR="008C4C16" w:rsidRPr="000E7BE2">
        <w:rPr>
          <w:rFonts w:asciiTheme="minorHAnsi" w:eastAsia="Times New Roman" w:hAnsiTheme="minorHAnsi" w:cstheme="minorHAnsi"/>
        </w:rPr>
        <w:t xml:space="preserve">  We</w:t>
      </w:r>
      <w:r w:rsidR="0063057C">
        <w:rPr>
          <w:rFonts w:asciiTheme="minorHAnsi" w:eastAsia="Times New Roman" w:hAnsiTheme="minorHAnsi" w:cstheme="minorHAnsi"/>
        </w:rPr>
        <w:t> </w:t>
      </w:r>
      <w:r w:rsidR="008C4C16" w:rsidRPr="000E7BE2">
        <w:rPr>
          <w:rFonts w:asciiTheme="minorHAnsi" w:eastAsia="Times New Roman" w:hAnsiTheme="minorHAnsi" w:cstheme="minorHAnsi"/>
        </w:rPr>
        <w:t xml:space="preserve">remand the matter to the trial court to make that determination.  </w:t>
      </w:r>
      <w:r w:rsidRPr="000E7BE2">
        <w:rPr>
          <w:rFonts w:asciiTheme="minorHAnsi" w:eastAsia="Times New Roman" w:hAnsiTheme="minorHAnsi" w:cstheme="minorHAnsi"/>
        </w:rPr>
        <w:t xml:space="preserve">As was the case in </w:t>
      </w:r>
      <w:r w:rsidRPr="000E7BE2">
        <w:rPr>
          <w:rFonts w:asciiTheme="minorHAnsi" w:eastAsia="Times New Roman" w:hAnsiTheme="minorHAnsi" w:cstheme="minorHAnsi"/>
          <w:i/>
          <w:iCs/>
        </w:rPr>
        <w:t>Secrease</w:t>
      </w:r>
      <w:r w:rsidRPr="000E7BE2">
        <w:rPr>
          <w:rFonts w:asciiTheme="minorHAnsi" w:eastAsia="Times New Roman" w:hAnsiTheme="minorHAnsi" w:cstheme="minorHAnsi"/>
        </w:rPr>
        <w:t>, “</w:t>
      </w:r>
      <w:r w:rsidRPr="000E7BE2">
        <w:rPr>
          <w:rFonts w:asciiTheme="minorHAnsi" w:eastAsia="Times New Roman" w:hAnsiTheme="minorHAnsi" w:cstheme="minorHAnsi"/>
          <w:shd w:val="clear" w:color="auto" w:fill="FFFFFF"/>
        </w:rPr>
        <w:t>we are remanding the case for resumption of proceedings at the</w:t>
      </w:r>
      <w:r w:rsidR="00A40BA3">
        <w:rPr>
          <w:rFonts w:asciiTheme="minorHAnsi" w:eastAsia="Times New Roman" w:hAnsiTheme="minorHAnsi" w:cstheme="minorHAnsi"/>
          <w:shd w:val="clear" w:color="auto" w:fill="FFFFFF"/>
        </w:rPr>
        <w:t xml:space="preserve"> </w:t>
      </w:r>
      <w:r w:rsidRPr="000E7BE2">
        <w:rPr>
          <w:rFonts w:asciiTheme="minorHAnsi" w:eastAsia="Times New Roman" w:hAnsiTheme="minorHAnsi" w:cstheme="minorHAnsi"/>
          <w:shd w:val="clear" w:color="auto" w:fill="FFFFFF"/>
        </w:rPr>
        <w:t>section</w:t>
      </w:r>
      <w:r w:rsidR="00A40BA3">
        <w:rPr>
          <w:rFonts w:asciiTheme="minorHAnsi" w:eastAsia="Times New Roman" w:hAnsiTheme="minorHAnsi" w:cstheme="minorHAnsi"/>
          <w:shd w:val="clear" w:color="auto" w:fill="FFFFFF"/>
        </w:rPr>
        <w:t> </w:t>
      </w:r>
      <w:r w:rsidRPr="000E7BE2">
        <w:rPr>
          <w:rFonts w:asciiTheme="minorHAnsi" w:eastAsia="Times New Roman" w:hAnsiTheme="minorHAnsi" w:cstheme="minorHAnsi"/>
          <w:shd w:val="clear" w:color="auto" w:fill="FFFFFF"/>
        </w:rPr>
        <w:t xml:space="preserve">1170.95, subdivision (c) entitlement-to-relief stage of the process, where the </w:t>
      </w:r>
      <w:r w:rsidRPr="000E7BE2">
        <w:rPr>
          <w:rFonts w:asciiTheme="minorHAnsi" w:eastAsia="Times New Roman" w:hAnsiTheme="minorHAnsi" w:cstheme="minorHAnsi"/>
          <w:shd w:val="clear" w:color="auto" w:fill="FFFFFF"/>
        </w:rPr>
        <w:lastRenderedPageBreak/>
        <w:t>court’s task will be narrowly focused on whether, without resolving conflicts in the evidence and making findings, the evidence presented at trial was sufficient to support the felony-murder special-circumstance finding under</w:t>
      </w:r>
      <w:r w:rsidR="005159F9">
        <w:rPr>
          <w:rFonts w:asciiTheme="minorHAnsi" w:eastAsia="Times New Roman" w:hAnsiTheme="minorHAnsi" w:cstheme="minorHAnsi"/>
          <w:shd w:val="clear" w:color="auto" w:fill="FFFFFF"/>
        </w:rPr>
        <w:t xml:space="preserve"> </w:t>
      </w:r>
      <w:r w:rsidR="005159F9" w:rsidRPr="002A6A9F">
        <w:rPr>
          <w:rFonts w:asciiTheme="minorHAnsi" w:eastAsia="Times New Roman" w:hAnsiTheme="minorHAnsi" w:cstheme="minorHAnsi"/>
          <w:i/>
          <w:iCs/>
          <w:bdr w:val="none" w:sz="0" w:space="0" w:color="auto" w:frame="1"/>
        </w:rPr>
        <w:t>Banks</w:t>
      </w:r>
      <w:r w:rsidR="005159F9">
        <w:rPr>
          <w:rFonts w:asciiTheme="minorHAnsi" w:eastAsia="Times New Roman" w:hAnsiTheme="minorHAnsi" w:cstheme="minorHAnsi"/>
          <w:shd w:val="clear" w:color="auto" w:fill="FFFFFF"/>
        </w:rPr>
        <w:t xml:space="preserve"> </w:t>
      </w:r>
      <w:r w:rsidR="005159F9" w:rsidRPr="002A6A9F">
        <w:rPr>
          <w:rFonts w:asciiTheme="minorHAnsi" w:eastAsia="Times New Roman" w:hAnsiTheme="minorHAnsi" w:cstheme="minorHAnsi"/>
          <w:shd w:val="clear" w:color="auto" w:fill="FFFFFF"/>
        </w:rPr>
        <w:t>and</w:t>
      </w:r>
      <w:r w:rsidR="005159F9">
        <w:rPr>
          <w:rFonts w:asciiTheme="minorHAnsi" w:eastAsia="Times New Roman" w:hAnsiTheme="minorHAnsi" w:cstheme="minorHAnsi"/>
          <w:shd w:val="clear" w:color="auto" w:fill="FFFFFF"/>
        </w:rPr>
        <w:t xml:space="preserve"> </w:t>
      </w:r>
      <w:r w:rsidR="005159F9" w:rsidRPr="002A6A9F">
        <w:rPr>
          <w:rFonts w:asciiTheme="minorHAnsi" w:eastAsia="Times New Roman" w:hAnsiTheme="minorHAnsi" w:cstheme="minorHAnsi"/>
          <w:i/>
          <w:iCs/>
          <w:bdr w:val="none" w:sz="0" w:space="0" w:color="auto" w:frame="1"/>
        </w:rPr>
        <w:t>Clark</w:t>
      </w:r>
      <w:r w:rsidRPr="000E7BE2">
        <w:rPr>
          <w:rFonts w:asciiTheme="minorHAnsi" w:eastAsia="Times New Roman" w:hAnsiTheme="minorHAnsi" w:cstheme="minorHAnsi"/>
          <w:shd w:val="clear" w:color="auto" w:fill="FFFFFF"/>
        </w:rPr>
        <w:t xml:space="preserve">. </w:t>
      </w:r>
      <w:r>
        <w:rPr>
          <w:rFonts w:asciiTheme="minorHAnsi" w:eastAsia="Times New Roman" w:hAnsiTheme="minorHAnsi" w:cstheme="minorHAnsi"/>
          <w:shd w:val="clear" w:color="auto" w:fill="FFFFFF"/>
        </w:rPr>
        <w:t xml:space="preserve"> </w:t>
      </w:r>
      <w:r w:rsidRPr="000E7BE2">
        <w:rPr>
          <w:rFonts w:asciiTheme="minorHAnsi" w:eastAsia="Times New Roman" w:hAnsiTheme="minorHAnsi" w:cstheme="minorHAnsi"/>
          <w:shd w:val="clear" w:color="auto" w:fill="FFFFFF"/>
        </w:rPr>
        <w:t>If the answe</w:t>
      </w:r>
      <w:r w:rsidRPr="000E7BE2">
        <w:rPr>
          <w:rFonts w:asciiTheme="minorHAnsi" w:eastAsia="Times New Roman" w:hAnsiTheme="minorHAnsi" w:cstheme="minorHAnsi"/>
          <w:shd w:val="clear" w:color="auto" w:fill="FFFFFF"/>
        </w:rPr>
        <w:t>r to that is yes, the section 190.2, subdivision</w:t>
      </w:r>
      <w:r>
        <w:rPr>
          <w:rFonts w:asciiTheme="minorHAnsi" w:eastAsia="Times New Roman" w:hAnsiTheme="minorHAnsi" w:cstheme="minorHAnsi"/>
          <w:shd w:val="clear" w:color="auto" w:fill="FFFFFF"/>
        </w:rPr>
        <w:t> </w:t>
      </w:r>
      <w:r w:rsidRPr="000E7BE2">
        <w:rPr>
          <w:rFonts w:asciiTheme="minorHAnsi" w:eastAsia="Times New Roman" w:hAnsiTheme="minorHAnsi" w:cstheme="minorHAnsi"/>
          <w:shd w:val="clear" w:color="auto" w:fill="FFFFFF"/>
        </w:rPr>
        <w:t xml:space="preserve">(d) finding made against [Pineda] forecloses him from further litigating that issue, thus rendering him ineligible for resentencing relief as a matter of law. </w:t>
      </w:r>
      <w:r w:rsidR="004017F8">
        <w:rPr>
          <w:rFonts w:asciiTheme="minorHAnsi" w:eastAsia="Times New Roman" w:hAnsiTheme="minorHAnsi" w:cstheme="minorHAnsi"/>
          <w:shd w:val="clear" w:color="auto" w:fill="FFFFFF"/>
        </w:rPr>
        <w:t xml:space="preserve"> </w:t>
      </w:r>
      <w:r w:rsidRPr="000E7BE2">
        <w:rPr>
          <w:rFonts w:asciiTheme="minorHAnsi" w:eastAsia="Times New Roman" w:hAnsiTheme="minorHAnsi" w:cstheme="minorHAnsi"/>
          <w:shd w:val="clear" w:color="auto" w:fill="FFFFFF"/>
        </w:rPr>
        <w:t>If the answer is no, an order to show cause mus</w:t>
      </w:r>
      <w:r w:rsidRPr="000E7BE2">
        <w:rPr>
          <w:rFonts w:asciiTheme="minorHAnsi" w:eastAsia="Times New Roman" w:hAnsiTheme="minorHAnsi" w:cstheme="minorHAnsi"/>
          <w:shd w:val="clear" w:color="auto" w:fill="FFFFFF"/>
        </w:rPr>
        <w:t>t issue and an evidentiary hearing must be held under</w:t>
      </w:r>
      <w:r w:rsidR="005159F9">
        <w:rPr>
          <w:rFonts w:asciiTheme="minorHAnsi" w:eastAsia="Times New Roman" w:hAnsiTheme="minorHAnsi" w:cstheme="minorHAnsi"/>
          <w:shd w:val="clear" w:color="auto" w:fill="FFFFFF"/>
        </w:rPr>
        <w:t xml:space="preserve"> </w:t>
      </w:r>
      <w:r w:rsidRPr="000E7BE2">
        <w:rPr>
          <w:rFonts w:asciiTheme="minorHAnsi" w:eastAsia="Times New Roman" w:hAnsiTheme="minorHAnsi" w:cstheme="minorHAnsi"/>
          <w:shd w:val="clear" w:color="auto" w:fill="FFFFFF"/>
        </w:rPr>
        <w:t>section 1170.95, subdivision (d)(3)</w:t>
      </w:r>
      <w:r>
        <w:rPr>
          <w:rFonts w:asciiTheme="minorHAnsi" w:eastAsia="Times New Roman" w:hAnsiTheme="minorHAnsi" w:cstheme="minorHAnsi"/>
          <w:shd w:val="clear" w:color="auto" w:fill="FFFFFF"/>
        </w:rPr>
        <w:t>.”  (</w:t>
      </w:r>
      <w:bookmarkStart w:id="56" w:name="dabmci_65b336781acf4aca9634ffca13fa7827"/>
      <w:r w:rsidRPr="00850160">
        <w:rPr>
          <w:rFonts w:asciiTheme="minorHAnsi" w:eastAsia="Times New Roman" w:hAnsiTheme="minorHAnsi" w:cstheme="minorHAnsi"/>
          <w:i/>
          <w:iCs/>
          <w:bdr w:val="none" w:sz="0" w:space="0" w:color="auto" w:frame="1"/>
        </w:rPr>
        <w:t>Secrease</w:t>
      </w:r>
      <w:r w:rsidRPr="000E7BE2">
        <w:rPr>
          <w:rFonts w:asciiTheme="minorHAnsi" w:eastAsia="Times New Roman" w:hAnsiTheme="minorHAnsi" w:cstheme="minorHAnsi"/>
        </w:rPr>
        <w:t xml:space="preserve">, </w:t>
      </w:r>
      <w:r w:rsidRPr="000E7BE2">
        <w:rPr>
          <w:rFonts w:asciiTheme="minorHAnsi" w:eastAsia="Times New Roman" w:hAnsiTheme="minorHAnsi" w:cstheme="minorHAnsi"/>
          <w:i/>
          <w:iCs/>
        </w:rPr>
        <w:t>supra</w:t>
      </w:r>
      <w:r w:rsidRPr="000E7BE2">
        <w:rPr>
          <w:rFonts w:asciiTheme="minorHAnsi" w:eastAsia="Times New Roman" w:hAnsiTheme="minorHAnsi" w:cstheme="minorHAnsi"/>
        </w:rPr>
        <w:t>, at p.</w:t>
      </w:r>
      <w:r w:rsidR="00041C93">
        <w:rPr>
          <w:rFonts w:asciiTheme="minorHAnsi" w:eastAsia="Times New Roman" w:hAnsiTheme="minorHAnsi" w:cstheme="minorHAnsi"/>
        </w:rPr>
        <w:t> </w:t>
      </w:r>
      <w:r w:rsidR="00A73960">
        <w:rPr>
          <w:rFonts w:asciiTheme="minorHAnsi" w:eastAsia="Times New Roman" w:hAnsiTheme="minorHAnsi" w:cstheme="minorHAnsi"/>
          <w:shd w:val="clear" w:color="auto" w:fill="FFFFFF"/>
        </w:rPr>
        <w:t>264</w:t>
      </w:r>
      <w:bookmarkEnd w:id="56"/>
      <w:r>
        <w:rPr>
          <w:rFonts w:asciiTheme="minorHAnsi" w:eastAsia="Times New Roman" w:hAnsiTheme="minorHAnsi" w:cstheme="minorHAnsi"/>
          <w:shd w:val="clear" w:color="auto" w:fill="FFFFFF"/>
        </w:rPr>
        <w:t>.)</w:t>
      </w:r>
    </w:p>
    <w:p w14:paraId="419DB6E9" w14:textId="2E4618CB" w:rsidR="00D2710A" w:rsidRPr="00D202A1" w:rsidRDefault="00024CFE" w:rsidP="00D2710A">
      <w:pPr>
        <w:rPr>
          <w:rFonts w:asciiTheme="minorHAnsi" w:eastAsia="Times New Roman" w:hAnsiTheme="minorHAnsi" w:cstheme="minorHAnsi"/>
        </w:rPr>
      </w:pPr>
      <w:r w:rsidRPr="00D2710A">
        <w:rPr>
          <w:rFonts w:asciiTheme="minorHAnsi" w:eastAsia="Times New Roman" w:hAnsiTheme="minorHAnsi" w:cstheme="minorHAnsi"/>
        </w:rPr>
        <w:tab/>
      </w:r>
      <w:r w:rsidRPr="00D2710A">
        <w:rPr>
          <w:rFonts w:asciiTheme="minorHAnsi" w:eastAsia="Times New Roman" w:hAnsiTheme="minorHAnsi" w:cstheme="minorHAnsi"/>
          <w:i/>
          <w:iCs/>
        </w:rPr>
        <w:t>Secrease</w:t>
      </w:r>
      <w:r w:rsidRPr="00D2710A">
        <w:rPr>
          <w:rFonts w:asciiTheme="minorHAnsi" w:eastAsia="Times New Roman" w:hAnsiTheme="minorHAnsi" w:cstheme="minorHAnsi"/>
        </w:rPr>
        <w:t xml:space="preserve"> suggests that </w:t>
      </w:r>
      <w:r w:rsidR="000E7BE2" w:rsidRPr="00D2710A">
        <w:rPr>
          <w:rFonts w:asciiTheme="minorHAnsi" w:eastAsia="Times New Roman" w:hAnsiTheme="minorHAnsi" w:cstheme="minorHAnsi"/>
        </w:rPr>
        <w:t xml:space="preserve">the </w:t>
      </w:r>
      <w:r w:rsidRPr="00D2710A">
        <w:rPr>
          <w:rFonts w:asciiTheme="minorHAnsi" w:eastAsia="Times New Roman" w:hAnsiTheme="minorHAnsi" w:cstheme="minorHAnsi"/>
        </w:rPr>
        <w:t xml:space="preserve">determination </w:t>
      </w:r>
      <w:r w:rsidR="000E7BE2" w:rsidRPr="00D2710A">
        <w:rPr>
          <w:rFonts w:asciiTheme="minorHAnsi" w:eastAsia="Times New Roman" w:hAnsiTheme="minorHAnsi" w:cstheme="minorHAnsi"/>
        </w:rPr>
        <w:t xml:space="preserve">described above </w:t>
      </w:r>
      <w:r w:rsidRPr="00D2710A">
        <w:rPr>
          <w:rFonts w:asciiTheme="minorHAnsi" w:eastAsia="Times New Roman" w:hAnsiTheme="minorHAnsi" w:cstheme="minorHAnsi"/>
        </w:rPr>
        <w:t xml:space="preserve">can be made </w:t>
      </w:r>
      <w:r w:rsidR="000E7BE2" w:rsidRPr="00D2710A">
        <w:rPr>
          <w:rFonts w:asciiTheme="minorHAnsi" w:eastAsia="Times New Roman" w:hAnsiTheme="minorHAnsi" w:cstheme="minorHAnsi"/>
        </w:rPr>
        <w:t>in the first instance on appeal where the appellate record is adequate.  (</w:t>
      </w:r>
      <w:bookmarkStart w:id="57" w:name="dabmci_85ccebc6896e4d0585e2a2741054ad08"/>
      <w:r w:rsidR="000E7BE2" w:rsidRPr="00850160">
        <w:rPr>
          <w:rFonts w:asciiTheme="minorHAnsi" w:eastAsia="Times New Roman" w:hAnsiTheme="minorHAnsi" w:cstheme="minorHAnsi"/>
          <w:i/>
          <w:iCs/>
          <w:bdr w:val="none" w:sz="0" w:space="0" w:color="auto" w:frame="1"/>
        </w:rPr>
        <w:t>Secrease</w:t>
      </w:r>
      <w:r w:rsidR="000E7BE2" w:rsidRPr="00D2710A">
        <w:rPr>
          <w:rFonts w:asciiTheme="minorHAnsi" w:eastAsia="Times New Roman" w:hAnsiTheme="minorHAnsi" w:cstheme="minorHAnsi"/>
        </w:rPr>
        <w:t xml:space="preserve">, </w:t>
      </w:r>
      <w:r w:rsidR="000E7BE2" w:rsidRPr="00D2710A">
        <w:rPr>
          <w:rFonts w:asciiTheme="minorHAnsi" w:eastAsia="Times New Roman" w:hAnsiTheme="minorHAnsi" w:cstheme="minorHAnsi"/>
          <w:i/>
          <w:iCs/>
        </w:rPr>
        <w:t>supra</w:t>
      </w:r>
      <w:r w:rsidR="000E7BE2" w:rsidRPr="00D2710A">
        <w:rPr>
          <w:rFonts w:asciiTheme="minorHAnsi" w:eastAsia="Times New Roman" w:hAnsiTheme="minorHAnsi" w:cstheme="minorHAnsi"/>
        </w:rPr>
        <w:t xml:space="preserve">, </w:t>
      </w:r>
      <w:r w:rsidR="00E607FC">
        <w:rPr>
          <w:rFonts w:asciiTheme="minorHAnsi" w:eastAsia="Times New Roman" w:hAnsiTheme="minorHAnsi" w:cstheme="minorHAnsi"/>
        </w:rPr>
        <w:t xml:space="preserve">63 Cal.App.5th </w:t>
      </w:r>
      <w:r w:rsidR="000E7BE2" w:rsidRPr="00D2710A">
        <w:rPr>
          <w:rFonts w:asciiTheme="minorHAnsi" w:eastAsia="Times New Roman" w:hAnsiTheme="minorHAnsi" w:cstheme="minorHAnsi"/>
        </w:rPr>
        <w:t xml:space="preserve">at pp. </w:t>
      </w:r>
      <w:r w:rsidR="00E607FC">
        <w:rPr>
          <w:rFonts w:asciiTheme="minorHAnsi" w:eastAsia="Times New Roman" w:hAnsiTheme="minorHAnsi" w:cstheme="minorHAnsi"/>
        </w:rPr>
        <w:t>2</w:t>
      </w:r>
      <w:r w:rsidR="000E7BE2" w:rsidRPr="00D2710A">
        <w:rPr>
          <w:rFonts w:asciiTheme="minorHAnsi" w:eastAsia="Times New Roman" w:hAnsiTheme="minorHAnsi" w:cstheme="minorHAnsi"/>
        </w:rPr>
        <w:t>5</w:t>
      </w:r>
      <w:r w:rsidR="009668A9">
        <w:rPr>
          <w:rFonts w:asciiTheme="minorHAnsi" w:eastAsia="Times New Roman" w:hAnsiTheme="minorHAnsi" w:cstheme="minorHAnsi"/>
        </w:rPr>
        <w:t>5</w:t>
      </w:r>
      <w:r w:rsidR="000E7BE2" w:rsidRPr="00D2710A">
        <w:rPr>
          <w:rFonts w:asciiTheme="minorHAnsi" w:eastAsia="Times New Roman" w:hAnsiTheme="minorHAnsi" w:cstheme="minorHAnsi"/>
        </w:rPr>
        <w:t xml:space="preserve">, </w:t>
      </w:r>
      <w:r w:rsidR="00151A66">
        <w:rPr>
          <w:rFonts w:asciiTheme="minorHAnsi" w:eastAsia="Times New Roman" w:hAnsiTheme="minorHAnsi" w:cstheme="minorHAnsi"/>
        </w:rPr>
        <w:t>260-</w:t>
      </w:r>
      <w:r w:rsidR="00E607FC">
        <w:rPr>
          <w:rFonts w:asciiTheme="minorHAnsi" w:eastAsia="Times New Roman" w:hAnsiTheme="minorHAnsi" w:cstheme="minorHAnsi"/>
        </w:rPr>
        <w:t>261</w:t>
      </w:r>
      <w:bookmarkEnd w:id="57"/>
      <w:r w:rsidR="000E7BE2" w:rsidRPr="00D2710A">
        <w:rPr>
          <w:rFonts w:asciiTheme="minorHAnsi" w:eastAsia="Times New Roman" w:hAnsiTheme="minorHAnsi" w:cstheme="minorHAnsi"/>
        </w:rPr>
        <w:t>.)  Here, the full record of conviction is before us.  However, the parties have not briefed the issue</w:t>
      </w:r>
      <w:r w:rsidR="00D202A1">
        <w:rPr>
          <w:rFonts w:asciiTheme="minorHAnsi" w:eastAsia="Times New Roman" w:hAnsiTheme="minorHAnsi" w:cstheme="minorHAnsi"/>
        </w:rPr>
        <w:t xml:space="preserve"> as we have framed it</w:t>
      </w:r>
      <w:r w:rsidR="000E7BE2" w:rsidRPr="00D2710A">
        <w:rPr>
          <w:rFonts w:asciiTheme="minorHAnsi" w:eastAsia="Times New Roman" w:hAnsiTheme="minorHAnsi" w:cstheme="minorHAnsi"/>
        </w:rPr>
        <w:t>—namely, whether “</w:t>
      </w:r>
      <w:r w:rsidR="000E7BE2" w:rsidRPr="00D2710A">
        <w:rPr>
          <w:rStyle w:val="cohl"/>
          <w:rFonts w:asciiTheme="minorHAnsi" w:hAnsiTheme="minorHAnsi" w:cstheme="minorHAnsi"/>
          <w:bdr w:val="none" w:sz="0" w:space="0" w:color="auto" w:frame="1"/>
        </w:rPr>
        <w:t xml:space="preserve">the </w:t>
      </w:r>
      <w:r w:rsidRPr="00D2710A">
        <w:rPr>
          <w:rStyle w:val="cohl"/>
          <w:rFonts w:asciiTheme="minorHAnsi" w:hAnsiTheme="minorHAnsi" w:cstheme="minorHAnsi"/>
          <w:bdr w:val="none" w:sz="0" w:space="0" w:color="auto" w:frame="1"/>
        </w:rPr>
        <w:t xml:space="preserve">[trial record] </w:t>
      </w:r>
      <w:r w:rsidR="000E7BE2" w:rsidRPr="00D2710A">
        <w:rPr>
          <w:rStyle w:val="cohl"/>
          <w:rFonts w:asciiTheme="minorHAnsi" w:hAnsiTheme="minorHAnsi" w:cstheme="minorHAnsi"/>
          <w:bdr w:val="none" w:sz="0" w:space="0" w:color="auto" w:frame="1"/>
        </w:rPr>
        <w:t>evidence meets the minimum threshold of personal culpability set by </w:t>
      </w:r>
      <w:r w:rsidR="000E7BE2" w:rsidRPr="00D2710A">
        <w:rPr>
          <w:rStyle w:val="cohl"/>
          <w:rFonts w:asciiTheme="minorHAnsi" w:hAnsiTheme="minorHAnsi" w:cstheme="minorHAnsi"/>
          <w:i/>
          <w:iCs/>
          <w:bdr w:val="none" w:sz="0" w:space="0" w:color="auto" w:frame="1"/>
          <w:shd w:val="clear" w:color="auto" w:fill="FFFFFF"/>
        </w:rPr>
        <w:t>Banks</w:t>
      </w:r>
      <w:r w:rsidR="000E7BE2" w:rsidRPr="00D2710A">
        <w:rPr>
          <w:rStyle w:val="cohl"/>
          <w:rFonts w:asciiTheme="minorHAnsi" w:hAnsiTheme="minorHAnsi" w:cstheme="minorHAnsi"/>
          <w:bdr w:val="none" w:sz="0" w:space="0" w:color="auto" w:frame="1"/>
        </w:rPr>
        <w:t> and </w:t>
      </w:r>
      <w:r w:rsidR="000E7BE2" w:rsidRPr="00D2710A">
        <w:rPr>
          <w:rStyle w:val="cohl"/>
          <w:rFonts w:asciiTheme="minorHAnsi" w:hAnsiTheme="minorHAnsi" w:cstheme="minorHAnsi"/>
          <w:i/>
          <w:iCs/>
          <w:bdr w:val="none" w:sz="0" w:space="0" w:color="auto" w:frame="1"/>
          <w:shd w:val="clear" w:color="auto" w:fill="FFFFFF"/>
        </w:rPr>
        <w:t>Clark</w:t>
      </w:r>
      <w:r w:rsidR="000E7BE2" w:rsidRPr="00D2710A">
        <w:rPr>
          <w:rStyle w:val="cohl"/>
          <w:rFonts w:asciiTheme="minorHAnsi" w:hAnsiTheme="minorHAnsi" w:cstheme="minorHAnsi"/>
          <w:bdr w:val="none" w:sz="0" w:space="0" w:color="auto" w:frame="1"/>
        </w:rPr>
        <w:t>.”  (</w:t>
      </w:r>
      <w:bookmarkStart w:id="58" w:name="dabmci_c13568bf8b424ad4a2f6dfb277092ff5"/>
      <w:r w:rsidR="000E7BE2" w:rsidRPr="00D2710A">
        <w:rPr>
          <w:rStyle w:val="cohl"/>
          <w:rFonts w:asciiTheme="minorHAnsi" w:hAnsiTheme="minorHAnsi" w:cstheme="minorHAnsi"/>
          <w:i/>
          <w:iCs/>
          <w:bdr w:val="none" w:sz="0" w:space="0" w:color="auto" w:frame="1"/>
        </w:rPr>
        <w:t>Id</w:t>
      </w:r>
      <w:r w:rsidR="000E7BE2" w:rsidRPr="00D2710A">
        <w:rPr>
          <w:rStyle w:val="cohl"/>
          <w:rFonts w:asciiTheme="minorHAnsi" w:hAnsiTheme="minorHAnsi" w:cstheme="minorHAnsi"/>
          <w:bdr w:val="none" w:sz="0" w:space="0" w:color="auto" w:frame="1"/>
        </w:rPr>
        <w:t>. at p.</w:t>
      </w:r>
      <w:r w:rsidR="00D202A1">
        <w:rPr>
          <w:rStyle w:val="cohl"/>
          <w:rFonts w:asciiTheme="minorHAnsi" w:hAnsiTheme="minorHAnsi" w:cstheme="minorHAnsi"/>
          <w:bdr w:val="none" w:sz="0" w:space="0" w:color="auto" w:frame="1"/>
        </w:rPr>
        <w:t> </w:t>
      </w:r>
      <w:r w:rsidR="00151A66">
        <w:rPr>
          <w:rStyle w:val="cohl"/>
          <w:rFonts w:asciiTheme="minorHAnsi" w:hAnsiTheme="minorHAnsi" w:cstheme="minorHAnsi"/>
          <w:bdr w:val="none" w:sz="0" w:space="0" w:color="auto" w:frame="1"/>
        </w:rPr>
        <w:t>261</w:t>
      </w:r>
      <w:bookmarkEnd w:id="58"/>
      <w:r w:rsidR="000E7BE2" w:rsidRPr="00D2710A">
        <w:rPr>
          <w:rStyle w:val="cohl"/>
          <w:rFonts w:asciiTheme="minorHAnsi" w:hAnsiTheme="minorHAnsi" w:cstheme="minorHAnsi"/>
          <w:bdr w:val="none" w:sz="0" w:space="0" w:color="auto" w:frame="1"/>
        </w:rPr>
        <w:t>.)</w:t>
      </w:r>
      <w:r>
        <w:rPr>
          <w:rStyle w:val="cohl"/>
          <w:rFonts w:asciiTheme="minorHAnsi" w:hAnsiTheme="minorHAnsi" w:cstheme="minorHAnsi"/>
          <w:bdr w:val="none" w:sz="0" w:space="0" w:color="auto" w:frame="1"/>
        </w:rPr>
        <w:t xml:space="preserve">  </w:t>
      </w:r>
      <w:r w:rsidR="004017F8">
        <w:rPr>
          <w:rStyle w:val="cohl"/>
          <w:rFonts w:asciiTheme="minorHAnsi" w:hAnsiTheme="minorHAnsi" w:cstheme="minorHAnsi"/>
          <w:bdr w:val="none" w:sz="0" w:space="0" w:color="auto" w:frame="1"/>
        </w:rPr>
        <w:t xml:space="preserve">Remand </w:t>
      </w:r>
      <w:r>
        <w:rPr>
          <w:rStyle w:val="cohl"/>
          <w:rFonts w:asciiTheme="minorHAnsi" w:hAnsiTheme="minorHAnsi" w:cstheme="minorHAnsi"/>
          <w:bdr w:val="none" w:sz="0" w:space="0" w:color="auto" w:frame="1"/>
        </w:rPr>
        <w:t xml:space="preserve">will </w:t>
      </w:r>
      <w:r w:rsidR="00D202A1">
        <w:rPr>
          <w:rStyle w:val="cohl"/>
          <w:rFonts w:asciiTheme="minorHAnsi" w:hAnsiTheme="minorHAnsi" w:cstheme="minorHAnsi"/>
          <w:bdr w:val="none" w:sz="0" w:space="0" w:color="auto" w:frame="1"/>
        </w:rPr>
        <w:t>afford</w:t>
      </w:r>
      <w:r>
        <w:rPr>
          <w:rStyle w:val="cohl"/>
          <w:rFonts w:asciiTheme="minorHAnsi" w:hAnsiTheme="minorHAnsi" w:cstheme="minorHAnsi"/>
          <w:bdr w:val="none" w:sz="0" w:space="0" w:color="auto" w:frame="1"/>
        </w:rPr>
        <w:t xml:space="preserve"> the parties the opportunity to fully develop </w:t>
      </w:r>
      <w:r>
        <w:rPr>
          <w:rFonts w:asciiTheme="minorHAnsi" w:eastAsia="Times New Roman" w:hAnsiTheme="minorHAnsi" w:cstheme="minorHAnsi"/>
        </w:rPr>
        <w:t>their positions on this potentially dispositive issue</w:t>
      </w:r>
      <w:r w:rsidR="004017F8">
        <w:rPr>
          <w:rFonts w:asciiTheme="minorHAnsi" w:eastAsia="Times New Roman" w:hAnsiTheme="minorHAnsi" w:cstheme="minorHAnsi"/>
        </w:rPr>
        <w:t xml:space="preserve"> with the full benefit of the guidance set forth here and in </w:t>
      </w:r>
      <w:bookmarkStart w:id="59" w:name="dabmci_f4bde170bd7f4664b67af47c61968a03"/>
      <w:r w:rsidR="004017F8" w:rsidRPr="004017F8">
        <w:rPr>
          <w:rFonts w:asciiTheme="minorHAnsi" w:eastAsia="Times New Roman" w:hAnsiTheme="minorHAnsi" w:cstheme="minorHAnsi"/>
          <w:i/>
          <w:iCs/>
        </w:rPr>
        <w:t>Secrease</w:t>
      </w:r>
      <w:bookmarkEnd w:id="59"/>
      <w:r>
        <w:rPr>
          <w:rFonts w:asciiTheme="minorHAnsi" w:eastAsia="Times New Roman" w:hAnsiTheme="minorHAnsi" w:cstheme="minorHAnsi"/>
        </w:rPr>
        <w:t>.</w:t>
      </w:r>
    </w:p>
    <w:p w14:paraId="1E46A028" w14:textId="37B594AE" w:rsidR="004132FE" w:rsidRPr="00A13B89" w:rsidRDefault="00024CFE" w:rsidP="00D202A1">
      <w:pPr>
        <w:keepNext/>
        <w:autoSpaceDE w:val="0"/>
        <w:autoSpaceDN w:val="0"/>
        <w:adjustRightInd w:val="0"/>
        <w:rPr>
          <w:b/>
          <w:smallCaps/>
          <w:shd w:val="clear" w:color="auto" w:fill="FFFFFF"/>
        </w:rPr>
      </w:pPr>
      <w:r>
        <w:rPr>
          <w:b/>
          <w:smallCaps/>
          <w:shd w:val="clear" w:color="auto" w:fill="FFFFFF"/>
        </w:rPr>
        <w:t>I</w:t>
      </w:r>
      <w:r w:rsidRPr="00A13B89">
        <w:rPr>
          <w:b/>
          <w:smallCaps/>
          <w:shd w:val="clear" w:color="auto" w:fill="FFFFFF"/>
        </w:rPr>
        <w:t>II.</w:t>
      </w:r>
      <w:r w:rsidRPr="00A13B89">
        <w:rPr>
          <w:b/>
          <w:smallCaps/>
          <w:shd w:val="clear" w:color="auto" w:fill="FFFFFF"/>
        </w:rPr>
        <w:tab/>
        <w:t>Dis</w:t>
      </w:r>
      <w:r>
        <w:rPr>
          <w:b/>
          <w:smallCaps/>
          <w:shd w:val="clear" w:color="auto" w:fill="FFFFFF"/>
        </w:rPr>
        <w:t>position</w:t>
      </w:r>
    </w:p>
    <w:p w14:paraId="5932048A" w14:textId="77777777" w:rsidR="00847603" w:rsidRDefault="00024CFE" w:rsidP="00543EE4">
      <w:pPr>
        <w:pStyle w:val="Default"/>
        <w:spacing w:line="480" w:lineRule="atLeast"/>
        <w:rPr>
          <w:rFonts w:asciiTheme="minorHAnsi" w:hAnsiTheme="minorHAnsi" w:cstheme="minorHAnsi"/>
          <w:sz w:val="26"/>
          <w:szCs w:val="26"/>
        </w:rPr>
        <w:sectPr w:rsidR="00847603" w:rsidSect="00543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146EBF">
        <w:rPr>
          <w:rFonts w:asciiTheme="minorHAnsi" w:hAnsiTheme="minorHAnsi" w:cstheme="minorHAnsi"/>
          <w:sz w:val="26"/>
          <w:szCs w:val="26"/>
        </w:rPr>
        <w:tab/>
        <w:t>The order</w:t>
      </w:r>
      <w:r>
        <w:rPr>
          <w:rFonts w:asciiTheme="minorHAnsi" w:hAnsiTheme="minorHAnsi" w:cstheme="minorHAnsi"/>
          <w:sz w:val="26"/>
          <w:szCs w:val="26"/>
        </w:rPr>
        <w:t xml:space="preserve"> denying Pineda’s petition</w:t>
      </w:r>
      <w:r w:rsidRPr="00146EBF">
        <w:rPr>
          <w:rFonts w:asciiTheme="minorHAnsi" w:hAnsiTheme="minorHAnsi" w:cstheme="minorHAnsi"/>
          <w:sz w:val="26"/>
          <w:szCs w:val="26"/>
        </w:rPr>
        <w:t xml:space="preserve"> is reversed and the matter is remanded to the trial court</w:t>
      </w:r>
      <w:r>
        <w:rPr>
          <w:rFonts w:asciiTheme="minorHAnsi" w:hAnsiTheme="minorHAnsi" w:cstheme="minorHAnsi"/>
          <w:sz w:val="26"/>
          <w:szCs w:val="26"/>
        </w:rPr>
        <w:t xml:space="preserve"> for further proceedings</w:t>
      </w:r>
      <w:r w:rsidR="007E63C8">
        <w:rPr>
          <w:rFonts w:asciiTheme="minorHAnsi" w:hAnsiTheme="minorHAnsi" w:cstheme="minorHAnsi"/>
          <w:sz w:val="26"/>
          <w:szCs w:val="26"/>
        </w:rPr>
        <w:t xml:space="preserve"> consistent with this opinion</w:t>
      </w:r>
      <w:r>
        <w:rPr>
          <w:rFonts w:asciiTheme="minorHAnsi" w:hAnsiTheme="minorHAnsi" w:cstheme="minorHAnsi"/>
          <w:sz w:val="26"/>
          <w:szCs w:val="26"/>
        </w:rPr>
        <w:t>.</w:t>
      </w:r>
    </w:p>
    <w:p w14:paraId="40CFB30A" w14:textId="77777777" w:rsidR="00847603" w:rsidRDefault="00847603" w:rsidP="00847603">
      <w:pPr>
        <w:rPr>
          <w:bCs/>
          <w:iCs/>
        </w:rPr>
      </w:pPr>
      <w:bookmarkStart w:id="60" w:name="_Hlk47013804"/>
    </w:p>
    <w:p w14:paraId="7B146976" w14:textId="77777777" w:rsidR="00847603" w:rsidRDefault="00847603" w:rsidP="00847603">
      <w:pPr>
        <w:rPr>
          <w:bCs/>
          <w:iCs/>
        </w:rPr>
      </w:pPr>
    </w:p>
    <w:p w14:paraId="591EC41C" w14:textId="77777777" w:rsidR="00847603" w:rsidRDefault="00847603" w:rsidP="00847603">
      <w:pPr>
        <w:rPr>
          <w:bCs/>
          <w:iCs/>
        </w:rPr>
      </w:pPr>
    </w:p>
    <w:p w14:paraId="0C5643E9" w14:textId="77777777" w:rsidR="00847603" w:rsidRDefault="00847603" w:rsidP="00847603">
      <w:pPr>
        <w:rPr>
          <w:bCs/>
          <w:iCs/>
        </w:rPr>
      </w:pPr>
    </w:p>
    <w:p w14:paraId="6477FE09" w14:textId="77777777" w:rsidR="00847603" w:rsidRDefault="00024CFE" w:rsidP="00847603">
      <w:pPr>
        <w:rPr>
          <w:bCs/>
          <w:iCs/>
        </w:rPr>
      </w:pPr>
      <w:r>
        <w:rPr>
          <w:bCs/>
          <w:iCs/>
        </w:rPr>
        <w:tab/>
      </w:r>
      <w:r>
        <w:rPr>
          <w:bCs/>
          <w:iCs/>
        </w:rPr>
        <w:tab/>
      </w:r>
      <w:r>
        <w:rPr>
          <w:bCs/>
          <w:iCs/>
        </w:rPr>
        <w:tab/>
      </w:r>
      <w:r>
        <w:rPr>
          <w:bCs/>
          <w:iCs/>
        </w:rPr>
        <w:tab/>
      </w:r>
      <w:r>
        <w:rPr>
          <w:bCs/>
          <w:iCs/>
        </w:rPr>
        <w:tab/>
      </w:r>
      <w:r>
        <w:rPr>
          <w:bCs/>
          <w:iCs/>
        </w:rPr>
        <w:tab/>
        <w:t>_________________________________</w:t>
      </w:r>
    </w:p>
    <w:p w14:paraId="6A59888B" w14:textId="77777777" w:rsidR="00847603" w:rsidRDefault="00024CFE" w:rsidP="00847603">
      <w:pPr>
        <w:rPr>
          <w:bCs/>
          <w:iCs/>
        </w:rPr>
      </w:pPr>
      <w:r>
        <w:rPr>
          <w:bCs/>
          <w:iCs/>
        </w:rPr>
        <w:tab/>
      </w:r>
      <w:r>
        <w:rPr>
          <w:bCs/>
          <w:iCs/>
        </w:rPr>
        <w:tab/>
      </w:r>
      <w:r>
        <w:rPr>
          <w:bCs/>
          <w:iCs/>
        </w:rPr>
        <w:tab/>
      </w:r>
      <w:r>
        <w:rPr>
          <w:bCs/>
          <w:iCs/>
        </w:rPr>
        <w:tab/>
      </w:r>
      <w:r>
        <w:rPr>
          <w:bCs/>
          <w:iCs/>
        </w:rPr>
        <w:tab/>
      </w:r>
      <w:r>
        <w:rPr>
          <w:bCs/>
          <w:iCs/>
        </w:rPr>
        <w:tab/>
        <w:t>ELIA, ACTING P.J.</w:t>
      </w:r>
    </w:p>
    <w:p w14:paraId="07D81E35" w14:textId="77777777" w:rsidR="00847603" w:rsidRDefault="00847603" w:rsidP="00847603">
      <w:pPr>
        <w:rPr>
          <w:bCs/>
          <w:iCs/>
        </w:rPr>
      </w:pPr>
    </w:p>
    <w:p w14:paraId="090B8557" w14:textId="77777777" w:rsidR="00847603" w:rsidRDefault="00024CFE" w:rsidP="00847603">
      <w:pPr>
        <w:rPr>
          <w:bCs/>
          <w:iCs/>
        </w:rPr>
      </w:pPr>
      <w:r>
        <w:rPr>
          <w:bCs/>
          <w:iCs/>
        </w:rPr>
        <w:t>WE CONCUR:</w:t>
      </w:r>
    </w:p>
    <w:p w14:paraId="1A0702EB" w14:textId="77777777" w:rsidR="00847603" w:rsidRDefault="00847603" w:rsidP="00847603">
      <w:pPr>
        <w:rPr>
          <w:bCs/>
          <w:iCs/>
        </w:rPr>
      </w:pPr>
    </w:p>
    <w:p w14:paraId="1A07C093" w14:textId="77777777" w:rsidR="00847603" w:rsidRDefault="00847603" w:rsidP="00847603">
      <w:pPr>
        <w:rPr>
          <w:bCs/>
          <w:iCs/>
        </w:rPr>
      </w:pPr>
    </w:p>
    <w:p w14:paraId="36737AA7" w14:textId="77777777" w:rsidR="00847603" w:rsidRDefault="00847603" w:rsidP="00847603">
      <w:pPr>
        <w:rPr>
          <w:bCs/>
          <w:iCs/>
        </w:rPr>
      </w:pPr>
    </w:p>
    <w:p w14:paraId="07353BCD" w14:textId="77777777" w:rsidR="00847603" w:rsidRDefault="00024CFE" w:rsidP="00847603">
      <w:pPr>
        <w:rPr>
          <w:bCs/>
          <w:iCs/>
        </w:rPr>
      </w:pPr>
      <w:r>
        <w:rPr>
          <w:bCs/>
          <w:iCs/>
        </w:rPr>
        <w:t>_______________________________</w:t>
      </w:r>
    </w:p>
    <w:p w14:paraId="2043E6DD" w14:textId="77777777" w:rsidR="00847603" w:rsidRDefault="00024CFE" w:rsidP="00847603">
      <w:pPr>
        <w:rPr>
          <w:bCs/>
          <w:iCs/>
        </w:rPr>
      </w:pPr>
      <w:r>
        <w:rPr>
          <w:bCs/>
          <w:iCs/>
        </w:rPr>
        <w:t>BAMATTRE-MANOUKIAN, J.</w:t>
      </w:r>
    </w:p>
    <w:p w14:paraId="67FC7962" w14:textId="77777777" w:rsidR="00847603" w:rsidRDefault="00847603" w:rsidP="00847603">
      <w:pPr>
        <w:rPr>
          <w:bCs/>
          <w:iCs/>
        </w:rPr>
      </w:pPr>
    </w:p>
    <w:p w14:paraId="5BC9A148" w14:textId="77777777" w:rsidR="00847603" w:rsidRDefault="00847603" w:rsidP="00847603">
      <w:pPr>
        <w:rPr>
          <w:bCs/>
          <w:iCs/>
        </w:rPr>
      </w:pPr>
    </w:p>
    <w:p w14:paraId="613D2A96" w14:textId="77777777" w:rsidR="00847603" w:rsidRDefault="00847603" w:rsidP="00847603">
      <w:pPr>
        <w:rPr>
          <w:bCs/>
          <w:iCs/>
        </w:rPr>
      </w:pPr>
    </w:p>
    <w:p w14:paraId="029797C2" w14:textId="77777777" w:rsidR="00847603" w:rsidRDefault="00024CFE" w:rsidP="00847603">
      <w:pPr>
        <w:rPr>
          <w:bCs/>
          <w:iCs/>
        </w:rPr>
      </w:pPr>
      <w:r>
        <w:rPr>
          <w:bCs/>
          <w:iCs/>
        </w:rPr>
        <w:t>_______________________________</w:t>
      </w:r>
    </w:p>
    <w:p w14:paraId="0CA5AA19" w14:textId="77777777" w:rsidR="00847603" w:rsidRDefault="00024CFE" w:rsidP="00847603">
      <w:pPr>
        <w:rPr>
          <w:bCs/>
          <w:iCs/>
        </w:rPr>
      </w:pPr>
      <w:r>
        <w:rPr>
          <w:bCs/>
          <w:iCs/>
        </w:rPr>
        <w:t>DANNER, J.</w:t>
      </w:r>
    </w:p>
    <w:p w14:paraId="4A7B3289" w14:textId="77777777" w:rsidR="00847603" w:rsidRDefault="00847603" w:rsidP="00847603">
      <w:pPr>
        <w:spacing w:line="240" w:lineRule="auto"/>
        <w:rPr>
          <w:bCs/>
          <w:iCs/>
        </w:rPr>
      </w:pPr>
    </w:p>
    <w:p w14:paraId="734E9E1B" w14:textId="77777777" w:rsidR="00847603" w:rsidRDefault="00847603" w:rsidP="00847603">
      <w:pPr>
        <w:spacing w:line="240" w:lineRule="auto"/>
        <w:rPr>
          <w:bCs/>
          <w:iCs/>
        </w:rPr>
      </w:pPr>
    </w:p>
    <w:p w14:paraId="2A145564" w14:textId="77777777" w:rsidR="00847603" w:rsidRDefault="00847603" w:rsidP="00847603">
      <w:pPr>
        <w:spacing w:line="240" w:lineRule="auto"/>
        <w:rPr>
          <w:bCs/>
          <w:iCs/>
        </w:rPr>
      </w:pPr>
    </w:p>
    <w:p w14:paraId="691CA03D" w14:textId="77777777" w:rsidR="00847603" w:rsidRDefault="00847603" w:rsidP="00847603">
      <w:pPr>
        <w:spacing w:line="240" w:lineRule="auto"/>
        <w:rPr>
          <w:bCs/>
          <w:iCs/>
        </w:rPr>
      </w:pPr>
    </w:p>
    <w:p w14:paraId="0A3C25DF" w14:textId="77777777" w:rsidR="00847603" w:rsidRDefault="00847603" w:rsidP="00847603">
      <w:pPr>
        <w:spacing w:line="240" w:lineRule="auto"/>
        <w:rPr>
          <w:bCs/>
          <w:iCs/>
        </w:rPr>
      </w:pPr>
    </w:p>
    <w:p w14:paraId="40858A18" w14:textId="77777777" w:rsidR="00847603" w:rsidRDefault="00847603" w:rsidP="00847603">
      <w:pPr>
        <w:spacing w:line="240" w:lineRule="auto"/>
        <w:rPr>
          <w:bCs/>
          <w:i/>
          <w:iCs/>
        </w:rPr>
      </w:pPr>
    </w:p>
    <w:p w14:paraId="5E0F8964" w14:textId="77777777" w:rsidR="00847603" w:rsidRDefault="00847603" w:rsidP="00847603">
      <w:pPr>
        <w:spacing w:line="240" w:lineRule="auto"/>
        <w:rPr>
          <w:bCs/>
          <w:i/>
          <w:iCs/>
        </w:rPr>
      </w:pPr>
    </w:p>
    <w:p w14:paraId="1516B6E5" w14:textId="77777777" w:rsidR="00847603" w:rsidRDefault="00847603" w:rsidP="00847603">
      <w:pPr>
        <w:spacing w:line="240" w:lineRule="auto"/>
        <w:rPr>
          <w:bCs/>
          <w:i/>
          <w:iCs/>
        </w:rPr>
      </w:pPr>
    </w:p>
    <w:p w14:paraId="23732272" w14:textId="77777777" w:rsidR="00847603" w:rsidRDefault="00847603" w:rsidP="00847603">
      <w:pPr>
        <w:spacing w:line="240" w:lineRule="auto"/>
        <w:rPr>
          <w:bCs/>
          <w:i/>
          <w:iCs/>
        </w:rPr>
      </w:pPr>
    </w:p>
    <w:p w14:paraId="12FD2C2F" w14:textId="77777777" w:rsidR="00847603" w:rsidRDefault="00847603" w:rsidP="00847603">
      <w:pPr>
        <w:spacing w:line="240" w:lineRule="auto"/>
        <w:rPr>
          <w:bCs/>
          <w:i/>
          <w:iCs/>
        </w:rPr>
      </w:pPr>
    </w:p>
    <w:p w14:paraId="1594C677" w14:textId="77777777" w:rsidR="00847603" w:rsidRDefault="00847603" w:rsidP="00847603">
      <w:pPr>
        <w:spacing w:line="240" w:lineRule="auto"/>
        <w:rPr>
          <w:bCs/>
          <w:i/>
          <w:iCs/>
        </w:rPr>
      </w:pPr>
    </w:p>
    <w:p w14:paraId="078E9056" w14:textId="77777777" w:rsidR="00847603" w:rsidRDefault="00847603" w:rsidP="00847603">
      <w:pPr>
        <w:spacing w:line="240" w:lineRule="auto"/>
        <w:rPr>
          <w:bCs/>
          <w:i/>
          <w:iCs/>
        </w:rPr>
      </w:pPr>
    </w:p>
    <w:p w14:paraId="0343E333" w14:textId="5F3FFF65" w:rsidR="00847603" w:rsidRDefault="00024CFE" w:rsidP="00847603">
      <w:pPr>
        <w:spacing w:line="240" w:lineRule="auto"/>
        <w:rPr>
          <w:bCs/>
          <w:i/>
          <w:iCs/>
        </w:rPr>
      </w:pPr>
      <w:r>
        <w:rPr>
          <w:bCs/>
          <w:i/>
          <w:iCs/>
        </w:rPr>
        <w:t>People</w:t>
      </w:r>
      <w:r w:rsidRPr="00666EC2">
        <w:rPr>
          <w:bCs/>
          <w:i/>
          <w:iCs/>
        </w:rPr>
        <w:t xml:space="preserve"> v</w:t>
      </w:r>
      <w:r w:rsidRPr="00666EC2">
        <w:rPr>
          <w:bCs/>
        </w:rPr>
        <w:t>.</w:t>
      </w:r>
      <w:r>
        <w:rPr>
          <w:bCs/>
        </w:rPr>
        <w:t xml:space="preserve"> </w:t>
      </w:r>
      <w:r>
        <w:rPr>
          <w:bCs/>
          <w:i/>
          <w:iCs/>
        </w:rPr>
        <w:t>Pineda</w:t>
      </w:r>
    </w:p>
    <w:p w14:paraId="596B0AE8" w14:textId="77777777" w:rsidR="0063057C" w:rsidRDefault="00024CFE" w:rsidP="00041C93">
      <w:pPr>
        <w:spacing w:line="240" w:lineRule="auto"/>
        <w:rPr>
          <w:bCs/>
          <w:iCs/>
        </w:rPr>
        <w:sectPr w:rsidR="0063057C" w:rsidSect="00847603">
          <w:pgSz w:w="12240" w:h="15840"/>
          <w:pgMar w:top="1440" w:right="1440" w:bottom="1440" w:left="1440" w:header="720" w:footer="720" w:gutter="0"/>
          <w:cols w:space="720"/>
          <w:titlePg/>
          <w:docGrid w:linePitch="360"/>
        </w:sectPr>
      </w:pPr>
      <w:r>
        <w:rPr>
          <w:bCs/>
          <w:iCs/>
        </w:rPr>
        <w:t>H04</w:t>
      </w:r>
      <w:bookmarkEnd w:id="60"/>
      <w:r>
        <w:rPr>
          <w:bCs/>
          <w:iCs/>
        </w:rPr>
        <w:t>7709</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120"/>
      </w:tblGrid>
      <w:tr w:rsidR="00075B87" w14:paraId="75E8199F" w14:textId="77777777" w:rsidTr="00402608">
        <w:tc>
          <w:tcPr>
            <w:tcW w:w="4788" w:type="dxa"/>
            <w:tcBorders>
              <w:top w:val="nil"/>
              <w:left w:val="nil"/>
              <w:bottom w:val="nil"/>
              <w:right w:val="nil"/>
            </w:tcBorders>
          </w:tcPr>
          <w:p w14:paraId="116FB383" w14:textId="77777777" w:rsidR="0063057C" w:rsidRPr="003140AC" w:rsidRDefault="00024CFE" w:rsidP="00402608">
            <w:pPr>
              <w:spacing w:line="240" w:lineRule="auto"/>
            </w:pPr>
            <w:r w:rsidRPr="003140AC">
              <w:lastRenderedPageBreak/>
              <w:t>Trial Court:</w:t>
            </w:r>
          </w:p>
        </w:tc>
        <w:tc>
          <w:tcPr>
            <w:tcW w:w="6120" w:type="dxa"/>
            <w:tcBorders>
              <w:top w:val="nil"/>
              <w:left w:val="nil"/>
              <w:bottom w:val="nil"/>
              <w:right w:val="nil"/>
            </w:tcBorders>
          </w:tcPr>
          <w:p w14:paraId="054652EE" w14:textId="67883AA3" w:rsidR="0063057C" w:rsidRPr="003140AC" w:rsidRDefault="00024CFE" w:rsidP="00402608">
            <w:pPr>
              <w:overflowPunct w:val="0"/>
              <w:autoSpaceDE w:val="0"/>
              <w:autoSpaceDN w:val="0"/>
              <w:adjustRightInd w:val="0"/>
              <w:spacing w:line="240" w:lineRule="auto"/>
              <w:textAlignment w:val="baseline"/>
            </w:pPr>
            <w:r>
              <w:t>Santa Clara</w:t>
            </w:r>
            <w:r w:rsidRPr="003140AC">
              <w:t xml:space="preserve"> County Superior Court</w:t>
            </w:r>
          </w:p>
        </w:tc>
      </w:tr>
      <w:tr w:rsidR="00075B87" w14:paraId="37CC8C6E" w14:textId="77777777" w:rsidTr="00402608">
        <w:tc>
          <w:tcPr>
            <w:tcW w:w="4788" w:type="dxa"/>
            <w:tcBorders>
              <w:top w:val="nil"/>
              <w:left w:val="nil"/>
              <w:bottom w:val="nil"/>
              <w:right w:val="nil"/>
            </w:tcBorders>
          </w:tcPr>
          <w:p w14:paraId="642BEC8F" w14:textId="77777777" w:rsidR="0063057C" w:rsidRPr="003140AC" w:rsidRDefault="0063057C" w:rsidP="00402608">
            <w:pPr>
              <w:spacing w:line="240" w:lineRule="auto"/>
            </w:pPr>
          </w:p>
        </w:tc>
        <w:tc>
          <w:tcPr>
            <w:tcW w:w="6120" w:type="dxa"/>
            <w:tcBorders>
              <w:top w:val="nil"/>
              <w:left w:val="nil"/>
              <w:bottom w:val="nil"/>
              <w:right w:val="nil"/>
            </w:tcBorders>
          </w:tcPr>
          <w:p w14:paraId="041F1746" w14:textId="73E4806A" w:rsidR="0063057C" w:rsidRPr="003140AC" w:rsidRDefault="00024CFE" w:rsidP="00402608">
            <w:pPr>
              <w:spacing w:line="240" w:lineRule="auto"/>
            </w:pPr>
            <w:r w:rsidRPr="003140AC">
              <w:t xml:space="preserve">Superior Court No:  </w:t>
            </w:r>
            <w:r>
              <w:rPr>
                <w:rStyle w:val="right"/>
              </w:rPr>
              <w:t>CC319535</w:t>
            </w:r>
          </w:p>
        </w:tc>
      </w:tr>
      <w:tr w:rsidR="00075B87" w14:paraId="01C7688E" w14:textId="77777777" w:rsidTr="00402608">
        <w:tc>
          <w:tcPr>
            <w:tcW w:w="4788" w:type="dxa"/>
            <w:tcBorders>
              <w:top w:val="nil"/>
              <w:left w:val="nil"/>
              <w:bottom w:val="nil"/>
              <w:right w:val="nil"/>
            </w:tcBorders>
          </w:tcPr>
          <w:p w14:paraId="3D34340C" w14:textId="77777777" w:rsidR="0063057C" w:rsidRPr="003140AC" w:rsidRDefault="0063057C" w:rsidP="00402608">
            <w:pPr>
              <w:spacing w:line="240" w:lineRule="auto"/>
            </w:pPr>
          </w:p>
        </w:tc>
        <w:tc>
          <w:tcPr>
            <w:tcW w:w="6120" w:type="dxa"/>
            <w:tcBorders>
              <w:top w:val="nil"/>
              <w:left w:val="nil"/>
              <w:bottom w:val="nil"/>
              <w:right w:val="nil"/>
            </w:tcBorders>
          </w:tcPr>
          <w:p w14:paraId="16BD9344" w14:textId="77777777" w:rsidR="0063057C" w:rsidRPr="003140AC" w:rsidRDefault="0063057C" w:rsidP="00402608">
            <w:pPr>
              <w:spacing w:line="240" w:lineRule="auto"/>
            </w:pPr>
          </w:p>
        </w:tc>
      </w:tr>
      <w:tr w:rsidR="00075B87" w14:paraId="3D9289FD" w14:textId="77777777" w:rsidTr="00402608">
        <w:tc>
          <w:tcPr>
            <w:tcW w:w="4788" w:type="dxa"/>
            <w:tcBorders>
              <w:top w:val="nil"/>
              <w:left w:val="nil"/>
              <w:bottom w:val="nil"/>
              <w:right w:val="nil"/>
            </w:tcBorders>
          </w:tcPr>
          <w:p w14:paraId="5A02C2B0" w14:textId="77777777" w:rsidR="0063057C" w:rsidRPr="003140AC" w:rsidRDefault="0063057C" w:rsidP="00402608">
            <w:pPr>
              <w:spacing w:line="240" w:lineRule="auto"/>
            </w:pPr>
          </w:p>
        </w:tc>
        <w:tc>
          <w:tcPr>
            <w:tcW w:w="6120" w:type="dxa"/>
            <w:tcBorders>
              <w:top w:val="nil"/>
              <w:left w:val="nil"/>
              <w:bottom w:val="nil"/>
              <w:right w:val="nil"/>
            </w:tcBorders>
          </w:tcPr>
          <w:p w14:paraId="36F3AF22" w14:textId="77777777" w:rsidR="0063057C" w:rsidRPr="003140AC" w:rsidRDefault="0063057C" w:rsidP="00402608">
            <w:pPr>
              <w:spacing w:line="240" w:lineRule="auto"/>
            </w:pPr>
          </w:p>
        </w:tc>
      </w:tr>
      <w:tr w:rsidR="00075B87" w14:paraId="688F2A88" w14:textId="77777777" w:rsidTr="00402608">
        <w:tc>
          <w:tcPr>
            <w:tcW w:w="4788" w:type="dxa"/>
            <w:tcBorders>
              <w:top w:val="nil"/>
              <w:left w:val="nil"/>
              <w:bottom w:val="nil"/>
              <w:right w:val="nil"/>
            </w:tcBorders>
          </w:tcPr>
          <w:p w14:paraId="39C47232" w14:textId="77777777" w:rsidR="0063057C" w:rsidRPr="003140AC" w:rsidRDefault="00024CFE" w:rsidP="00402608">
            <w:pPr>
              <w:spacing w:line="240" w:lineRule="auto"/>
            </w:pPr>
            <w:r w:rsidRPr="003140AC">
              <w:t>Trial Judge:</w:t>
            </w:r>
          </w:p>
        </w:tc>
        <w:tc>
          <w:tcPr>
            <w:tcW w:w="6120" w:type="dxa"/>
            <w:tcBorders>
              <w:top w:val="nil"/>
              <w:left w:val="nil"/>
              <w:bottom w:val="nil"/>
              <w:right w:val="nil"/>
            </w:tcBorders>
          </w:tcPr>
          <w:p w14:paraId="405DC659" w14:textId="2D9B9DE4" w:rsidR="0063057C" w:rsidRPr="003140AC" w:rsidRDefault="00024CFE" w:rsidP="00402608">
            <w:pPr>
              <w:spacing w:line="240" w:lineRule="auto"/>
            </w:pPr>
            <w:r w:rsidRPr="003140AC">
              <w:t xml:space="preserve">Honorable </w:t>
            </w:r>
            <w:r>
              <w:t>Linda R. Clark</w:t>
            </w:r>
          </w:p>
        </w:tc>
      </w:tr>
      <w:tr w:rsidR="00075B87" w14:paraId="3EFEE3EB" w14:textId="77777777" w:rsidTr="00402608">
        <w:tc>
          <w:tcPr>
            <w:tcW w:w="4788" w:type="dxa"/>
            <w:tcBorders>
              <w:top w:val="nil"/>
              <w:left w:val="nil"/>
              <w:bottom w:val="nil"/>
              <w:right w:val="nil"/>
            </w:tcBorders>
          </w:tcPr>
          <w:p w14:paraId="575F9A51" w14:textId="77777777" w:rsidR="0063057C" w:rsidRPr="003140AC" w:rsidRDefault="0063057C" w:rsidP="00402608">
            <w:pPr>
              <w:spacing w:line="240" w:lineRule="auto"/>
            </w:pPr>
          </w:p>
        </w:tc>
        <w:tc>
          <w:tcPr>
            <w:tcW w:w="6120" w:type="dxa"/>
            <w:tcBorders>
              <w:top w:val="nil"/>
              <w:left w:val="nil"/>
              <w:bottom w:val="nil"/>
              <w:right w:val="nil"/>
            </w:tcBorders>
          </w:tcPr>
          <w:p w14:paraId="09AFF962" w14:textId="77777777" w:rsidR="0063057C" w:rsidRPr="003140AC" w:rsidRDefault="0063057C" w:rsidP="00402608">
            <w:pPr>
              <w:spacing w:line="240" w:lineRule="auto"/>
              <w:rPr>
                <w:highlight w:val="cyan"/>
              </w:rPr>
            </w:pPr>
          </w:p>
        </w:tc>
      </w:tr>
      <w:tr w:rsidR="00075B87" w14:paraId="3B8C9407" w14:textId="77777777" w:rsidTr="00402608">
        <w:tc>
          <w:tcPr>
            <w:tcW w:w="4788" w:type="dxa"/>
            <w:tcBorders>
              <w:top w:val="nil"/>
              <w:left w:val="nil"/>
              <w:bottom w:val="nil"/>
              <w:right w:val="nil"/>
            </w:tcBorders>
          </w:tcPr>
          <w:p w14:paraId="537A7481" w14:textId="77777777" w:rsidR="0063057C" w:rsidRPr="003140AC" w:rsidRDefault="0063057C" w:rsidP="00402608">
            <w:pPr>
              <w:spacing w:line="240" w:lineRule="auto"/>
            </w:pPr>
          </w:p>
        </w:tc>
        <w:tc>
          <w:tcPr>
            <w:tcW w:w="6120" w:type="dxa"/>
            <w:tcBorders>
              <w:top w:val="nil"/>
              <w:left w:val="nil"/>
              <w:bottom w:val="nil"/>
              <w:right w:val="nil"/>
            </w:tcBorders>
          </w:tcPr>
          <w:p w14:paraId="1BD4534E" w14:textId="77777777" w:rsidR="0063057C" w:rsidRPr="003140AC" w:rsidRDefault="0063057C" w:rsidP="00402608">
            <w:pPr>
              <w:spacing w:line="240" w:lineRule="auto"/>
              <w:rPr>
                <w:highlight w:val="cyan"/>
              </w:rPr>
            </w:pPr>
          </w:p>
        </w:tc>
      </w:tr>
      <w:tr w:rsidR="00075B87" w14:paraId="0B78FA9B" w14:textId="77777777" w:rsidTr="00402608">
        <w:tc>
          <w:tcPr>
            <w:tcW w:w="4788" w:type="dxa"/>
            <w:tcBorders>
              <w:top w:val="nil"/>
              <w:left w:val="nil"/>
              <w:bottom w:val="nil"/>
              <w:right w:val="nil"/>
            </w:tcBorders>
          </w:tcPr>
          <w:p w14:paraId="1B17AF54" w14:textId="77777777" w:rsidR="0063057C" w:rsidRPr="003140AC" w:rsidRDefault="0063057C" w:rsidP="00402608">
            <w:pPr>
              <w:spacing w:line="240" w:lineRule="auto"/>
            </w:pPr>
          </w:p>
        </w:tc>
        <w:tc>
          <w:tcPr>
            <w:tcW w:w="6120" w:type="dxa"/>
            <w:tcBorders>
              <w:top w:val="nil"/>
              <w:left w:val="nil"/>
              <w:bottom w:val="nil"/>
              <w:right w:val="nil"/>
            </w:tcBorders>
          </w:tcPr>
          <w:p w14:paraId="76ADFABC" w14:textId="77777777" w:rsidR="0063057C" w:rsidRPr="003140AC" w:rsidRDefault="0063057C" w:rsidP="00402608">
            <w:pPr>
              <w:spacing w:line="240" w:lineRule="auto"/>
              <w:rPr>
                <w:highlight w:val="cyan"/>
              </w:rPr>
            </w:pPr>
          </w:p>
        </w:tc>
      </w:tr>
      <w:tr w:rsidR="00075B87" w14:paraId="48988B94" w14:textId="77777777" w:rsidTr="00402608">
        <w:tc>
          <w:tcPr>
            <w:tcW w:w="4788" w:type="dxa"/>
            <w:tcBorders>
              <w:top w:val="nil"/>
              <w:left w:val="nil"/>
              <w:bottom w:val="nil"/>
              <w:right w:val="nil"/>
            </w:tcBorders>
          </w:tcPr>
          <w:p w14:paraId="3B32CCF9" w14:textId="312A9146" w:rsidR="0063057C" w:rsidRPr="003140AC" w:rsidRDefault="00024CFE" w:rsidP="00402608">
            <w:pPr>
              <w:spacing w:line="240" w:lineRule="auto"/>
            </w:pPr>
            <w:r w:rsidRPr="003140AC">
              <w:t xml:space="preserve">Counsel for Plaintiff and </w:t>
            </w:r>
            <w:r w:rsidR="00492776">
              <w:t>Respondent</w:t>
            </w:r>
            <w:r w:rsidRPr="003140AC">
              <w:t>:</w:t>
            </w:r>
          </w:p>
          <w:p w14:paraId="26EE3CEF" w14:textId="77777777" w:rsidR="0063057C" w:rsidRPr="003140AC" w:rsidRDefault="00024CFE" w:rsidP="00402608">
            <w:pPr>
              <w:spacing w:line="240" w:lineRule="auto"/>
            </w:pPr>
            <w:r w:rsidRPr="003140AC">
              <w:t>THE PEOPLE</w:t>
            </w:r>
          </w:p>
        </w:tc>
        <w:tc>
          <w:tcPr>
            <w:tcW w:w="6120" w:type="dxa"/>
            <w:tcBorders>
              <w:top w:val="nil"/>
              <w:left w:val="nil"/>
              <w:bottom w:val="nil"/>
              <w:right w:val="nil"/>
            </w:tcBorders>
          </w:tcPr>
          <w:p w14:paraId="1CA45373" w14:textId="77777777"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Xavier Becerra</w:t>
            </w:r>
          </w:p>
          <w:p w14:paraId="67222636" w14:textId="77777777"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Attorney General</w:t>
            </w:r>
          </w:p>
          <w:p w14:paraId="2420D1BE" w14:textId="77777777" w:rsidR="0063057C" w:rsidRPr="003140AC" w:rsidRDefault="0063057C"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p>
          <w:p w14:paraId="1A1B1D9F" w14:textId="77777777"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Lance E. Winters</w:t>
            </w:r>
          </w:p>
          <w:p w14:paraId="1D4C2E10" w14:textId="77777777"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 xml:space="preserve">Chief </w:t>
            </w:r>
            <w:r w:rsidRPr="003140AC">
              <w:t>Assistant Attorney General</w:t>
            </w:r>
          </w:p>
          <w:p w14:paraId="0E8FD25D" w14:textId="77777777" w:rsidR="0063057C" w:rsidRPr="003140AC" w:rsidRDefault="0063057C"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p>
          <w:p w14:paraId="3E85F641" w14:textId="77777777" w:rsidR="0063057C" w:rsidRPr="003140AC" w:rsidRDefault="00024CFE" w:rsidP="00402608">
            <w:pPr>
              <w:spacing w:line="240" w:lineRule="auto"/>
            </w:pPr>
            <w:r w:rsidRPr="003140AC">
              <w:t>Jeffrey M. Laurence</w:t>
            </w:r>
          </w:p>
          <w:p w14:paraId="3444E57E" w14:textId="77777777" w:rsidR="0063057C" w:rsidRPr="003140AC" w:rsidRDefault="00024CFE" w:rsidP="00402608">
            <w:pPr>
              <w:spacing w:line="240" w:lineRule="auto"/>
            </w:pPr>
            <w:r w:rsidRPr="003140AC">
              <w:t>Senior Assistant Attorney General</w:t>
            </w:r>
          </w:p>
          <w:p w14:paraId="5224F05C" w14:textId="77777777" w:rsidR="0063057C" w:rsidRPr="003140AC" w:rsidRDefault="0063057C" w:rsidP="00402608">
            <w:pPr>
              <w:spacing w:line="240" w:lineRule="auto"/>
            </w:pPr>
          </w:p>
          <w:p w14:paraId="6E25CE3D" w14:textId="4E36F6AB" w:rsidR="0063057C" w:rsidRPr="003140AC" w:rsidRDefault="00024CFE" w:rsidP="00402608">
            <w:pPr>
              <w:spacing w:line="240" w:lineRule="auto"/>
            </w:pPr>
            <w:r>
              <w:t>René Chacón</w:t>
            </w:r>
          </w:p>
          <w:p w14:paraId="3B65EBAD" w14:textId="77777777" w:rsidR="0063057C" w:rsidRPr="003140AC" w:rsidRDefault="00024CFE" w:rsidP="00402608">
            <w:pPr>
              <w:spacing w:line="240" w:lineRule="auto"/>
            </w:pPr>
            <w:r w:rsidRPr="003140AC">
              <w:t>Supervising Deputy Attorney General</w:t>
            </w:r>
          </w:p>
          <w:p w14:paraId="500F2CE1" w14:textId="77777777" w:rsidR="0063057C" w:rsidRPr="003140AC" w:rsidRDefault="0063057C" w:rsidP="00402608">
            <w:pPr>
              <w:spacing w:line="240" w:lineRule="auto"/>
            </w:pPr>
          </w:p>
          <w:p w14:paraId="71399631" w14:textId="35695C71" w:rsidR="0063057C" w:rsidRPr="003140AC" w:rsidRDefault="00024CFE" w:rsidP="00402608">
            <w:pPr>
              <w:spacing w:line="240" w:lineRule="auto"/>
            </w:pPr>
            <w:r>
              <w:t>David M. Baskind</w:t>
            </w:r>
          </w:p>
          <w:p w14:paraId="4943C991" w14:textId="77777777" w:rsidR="0063057C" w:rsidRPr="003140AC" w:rsidRDefault="00024CFE" w:rsidP="00402608">
            <w:pPr>
              <w:spacing w:line="240" w:lineRule="auto"/>
            </w:pPr>
            <w:r w:rsidRPr="003140AC">
              <w:t>Deputy Attorney General</w:t>
            </w:r>
          </w:p>
        </w:tc>
      </w:tr>
      <w:tr w:rsidR="00075B87" w14:paraId="4B711577" w14:textId="77777777" w:rsidTr="00402608">
        <w:tc>
          <w:tcPr>
            <w:tcW w:w="4788" w:type="dxa"/>
            <w:tcBorders>
              <w:top w:val="nil"/>
              <w:left w:val="nil"/>
              <w:bottom w:val="nil"/>
              <w:right w:val="nil"/>
            </w:tcBorders>
          </w:tcPr>
          <w:p w14:paraId="1F2F86AF" w14:textId="77777777" w:rsidR="0063057C" w:rsidRPr="003140AC" w:rsidRDefault="0063057C" w:rsidP="00402608">
            <w:pPr>
              <w:spacing w:line="240" w:lineRule="auto"/>
            </w:pPr>
          </w:p>
        </w:tc>
        <w:tc>
          <w:tcPr>
            <w:tcW w:w="6120" w:type="dxa"/>
            <w:tcBorders>
              <w:top w:val="nil"/>
              <w:left w:val="nil"/>
              <w:bottom w:val="nil"/>
              <w:right w:val="nil"/>
            </w:tcBorders>
          </w:tcPr>
          <w:p w14:paraId="7D4E99D9" w14:textId="77777777" w:rsidR="0063057C" w:rsidRPr="003140AC" w:rsidRDefault="0063057C" w:rsidP="00402608">
            <w:pPr>
              <w:spacing w:line="240" w:lineRule="auto"/>
            </w:pPr>
          </w:p>
        </w:tc>
      </w:tr>
      <w:tr w:rsidR="00075B87" w14:paraId="0C3168C9" w14:textId="77777777" w:rsidTr="00402608">
        <w:tc>
          <w:tcPr>
            <w:tcW w:w="4788" w:type="dxa"/>
            <w:tcBorders>
              <w:top w:val="nil"/>
              <w:left w:val="nil"/>
              <w:bottom w:val="nil"/>
              <w:right w:val="nil"/>
            </w:tcBorders>
          </w:tcPr>
          <w:p w14:paraId="4C5144FB" w14:textId="5498DEDC" w:rsidR="0063057C" w:rsidRPr="003140AC" w:rsidRDefault="00024CFE" w:rsidP="00402608">
            <w:pPr>
              <w:spacing w:line="240" w:lineRule="auto"/>
            </w:pPr>
            <w:r w:rsidRPr="003140AC">
              <w:t xml:space="preserve">Counsel for Defendant and </w:t>
            </w:r>
            <w:r w:rsidR="00492776">
              <w:t>Appellant</w:t>
            </w:r>
            <w:r w:rsidRPr="003140AC">
              <w:t>:</w:t>
            </w:r>
          </w:p>
          <w:p w14:paraId="64D02759" w14:textId="0088E7D8" w:rsidR="0063057C" w:rsidRPr="003140AC" w:rsidRDefault="00024CFE" w:rsidP="00402608">
            <w:pPr>
              <w:spacing w:line="240" w:lineRule="auto"/>
            </w:pPr>
            <w:r w:rsidRPr="00492776">
              <w:t>SERGIO TIMOTHY PINEDA</w:t>
            </w:r>
          </w:p>
        </w:tc>
        <w:tc>
          <w:tcPr>
            <w:tcW w:w="6120" w:type="dxa"/>
            <w:tcBorders>
              <w:top w:val="nil"/>
              <w:left w:val="nil"/>
              <w:bottom w:val="nil"/>
              <w:right w:val="nil"/>
            </w:tcBorders>
            <w:shd w:val="clear" w:color="auto" w:fill="auto"/>
          </w:tcPr>
          <w:p w14:paraId="20827D31" w14:textId="7F8487C5"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pPr>
            <w:r>
              <w:t xml:space="preserve">Scott D. </w:t>
            </w:r>
            <w:r>
              <w:t>Handleman</w:t>
            </w:r>
          </w:p>
          <w:p w14:paraId="49097DF1" w14:textId="3EAF9EA9" w:rsidR="0063057C" w:rsidRPr="003140AC" w:rsidRDefault="00024CFE" w:rsidP="00402608">
            <w:pPr>
              <w:widowControl w:val="0"/>
              <w:tabs>
                <w:tab w:val="left" w:pos="1440"/>
                <w:tab w:val="left" w:pos="2880"/>
                <w:tab w:val="left" w:pos="4320"/>
                <w:tab w:val="left" w:pos="5760"/>
                <w:tab w:val="left" w:pos="7200"/>
                <w:tab w:val="left" w:pos="8640"/>
              </w:tabs>
              <w:autoSpaceDE w:val="0"/>
              <w:autoSpaceDN w:val="0"/>
              <w:adjustRightInd w:val="0"/>
              <w:spacing w:line="240" w:lineRule="auto"/>
              <w:rPr>
                <w:highlight w:val="yellow"/>
              </w:rPr>
            </w:pPr>
            <w:r>
              <w:t>By appointment of the Sixth District Appellate Program</w:t>
            </w:r>
          </w:p>
        </w:tc>
      </w:tr>
    </w:tbl>
    <w:p w14:paraId="6AE0383E" w14:textId="11588EB8" w:rsidR="00543EE4" w:rsidRDefault="00543EE4" w:rsidP="00EA5115">
      <w:pPr>
        <w:spacing w:line="240" w:lineRule="auto"/>
      </w:pPr>
    </w:p>
    <w:sectPr w:rsidR="00543EE4" w:rsidSect="000A44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83BAB" w14:textId="77777777" w:rsidR="00000000" w:rsidRDefault="00024CFE">
      <w:pPr>
        <w:spacing w:line="240" w:lineRule="auto"/>
      </w:pPr>
      <w:r>
        <w:separator/>
      </w:r>
    </w:p>
  </w:endnote>
  <w:endnote w:type="continuationSeparator" w:id="0">
    <w:p w14:paraId="4F9E2541" w14:textId="77777777" w:rsidR="00000000" w:rsidRDefault="00024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D5EC" w14:textId="77777777" w:rsidR="00621785" w:rsidRDefault="00621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439883"/>
      <w:docPartObj>
        <w:docPartGallery w:val="Page Numbers (Bottom of Page)"/>
        <w:docPartUnique/>
      </w:docPartObj>
    </w:sdtPr>
    <w:sdtEndPr>
      <w:rPr>
        <w:noProof/>
      </w:rPr>
    </w:sdtEndPr>
    <w:sdtContent>
      <w:p w14:paraId="68C97F55" w14:textId="0AA10EA8" w:rsidR="003457FF" w:rsidRDefault="00024CFE" w:rsidP="003457F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01B7" w14:textId="77777777" w:rsidR="00621785" w:rsidRDefault="0062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A1F3" w14:textId="77777777" w:rsidR="00932EC7" w:rsidRDefault="00024CFE" w:rsidP="004132FE">
      <w:pPr>
        <w:spacing w:line="240" w:lineRule="auto"/>
      </w:pPr>
      <w:r>
        <w:separator/>
      </w:r>
    </w:p>
  </w:footnote>
  <w:footnote w:type="continuationSeparator" w:id="0">
    <w:p w14:paraId="388DB512" w14:textId="77777777" w:rsidR="00932EC7" w:rsidRDefault="00024CFE" w:rsidP="004132FE">
      <w:pPr>
        <w:spacing w:line="240" w:lineRule="auto"/>
      </w:pPr>
      <w:r>
        <w:continuationSeparator/>
      </w:r>
    </w:p>
  </w:footnote>
  <w:footnote w:id="1">
    <w:p w14:paraId="07CD03D3" w14:textId="77777777" w:rsidR="00E26A25" w:rsidRPr="00E46E44" w:rsidRDefault="00024CFE" w:rsidP="00E26A25">
      <w:pPr>
        <w:pStyle w:val="FootnoteText"/>
        <w:rPr>
          <w:szCs w:val="26"/>
        </w:rPr>
      </w:pPr>
      <w:r w:rsidRPr="00BF1263">
        <w:rPr>
          <w:b/>
          <w:bCs/>
          <w:szCs w:val="26"/>
        </w:rPr>
        <w:tab/>
      </w:r>
      <w:r w:rsidRPr="006A0646">
        <w:rPr>
          <w:rStyle w:val="FootnoteReference"/>
          <w:b/>
          <w:bCs/>
          <w:szCs w:val="26"/>
        </w:rPr>
        <w:footnoteRef/>
      </w:r>
      <w:r w:rsidRPr="006A0646">
        <w:rPr>
          <w:b/>
          <w:bCs/>
          <w:szCs w:val="26"/>
        </w:rPr>
        <w:t xml:space="preserve"> </w:t>
      </w:r>
      <w:r w:rsidRPr="00BF1263">
        <w:rPr>
          <w:szCs w:val="26"/>
        </w:rPr>
        <w:t xml:space="preserve">All further statutory </w:t>
      </w:r>
      <w:r w:rsidRPr="00E46E44">
        <w:rPr>
          <w:szCs w:val="26"/>
        </w:rPr>
        <w:t>citations are to the Penal Code unless otherwise indicated.</w:t>
      </w:r>
    </w:p>
  </w:footnote>
  <w:footnote w:id="2">
    <w:p w14:paraId="167AF154" w14:textId="0EA1AE3F" w:rsidR="004132FE" w:rsidRPr="006A0646" w:rsidRDefault="00024CFE" w:rsidP="004132FE">
      <w:pPr>
        <w:spacing w:line="240" w:lineRule="auto"/>
        <w:rPr>
          <w:rFonts w:asciiTheme="minorHAnsi" w:hAnsiTheme="minorHAnsi" w:cstheme="minorHAnsi"/>
          <w:shd w:val="clear" w:color="auto" w:fill="FFFFFF"/>
        </w:rPr>
      </w:pPr>
      <w:r w:rsidRPr="006A0646">
        <w:rPr>
          <w:rFonts w:asciiTheme="minorHAnsi" w:hAnsiTheme="minorHAnsi" w:cstheme="minorHAnsi"/>
        </w:rPr>
        <w:tab/>
      </w:r>
      <w:r w:rsidRPr="00040FCE">
        <w:rPr>
          <w:rStyle w:val="FootnoteReference"/>
          <w:rFonts w:asciiTheme="minorHAnsi" w:hAnsiTheme="minorHAnsi" w:cstheme="minorHAnsi"/>
          <w:b/>
          <w:bCs/>
        </w:rPr>
        <w:footnoteRef/>
      </w:r>
      <w:r w:rsidRPr="00541918">
        <w:rPr>
          <w:rFonts w:asciiTheme="minorHAnsi" w:hAnsiTheme="minorHAnsi" w:cstheme="minorHAnsi"/>
          <w:shd w:val="clear" w:color="auto" w:fill="FFFFFF"/>
        </w:rPr>
        <w:t xml:space="preserve"> </w:t>
      </w:r>
      <w:r w:rsidRPr="00040FCE">
        <w:rPr>
          <w:rFonts w:asciiTheme="minorHAnsi" w:hAnsiTheme="minorHAnsi" w:cstheme="minorHAnsi"/>
          <w:bCs/>
          <w:shd w:val="clear" w:color="auto" w:fill="FFFFFF"/>
        </w:rPr>
        <w:t xml:space="preserve">We </w:t>
      </w:r>
      <w:r w:rsidRPr="00040FCE">
        <w:rPr>
          <w:rFonts w:asciiTheme="minorHAnsi" w:hAnsiTheme="minorHAnsi" w:cstheme="minorHAnsi"/>
          <w:shd w:val="clear" w:color="auto" w:fill="FFFFFF"/>
        </w:rPr>
        <w:t xml:space="preserve">take the facts from our prior opinion in </w:t>
      </w:r>
      <w:r w:rsidRPr="00040FCE">
        <w:rPr>
          <w:rFonts w:asciiTheme="minorHAnsi" w:hAnsiTheme="minorHAnsi" w:cstheme="minorHAnsi"/>
          <w:i/>
          <w:iCs/>
          <w:shd w:val="clear" w:color="auto" w:fill="FFFFFF"/>
        </w:rPr>
        <w:t>People v</w:t>
      </w:r>
      <w:r w:rsidRPr="00040FCE">
        <w:rPr>
          <w:rFonts w:asciiTheme="minorHAnsi" w:hAnsiTheme="minorHAnsi" w:cstheme="minorHAnsi"/>
          <w:shd w:val="clear" w:color="auto" w:fill="FFFFFF"/>
        </w:rPr>
        <w:t xml:space="preserve">. </w:t>
      </w:r>
      <w:r w:rsidR="006A0646" w:rsidRPr="00040FCE">
        <w:rPr>
          <w:rFonts w:asciiTheme="minorHAnsi" w:hAnsiTheme="minorHAnsi" w:cstheme="minorHAnsi"/>
          <w:i/>
          <w:iCs/>
          <w:shd w:val="clear" w:color="auto" w:fill="FFFFFF"/>
        </w:rPr>
        <w:t>Pineda</w:t>
      </w:r>
      <w:r w:rsidRPr="00040FCE">
        <w:rPr>
          <w:rFonts w:asciiTheme="minorHAnsi" w:hAnsiTheme="minorHAnsi" w:cstheme="minorHAnsi"/>
          <w:shd w:val="clear" w:color="auto" w:fill="FFFFFF"/>
        </w:rPr>
        <w:t>,</w:t>
      </w:r>
      <w:r w:rsidRPr="00040FCE">
        <w:rPr>
          <w:rFonts w:asciiTheme="minorHAnsi" w:hAnsiTheme="minorHAnsi" w:cstheme="minorHAnsi"/>
          <w:i/>
          <w:iCs/>
          <w:shd w:val="clear" w:color="auto" w:fill="FFFFFF"/>
        </w:rPr>
        <w:t xml:space="preserve"> et al</w:t>
      </w:r>
      <w:r w:rsidRPr="00040FCE">
        <w:rPr>
          <w:rFonts w:asciiTheme="minorHAnsi" w:hAnsiTheme="minorHAnsi" w:cstheme="minorHAnsi"/>
          <w:shd w:val="clear" w:color="auto" w:fill="FFFFFF"/>
        </w:rPr>
        <w:t>. (</w:t>
      </w:r>
      <w:r w:rsidR="006A0646" w:rsidRPr="00040FCE">
        <w:rPr>
          <w:rFonts w:asciiTheme="minorHAnsi" w:hAnsiTheme="minorHAnsi" w:cstheme="minorHAnsi"/>
          <w:shd w:val="clear" w:color="auto" w:fill="FFFFFF"/>
        </w:rPr>
        <w:t>May 4</w:t>
      </w:r>
      <w:r w:rsidRPr="00040FCE">
        <w:rPr>
          <w:rFonts w:asciiTheme="minorHAnsi" w:hAnsiTheme="minorHAnsi" w:cstheme="minorHAnsi"/>
          <w:shd w:val="clear" w:color="auto" w:fill="FFFFFF"/>
        </w:rPr>
        <w:t xml:space="preserve">, </w:t>
      </w:r>
      <w:r w:rsidR="006A0646" w:rsidRPr="00040FCE">
        <w:rPr>
          <w:rFonts w:asciiTheme="minorHAnsi" w:hAnsiTheme="minorHAnsi" w:cstheme="minorHAnsi"/>
          <w:shd w:val="clear" w:color="auto" w:fill="FFFFFF"/>
        </w:rPr>
        <w:t>2006</w:t>
      </w:r>
      <w:r w:rsidRPr="00040FCE">
        <w:rPr>
          <w:rFonts w:asciiTheme="minorHAnsi" w:hAnsiTheme="minorHAnsi" w:cstheme="minorHAnsi"/>
          <w:shd w:val="clear" w:color="auto" w:fill="FFFFFF"/>
        </w:rPr>
        <w:t xml:space="preserve">, </w:t>
      </w:r>
      <w:r w:rsidR="006A0646" w:rsidRPr="00040FCE">
        <w:rPr>
          <w:rFonts w:asciiTheme="minorHAnsi" w:hAnsiTheme="minorHAnsi" w:cstheme="minorHAnsi"/>
          <w:shd w:val="clear" w:color="auto" w:fill="FFFFFF"/>
        </w:rPr>
        <w:t>H028625, H028891</w:t>
      </w:r>
      <w:r w:rsidRPr="00040FCE">
        <w:rPr>
          <w:rFonts w:asciiTheme="minorHAnsi" w:hAnsiTheme="minorHAnsi" w:cstheme="minorHAnsi"/>
        </w:rPr>
        <w:t xml:space="preserve">) [nonpub. opn.], </w:t>
      </w:r>
      <w:r w:rsidR="00BD430E" w:rsidRPr="00040FCE">
        <w:rPr>
          <w:rFonts w:asciiTheme="minorHAnsi" w:hAnsiTheme="minorHAnsi" w:cstheme="minorHAnsi"/>
          <w:shd w:val="clear" w:color="auto" w:fill="FFFFFF"/>
        </w:rPr>
        <w:t>and from the appellate record in that case</w:t>
      </w:r>
      <w:r w:rsidR="00040FCE" w:rsidRPr="00040FCE">
        <w:rPr>
          <w:rFonts w:asciiTheme="minorHAnsi" w:hAnsiTheme="minorHAnsi" w:cstheme="minorHAnsi"/>
          <w:shd w:val="clear" w:color="auto" w:fill="FFFFFF"/>
        </w:rPr>
        <w:t xml:space="preserve">.  </w:t>
      </w:r>
      <w:r w:rsidR="00040FCE" w:rsidRPr="00040FCE">
        <w:rPr>
          <w:rFonts w:asciiTheme="minorHAnsi" w:hAnsiTheme="minorHAnsi" w:cstheme="minorHAnsi"/>
          <w:bCs/>
        </w:rPr>
        <w:t>On</w:t>
      </w:r>
      <w:r w:rsidR="00541918">
        <w:rPr>
          <w:rFonts w:asciiTheme="minorHAnsi" w:hAnsiTheme="minorHAnsi" w:cstheme="minorHAnsi"/>
          <w:bCs/>
        </w:rPr>
        <w:t> </w:t>
      </w:r>
      <w:r w:rsidR="00040FCE" w:rsidRPr="00040FCE">
        <w:rPr>
          <w:rFonts w:asciiTheme="minorHAnsi" w:hAnsiTheme="minorHAnsi" w:cstheme="minorHAnsi"/>
          <w:bCs/>
        </w:rPr>
        <w:t>our own motion, w</w:t>
      </w:r>
      <w:r w:rsidR="00040FCE" w:rsidRPr="00040FCE">
        <w:rPr>
          <w:rFonts w:asciiTheme="minorHAnsi" w:hAnsiTheme="minorHAnsi" w:cstheme="minorHAnsi"/>
          <w:bCs/>
          <w:shd w:val="clear" w:color="auto" w:fill="FFFFFF"/>
        </w:rPr>
        <w:t>e take judicial notice of that prior opinion.  (</w:t>
      </w:r>
      <w:bookmarkStart w:id="8" w:name="dabmci_4403f4604cc247a58174397f5733ad4f"/>
      <w:r w:rsidR="00040FCE" w:rsidRPr="00040FCE">
        <w:rPr>
          <w:rFonts w:asciiTheme="minorHAnsi" w:hAnsiTheme="minorHAnsi" w:cstheme="minorHAnsi"/>
          <w:bCs/>
          <w:shd w:val="clear" w:color="auto" w:fill="FFFFFF"/>
        </w:rPr>
        <w:t xml:space="preserve">Evid. Code, </w:t>
      </w:r>
      <w:r w:rsidR="00040FCE" w:rsidRPr="00040FCE">
        <w:rPr>
          <w:rFonts w:asciiTheme="minorHAnsi" w:hAnsiTheme="minorHAnsi" w:cstheme="minorHAnsi"/>
          <w:shd w:val="clear" w:color="auto" w:fill="FFFFFF"/>
        </w:rPr>
        <w:t>§§ 452, subd. (d), 459</w:t>
      </w:r>
      <w:bookmarkEnd w:id="8"/>
      <w:r w:rsidR="00040FCE" w:rsidRPr="00040FCE">
        <w:rPr>
          <w:rFonts w:asciiTheme="minorHAnsi" w:hAnsiTheme="minorHAnsi" w:cstheme="minorHAnsi"/>
          <w:shd w:val="clear" w:color="auto" w:fill="FFFFFF"/>
        </w:rPr>
        <w:t xml:space="preserve">.)  The appellate record from Pineda’s direct appeal is part of the </w:t>
      </w:r>
      <w:r w:rsidR="00040FCE">
        <w:rPr>
          <w:rFonts w:asciiTheme="minorHAnsi" w:hAnsiTheme="minorHAnsi" w:cstheme="minorHAnsi"/>
          <w:shd w:val="clear" w:color="auto" w:fill="FFFFFF"/>
        </w:rPr>
        <w:t xml:space="preserve">appellate </w:t>
      </w:r>
      <w:r w:rsidR="00040FCE" w:rsidRPr="00040FCE">
        <w:rPr>
          <w:rFonts w:asciiTheme="minorHAnsi" w:hAnsiTheme="minorHAnsi" w:cstheme="minorHAnsi"/>
          <w:shd w:val="clear" w:color="auto" w:fill="FFFFFF"/>
        </w:rPr>
        <w:t xml:space="preserve">record </w:t>
      </w:r>
      <w:r w:rsidR="00040FCE">
        <w:rPr>
          <w:rFonts w:asciiTheme="minorHAnsi" w:hAnsiTheme="minorHAnsi" w:cstheme="minorHAnsi"/>
          <w:shd w:val="clear" w:color="auto" w:fill="FFFFFF"/>
        </w:rPr>
        <w:t>in this matter</w:t>
      </w:r>
      <w:r w:rsidR="00040FCE" w:rsidRPr="00040FCE">
        <w:rPr>
          <w:rFonts w:asciiTheme="minorHAnsi" w:hAnsiTheme="minorHAnsi" w:cstheme="minorHAnsi"/>
          <w:shd w:val="clear" w:color="auto" w:fill="FFFFFF"/>
        </w:rPr>
        <w:t>, having been</w:t>
      </w:r>
      <w:r w:rsidR="00387F27" w:rsidRPr="00040FCE">
        <w:rPr>
          <w:rFonts w:asciiTheme="minorHAnsi" w:hAnsiTheme="minorHAnsi" w:cstheme="minorHAnsi"/>
          <w:shd w:val="clear" w:color="auto" w:fill="FFFFFF"/>
        </w:rPr>
        <w:t xml:space="preserve"> </w:t>
      </w:r>
      <w:r w:rsidR="00040FCE" w:rsidRPr="00040FCE">
        <w:rPr>
          <w:rFonts w:asciiTheme="minorHAnsi" w:hAnsiTheme="minorHAnsi" w:cstheme="minorHAnsi"/>
          <w:shd w:val="clear" w:color="auto" w:fill="FFFFFF"/>
        </w:rPr>
        <w:t>submitted below as an exhibit to the prosecutor’s opposition to Pineda’s petition</w:t>
      </w:r>
      <w:r w:rsidRPr="00040FCE">
        <w:rPr>
          <w:rFonts w:asciiTheme="minorHAnsi" w:hAnsiTheme="minorHAnsi" w:cstheme="minorHAnsi"/>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D42C" w14:textId="77777777" w:rsidR="00621785" w:rsidRDefault="00621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780E" w14:textId="77777777" w:rsidR="00621785" w:rsidRDefault="00621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42C5" w14:textId="77777777" w:rsidR="00621785" w:rsidRDefault="00621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37"/>
    <w:rsid w:val="00024CFE"/>
    <w:rsid w:val="00040FCE"/>
    <w:rsid w:val="00041C93"/>
    <w:rsid w:val="00050DAB"/>
    <w:rsid w:val="00075B87"/>
    <w:rsid w:val="00076FD7"/>
    <w:rsid w:val="00081E26"/>
    <w:rsid w:val="0008473F"/>
    <w:rsid w:val="00086D68"/>
    <w:rsid w:val="00090B45"/>
    <w:rsid w:val="000B6771"/>
    <w:rsid w:val="000C0683"/>
    <w:rsid w:val="000C5EBF"/>
    <w:rsid w:val="000E5E6D"/>
    <w:rsid w:val="000E7BE2"/>
    <w:rsid w:val="000F4270"/>
    <w:rsid w:val="000F7B0E"/>
    <w:rsid w:val="00113E65"/>
    <w:rsid w:val="00146EBF"/>
    <w:rsid w:val="00150171"/>
    <w:rsid w:val="00151A66"/>
    <w:rsid w:val="001605D7"/>
    <w:rsid w:val="00166D9E"/>
    <w:rsid w:val="00167AAE"/>
    <w:rsid w:val="00180D6B"/>
    <w:rsid w:val="001830A8"/>
    <w:rsid w:val="001C6C61"/>
    <w:rsid w:val="001F4941"/>
    <w:rsid w:val="00201E0F"/>
    <w:rsid w:val="002125B6"/>
    <w:rsid w:val="002200C1"/>
    <w:rsid w:val="002247BE"/>
    <w:rsid w:val="002323C8"/>
    <w:rsid w:val="002335A7"/>
    <w:rsid w:val="00233E6F"/>
    <w:rsid w:val="00237FC2"/>
    <w:rsid w:val="00240FE3"/>
    <w:rsid w:val="002417D3"/>
    <w:rsid w:val="00243DC2"/>
    <w:rsid w:val="00247597"/>
    <w:rsid w:val="00272039"/>
    <w:rsid w:val="00281181"/>
    <w:rsid w:val="00290009"/>
    <w:rsid w:val="002A5850"/>
    <w:rsid w:val="002A6A9F"/>
    <w:rsid w:val="002B3A10"/>
    <w:rsid w:val="002C4D28"/>
    <w:rsid w:val="002C626B"/>
    <w:rsid w:val="002C6429"/>
    <w:rsid w:val="002F1BB6"/>
    <w:rsid w:val="002F5E0D"/>
    <w:rsid w:val="003140AC"/>
    <w:rsid w:val="00331280"/>
    <w:rsid w:val="003371A3"/>
    <w:rsid w:val="003457FF"/>
    <w:rsid w:val="00387F27"/>
    <w:rsid w:val="0039792E"/>
    <w:rsid w:val="003A5AF1"/>
    <w:rsid w:val="003A727F"/>
    <w:rsid w:val="003B4ADF"/>
    <w:rsid w:val="003C2E9E"/>
    <w:rsid w:val="003C2F07"/>
    <w:rsid w:val="003D61DE"/>
    <w:rsid w:val="003F0670"/>
    <w:rsid w:val="003F6505"/>
    <w:rsid w:val="004017F8"/>
    <w:rsid w:val="00402608"/>
    <w:rsid w:val="004132FE"/>
    <w:rsid w:val="00422A7C"/>
    <w:rsid w:val="00425816"/>
    <w:rsid w:val="00431D72"/>
    <w:rsid w:val="00444C0F"/>
    <w:rsid w:val="00445FAB"/>
    <w:rsid w:val="004537DD"/>
    <w:rsid w:val="00456402"/>
    <w:rsid w:val="0046760F"/>
    <w:rsid w:val="0047041B"/>
    <w:rsid w:val="00492776"/>
    <w:rsid w:val="00495265"/>
    <w:rsid w:val="004962E4"/>
    <w:rsid w:val="004B1C2A"/>
    <w:rsid w:val="004B6DA8"/>
    <w:rsid w:val="004E04F6"/>
    <w:rsid w:val="004E6260"/>
    <w:rsid w:val="004E7EE2"/>
    <w:rsid w:val="005159F9"/>
    <w:rsid w:val="00516111"/>
    <w:rsid w:val="005230A3"/>
    <w:rsid w:val="005241F8"/>
    <w:rsid w:val="00541918"/>
    <w:rsid w:val="00543EE4"/>
    <w:rsid w:val="00552AA7"/>
    <w:rsid w:val="00563EB7"/>
    <w:rsid w:val="00571B1F"/>
    <w:rsid w:val="00585B86"/>
    <w:rsid w:val="0059405F"/>
    <w:rsid w:val="0059619F"/>
    <w:rsid w:val="005969F0"/>
    <w:rsid w:val="005A37B3"/>
    <w:rsid w:val="005B3B3E"/>
    <w:rsid w:val="005B597C"/>
    <w:rsid w:val="005B7DC2"/>
    <w:rsid w:val="005D0C9B"/>
    <w:rsid w:val="005E52A5"/>
    <w:rsid w:val="005E660C"/>
    <w:rsid w:val="005E7080"/>
    <w:rsid w:val="005E7270"/>
    <w:rsid w:val="005F1B3A"/>
    <w:rsid w:val="0060672B"/>
    <w:rsid w:val="0061086F"/>
    <w:rsid w:val="00620994"/>
    <w:rsid w:val="00620EA4"/>
    <w:rsid w:val="00621785"/>
    <w:rsid w:val="0063057C"/>
    <w:rsid w:val="0063202B"/>
    <w:rsid w:val="00666EC2"/>
    <w:rsid w:val="00667C1D"/>
    <w:rsid w:val="00671A3E"/>
    <w:rsid w:val="00673AEC"/>
    <w:rsid w:val="0067566C"/>
    <w:rsid w:val="00681961"/>
    <w:rsid w:val="00682053"/>
    <w:rsid w:val="006A0646"/>
    <w:rsid w:val="006B37CB"/>
    <w:rsid w:val="006E7757"/>
    <w:rsid w:val="006F4F91"/>
    <w:rsid w:val="0071185A"/>
    <w:rsid w:val="0073336C"/>
    <w:rsid w:val="007623BF"/>
    <w:rsid w:val="00780D12"/>
    <w:rsid w:val="007A1C89"/>
    <w:rsid w:val="007A6EDD"/>
    <w:rsid w:val="007B6C24"/>
    <w:rsid w:val="007B6EC0"/>
    <w:rsid w:val="007E038C"/>
    <w:rsid w:val="007E63C8"/>
    <w:rsid w:val="007F4874"/>
    <w:rsid w:val="00813F1B"/>
    <w:rsid w:val="00847603"/>
    <w:rsid w:val="00850160"/>
    <w:rsid w:val="008502C9"/>
    <w:rsid w:val="008834F2"/>
    <w:rsid w:val="0088619E"/>
    <w:rsid w:val="00886698"/>
    <w:rsid w:val="008C4C16"/>
    <w:rsid w:val="008E0E4F"/>
    <w:rsid w:val="008F2043"/>
    <w:rsid w:val="008F3953"/>
    <w:rsid w:val="00932EC7"/>
    <w:rsid w:val="00940652"/>
    <w:rsid w:val="009471AC"/>
    <w:rsid w:val="009668A9"/>
    <w:rsid w:val="00966D26"/>
    <w:rsid w:val="00971974"/>
    <w:rsid w:val="009B2E80"/>
    <w:rsid w:val="00A13B89"/>
    <w:rsid w:val="00A24163"/>
    <w:rsid w:val="00A271DB"/>
    <w:rsid w:val="00A40BA3"/>
    <w:rsid w:val="00A56B71"/>
    <w:rsid w:val="00A73960"/>
    <w:rsid w:val="00A8489D"/>
    <w:rsid w:val="00A8519A"/>
    <w:rsid w:val="00AA111D"/>
    <w:rsid w:val="00AA6574"/>
    <w:rsid w:val="00AB240B"/>
    <w:rsid w:val="00AB57FD"/>
    <w:rsid w:val="00AB6F2F"/>
    <w:rsid w:val="00AB7743"/>
    <w:rsid w:val="00AC3338"/>
    <w:rsid w:val="00AC570E"/>
    <w:rsid w:val="00AD13BB"/>
    <w:rsid w:val="00AD6533"/>
    <w:rsid w:val="00B33832"/>
    <w:rsid w:val="00B40584"/>
    <w:rsid w:val="00B70A9A"/>
    <w:rsid w:val="00B926E6"/>
    <w:rsid w:val="00BA29DB"/>
    <w:rsid w:val="00BA2E3B"/>
    <w:rsid w:val="00BB12E6"/>
    <w:rsid w:val="00BD430E"/>
    <w:rsid w:val="00BD5657"/>
    <w:rsid w:val="00BF1263"/>
    <w:rsid w:val="00BF4C8F"/>
    <w:rsid w:val="00BF6726"/>
    <w:rsid w:val="00C45446"/>
    <w:rsid w:val="00C76ADD"/>
    <w:rsid w:val="00C92C44"/>
    <w:rsid w:val="00C96437"/>
    <w:rsid w:val="00C976B7"/>
    <w:rsid w:val="00CA2C54"/>
    <w:rsid w:val="00CC0F73"/>
    <w:rsid w:val="00CC24B1"/>
    <w:rsid w:val="00CE3170"/>
    <w:rsid w:val="00D202A1"/>
    <w:rsid w:val="00D2710A"/>
    <w:rsid w:val="00D448AD"/>
    <w:rsid w:val="00D51081"/>
    <w:rsid w:val="00DB268C"/>
    <w:rsid w:val="00DB4480"/>
    <w:rsid w:val="00DC0C85"/>
    <w:rsid w:val="00DD3E54"/>
    <w:rsid w:val="00DF0CE0"/>
    <w:rsid w:val="00E2653D"/>
    <w:rsid w:val="00E26A25"/>
    <w:rsid w:val="00E428FE"/>
    <w:rsid w:val="00E446C6"/>
    <w:rsid w:val="00E46E44"/>
    <w:rsid w:val="00E600AE"/>
    <w:rsid w:val="00E607FC"/>
    <w:rsid w:val="00E6182C"/>
    <w:rsid w:val="00EA47C3"/>
    <w:rsid w:val="00EA5115"/>
    <w:rsid w:val="00EB48DD"/>
    <w:rsid w:val="00ED3E30"/>
    <w:rsid w:val="00EE3572"/>
    <w:rsid w:val="00EF3324"/>
    <w:rsid w:val="00EF7F79"/>
    <w:rsid w:val="00F14652"/>
    <w:rsid w:val="00F31987"/>
    <w:rsid w:val="00F31D17"/>
    <w:rsid w:val="00F70F34"/>
    <w:rsid w:val="00F76489"/>
    <w:rsid w:val="00F92390"/>
    <w:rsid w:val="00F923AB"/>
    <w:rsid w:val="00FB3AE8"/>
    <w:rsid w:val="00FC2702"/>
    <w:rsid w:val="00FE4505"/>
    <w:rsid w:val="00FE6EB3"/>
    <w:rsid w:val="00FE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FE"/>
    <w:pPr>
      <w:tabs>
        <w:tab w:val="left" w:pos="720"/>
      </w:tabs>
      <w:spacing w:line="480" w:lineRule="atLeast"/>
    </w:pPr>
    <w:rPr>
      <w:rFonts w:ascii="Times New Roman" w:hAnsi="Times New Roman"/>
    </w:rPr>
  </w:style>
  <w:style w:type="paragraph" w:styleId="Heading1">
    <w:name w:val="heading 1"/>
    <w:basedOn w:val="Normal"/>
    <w:next w:val="Normal"/>
    <w:link w:val="Heading1Char"/>
    <w:uiPriority w:val="9"/>
    <w:qFormat/>
    <w:rsid w:val="001830A8"/>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830A8"/>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830A8"/>
    <w:pPr>
      <w:keepNext/>
      <w:spacing w:before="240" w:after="60" w:line="240" w:lineRule="auto"/>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1830A8"/>
    <w:pPr>
      <w:spacing w:before="240" w:after="60" w:line="240" w:lineRule="auto"/>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1830A8"/>
    <w:pPr>
      <w:spacing w:before="240" w:after="60" w:line="240" w:lineRule="auto"/>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1830A8"/>
    <w:pPr>
      <w:spacing w:before="240" w:after="60" w:line="240" w:lineRule="auto"/>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1830A8"/>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0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830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830A8"/>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1830A8"/>
    <w:rPr>
      <w:b/>
      <w:bCs/>
    </w:rPr>
  </w:style>
  <w:style w:type="character" w:customStyle="1" w:styleId="Heading7Char">
    <w:name w:val="Heading 7 Char"/>
    <w:basedOn w:val="DefaultParagraphFont"/>
    <w:link w:val="Heading7"/>
    <w:uiPriority w:val="9"/>
    <w:semiHidden/>
    <w:rsid w:val="001830A8"/>
    <w:rPr>
      <w:sz w:val="24"/>
      <w:szCs w:val="24"/>
    </w:rPr>
  </w:style>
  <w:style w:type="character" w:customStyle="1" w:styleId="Heading8Char">
    <w:name w:val="Heading 8 Char"/>
    <w:basedOn w:val="DefaultParagraphFont"/>
    <w:link w:val="Heading8"/>
    <w:uiPriority w:val="9"/>
    <w:semiHidden/>
    <w:rsid w:val="001830A8"/>
    <w:rPr>
      <w:i/>
      <w:iCs/>
      <w:sz w:val="24"/>
      <w:szCs w:val="24"/>
    </w:rPr>
  </w:style>
  <w:style w:type="character" w:customStyle="1" w:styleId="Heading9Char">
    <w:name w:val="Heading 9 Char"/>
    <w:basedOn w:val="DefaultParagraphFont"/>
    <w:link w:val="Heading9"/>
    <w:uiPriority w:val="9"/>
    <w:semiHidden/>
    <w:rsid w:val="001830A8"/>
    <w:rPr>
      <w:rFonts w:asciiTheme="majorHAnsi" w:eastAsiaTheme="majorEastAsia" w:hAnsiTheme="majorHAnsi"/>
    </w:rPr>
  </w:style>
  <w:style w:type="paragraph" w:styleId="Title">
    <w:name w:val="Title"/>
    <w:basedOn w:val="Normal"/>
    <w:next w:val="Normal"/>
    <w:link w:val="TitleChar"/>
    <w:uiPriority w:val="10"/>
    <w:qFormat/>
    <w:rsid w:val="001830A8"/>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30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30A8"/>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1830A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830A8"/>
    <w:pPr>
      <w:outlineLvl w:val="9"/>
    </w:pPr>
  </w:style>
  <w:style w:type="character" w:styleId="FootnoteReference">
    <w:name w:val="footnote reference"/>
    <w:basedOn w:val="DefaultParagraphFont"/>
    <w:uiPriority w:val="99"/>
    <w:semiHidden/>
    <w:unhideWhenUsed/>
    <w:rsid w:val="004132FE"/>
    <w:rPr>
      <w:vertAlign w:val="superscript"/>
    </w:rPr>
  </w:style>
  <w:style w:type="character" w:styleId="Emphasis">
    <w:name w:val="Emphasis"/>
    <w:basedOn w:val="DefaultParagraphFont"/>
    <w:uiPriority w:val="20"/>
    <w:qFormat/>
    <w:rsid w:val="00F31D17"/>
    <w:rPr>
      <w:i/>
      <w:iCs/>
    </w:rPr>
  </w:style>
  <w:style w:type="character" w:customStyle="1" w:styleId="cosearchterm">
    <w:name w:val="co_searchterm"/>
    <w:basedOn w:val="DefaultParagraphFont"/>
    <w:rsid w:val="00F31D17"/>
  </w:style>
  <w:style w:type="paragraph" w:styleId="FootnoteText">
    <w:name w:val="footnote text"/>
    <w:basedOn w:val="Normal"/>
    <w:link w:val="FootnoteTextChar"/>
    <w:uiPriority w:val="99"/>
    <w:unhideWhenUsed/>
    <w:rsid w:val="00F31D17"/>
    <w:pPr>
      <w:spacing w:line="240" w:lineRule="auto"/>
    </w:pPr>
    <w:rPr>
      <w:szCs w:val="20"/>
    </w:rPr>
  </w:style>
  <w:style w:type="character" w:customStyle="1" w:styleId="FootnoteTextChar">
    <w:name w:val="Footnote Text Char"/>
    <w:basedOn w:val="DefaultParagraphFont"/>
    <w:link w:val="FootnoteText"/>
    <w:uiPriority w:val="99"/>
    <w:rsid w:val="00F31D17"/>
    <w:rPr>
      <w:rFonts w:ascii="Times New Roman" w:hAnsi="Times New Roman"/>
      <w:szCs w:val="20"/>
    </w:rPr>
  </w:style>
  <w:style w:type="character" w:customStyle="1" w:styleId="cohl">
    <w:name w:val="co_hl"/>
    <w:basedOn w:val="DefaultParagraphFont"/>
    <w:rsid w:val="00F31987"/>
  </w:style>
  <w:style w:type="paragraph" w:styleId="Header">
    <w:name w:val="header"/>
    <w:basedOn w:val="Normal"/>
    <w:link w:val="HeaderChar"/>
    <w:uiPriority w:val="99"/>
    <w:unhideWhenUsed/>
    <w:rsid w:val="003457FF"/>
    <w:pPr>
      <w:tabs>
        <w:tab w:val="center" w:pos="4680"/>
        <w:tab w:val="right" w:pos="9360"/>
      </w:tabs>
      <w:spacing w:line="240" w:lineRule="auto"/>
    </w:pPr>
  </w:style>
  <w:style w:type="character" w:customStyle="1" w:styleId="HeaderChar">
    <w:name w:val="Header Char"/>
    <w:basedOn w:val="DefaultParagraphFont"/>
    <w:link w:val="Header"/>
    <w:uiPriority w:val="99"/>
    <w:rsid w:val="003457FF"/>
    <w:rPr>
      <w:rFonts w:ascii="Times New Roman" w:hAnsi="Times New Roman"/>
    </w:rPr>
  </w:style>
  <w:style w:type="paragraph" w:styleId="Footer">
    <w:name w:val="footer"/>
    <w:basedOn w:val="Normal"/>
    <w:link w:val="FooterChar"/>
    <w:uiPriority w:val="99"/>
    <w:unhideWhenUsed/>
    <w:rsid w:val="003457FF"/>
    <w:pPr>
      <w:tabs>
        <w:tab w:val="center" w:pos="4680"/>
        <w:tab w:val="right" w:pos="9360"/>
      </w:tabs>
      <w:spacing w:line="240" w:lineRule="auto"/>
    </w:pPr>
  </w:style>
  <w:style w:type="character" w:customStyle="1" w:styleId="FooterChar">
    <w:name w:val="Footer Char"/>
    <w:basedOn w:val="DefaultParagraphFont"/>
    <w:link w:val="Footer"/>
    <w:uiPriority w:val="99"/>
    <w:rsid w:val="003457FF"/>
    <w:rPr>
      <w:rFonts w:ascii="Times New Roman" w:hAnsi="Times New Roman"/>
    </w:rPr>
  </w:style>
  <w:style w:type="character" w:customStyle="1" w:styleId="costarpage">
    <w:name w:val="co_starpage"/>
    <w:basedOn w:val="DefaultParagraphFont"/>
    <w:rsid w:val="000B6771"/>
  </w:style>
  <w:style w:type="character" w:styleId="Hyperlink">
    <w:name w:val="Hyperlink"/>
    <w:basedOn w:val="DefaultParagraphFont"/>
    <w:uiPriority w:val="99"/>
    <w:semiHidden/>
    <w:unhideWhenUsed/>
    <w:rsid w:val="005E7270"/>
    <w:rPr>
      <w:color w:val="0000FF"/>
      <w:u w:val="single"/>
    </w:rPr>
  </w:style>
  <w:style w:type="character" w:styleId="FollowedHyperlink">
    <w:name w:val="FollowedHyperlink"/>
    <w:basedOn w:val="DefaultParagraphFont"/>
    <w:uiPriority w:val="99"/>
    <w:semiHidden/>
    <w:unhideWhenUsed/>
    <w:rsid w:val="005E7270"/>
    <w:rPr>
      <w:color w:val="800080" w:themeColor="followedHyperlink"/>
      <w:u w:val="single"/>
    </w:rPr>
  </w:style>
  <w:style w:type="character" w:customStyle="1" w:styleId="opiniondissent">
    <w:name w:val="opiniondissent"/>
    <w:basedOn w:val="DefaultParagraphFont"/>
    <w:rsid w:val="00DF0CE0"/>
  </w:style>
  <w:style w:type="character" w:customStyle="1" w:styleId="cohighlightpoints">
    <w:name w:val="co_highlightpoints"/>
    <w:basedOn w:val="DefaultParagraphFont"/>
    <w:rsid w:val="00DF0CE0"/>
  </w:style>
  <w:style w:type="paragraph" w:customStyle="1" w:styleId="Default">
    <w:name w:val="Default"/>
    <w:rsid w:val="00D202A1"/>
    <w:pPr>
      <w:autoSpaceDE w:val="0"/>
      <w:autoSpaceDN w:val="0"/>
      <w:adjustRightInd w:val="0"/>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2417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D3"/>
    <w:rPr>
      <w:rFonts w:ascii="Segoe UI" w:hAnsi="Segoe UI" w:cs="Segoe UI"/>
      <w:sz w:val="18"/>
      <w:szCs w:val="18"/>
    </w:rPr>
  </w:style>
  <w:style w:type="character" w:styleId="CommentReference">
    <w:name w:val="annotation reference"/>
    <w:basedOn w:val="DefaultParagraphFont"/>
    <w:uiPriority w:val="99"/>
    <w:semiHidden/>
    <w:unhideWhenUsed/>
    <w:rsid w:val="00CC0F73"/>
    <w:rPr>
      <w:sz w:val="16"/>
      <w:szCs w:val="16"/>
    </w:rPr>
  </w:style>
  <w:style w:type="paragraph" w:styleId="CommentText">
    <w:name w:val="annotation text"/>
    <w:basedOn w:val="Normal"/>
    <w:link w:val="CommentTextChar"/>
    <w:uiPriority w:val="99"/>
    <w:semiHidden/>
    <w:unhideWhenUsed/>
    <w:rsid w:val="00CC0F73"/>
    <w:pPr>
      <w:spacing w:line="240" w:lineRule="auto"/>
    </w:pPr>
    <w:rPr>
      <w:sz w:val="20"/>
      <w:szCs w:val="20"/>
    </w:rPr>
  </w:style>
  <w:style w:type="character" w:customStyle="1" w:styleId="CommentTextChar">
    <w:name w:val="Comment Text Char"/>
    <w:basedOn w:val="DefaultParagraphFont"/>
    <w:link w:val="CommentText"/>
    <w:uiPriority w:val="99"/>
    <w:semiHidden/>
    <w:rsid w:val="00CC0F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0F73"/>
    <w:rPr>
      <w:b/>
      <w:bCs/>
    </w:rPr>
  </w:style>
  <w:style w:type="character" w:customStyle="1" w:styleId="CommentSubjectChar">
    <w:name w:val="Comment Subject Char"/>
    <w:basedOn w:val="CommentTextChar"/>
    <w:link w:val="CommentSubject"/>
    <w:uiPriority w:val="99"/>
    <w:semiHidden/>
    <w:rsid w:val="00CC0F73"/>
    <w:rPr>
      <w:rFonts w:ascii="Times New Roman" w:hAnsi="Times New Roman"/>
      <w:b/>
      <w:bCs/>
      <w:sz w:val="20"/>
      <w:szCs w:val="20"/>
    </w:rPr>
  </w:style>
  <w:style w:type="paragraph" w:styleId="Revision">
    <w:name w:val="Revision"/>
    <w:hidden/>
    <w:uiPriority w:val="99"/>
    <w:semiHidden/>
    <w:rsid w:val="0063057C"/>
    <w:rPr>
      <w:rFonts w:ascii="Times New Roman" w:hAnsi="Times New Roman"/>
    </w:rPr>
  </w:style>
  <w:style w:type="character" w:customStyle="1" w:styleId="right">
    <w:name w:val="right"/>
    <w:basedOn w:val="DefaultParagraphFont"/>
    <w:rsid w:val="0063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3F55-32DA-44DA-B686-1B7F25A7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3198</Words>
  <Characters>16938</Characters>
  <Application>Microsoft Office Word</Application>
  <DocSecurity>0</DocSecurity>
  <Lines>334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2021-09-30T23:55:00Z</dcterms:created>
  <dcterms:modified xsi:type="dcterms:W3CDTF">2021-09-30T23:55:00Z</dcterms:modified>
  <cp:category/>
</cp:coreProperties>
</file>