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FDAB4" w14:textId="5F187830" w:rsidR="00475C0C" w:rsidRPr="00E06CAA" w:rsidRDefault="00EB4BDA" w:rsidP="00DD6AB3">
      <w:pPr>
        <w:spacing w:line="240" w:lineRule="auto"/>
        <w:jc w:val="center"/>
        <w:rPr>
          <w:sz w:val="20"/>
          <w:szCs w:val="20"/>
        </w:rPr>
      </w:pPr>
      <w:r w:rsidRPr="00E06CAA">
        <w:rPr>
          <w:sz w:val="20"/>
          <w:szCs w:val="20"/>
        </w:rPr>
        <w:t>F</w:t>
      </w:r>
      <w:r w:rsidR="007D7BF8">
        <w:rPr>
          <w:sz w:val="20"/>
          <w:szCs w:val="20"/>
        </w:rPr>
        <w:t>iled</w:t>
      </w:r>
      <w:r w:rsidRPr="00E06CAA">
        <w:rPr>
          <w:sz w:val="20"/>
          <w:szCs w:val="20"/>
        </w:rPr>
        <w:t xml:space="preserve"> 2/15/23</w:t>
      </w:r>
      <w:bookmarkStart w:id="0" w:name="_Hlk91684443"/>
      <w:r w:rsidR="00DD6AB3" w:rsidRPr="00350D0C">
        <w:rPr>
          <w:sz w:val="20"/>
        </w:rPr>
        <w:t>; REVIEW GRANTED.  See Cal. Rules of Court, rules 8.1105 and 8.1115 (and corresponding Comment, par. 2, concerning rule 8.1115(e)(3)).</w:t>
      </w:r>
      <w:bookmarkEnd w:id="0"/>
    </w:p>
    <w:p w14:paraId="443F84D8" w14:textId="77777777" w:rsidR="003B149F" w:rsidRDefault="00EB4BDA" w:rsidP="003B149F">
      <w:pPr>
        <w:spacing w:line="240" w:lineRule="auto"/>
        <w:jc w:val="center"/>
      </w:pPr>
      <w:r>
        <w:t>CERTIFIED FOR PUBLICATION</w:t>
      </w:r>
    </w:p>
    <w:p w14:paraId="53D82A5C" w14:textId="77777777" w:rsidR="003B149F" w:rsidRDefault="003B149F" w:rsidP="003B149F">
      <w:pPr>
        <w:spacing w:line="240" w:lineRule="auto"/>
      </w:pPr>
    </w:p>
    <w:p w14:paraId="1EA98FB3" w14:textId="4AEB8653" w:rsidR="000A673E" w:rsidRDefault="00EB4BDA" w:rsidP="000A673E">
      <w:pPr>
        <w:spacing w:line="240" w:lineRule="auto"/>
        <w:jc w:val="center"/>
      </w:pPr>
      <w:r>
        <w:t>IN THE COURT OF APPEAL OF THE STATE OF CALIFORNIA</w:t>
      </w:r>
    </w:p>
    <w:p w14:paraId="488D063A" w14:textId="6534C45F" w:rsidR="000A673E" w:rsidRDefault="000A673E" w:rsidP="000A673E">
      <w:pPr>
        <w:spacing w:line="240" w:lineRule="auto"/>
        <w:jc w:val="center"/>
      </w:pPr>
    </w:p>
    <w:p w14:paraId="345E6088" w14:textId="4D51CF2C" w:rsidR="000A673E" w:rsidRDefault="00EB4BDA" w:rsidP="000A673E">
      <w:pPr>
        <w:spacing w:line="240" w:lineRule="auto"/>
        <w:jc w:val="center"/>
      </w:pPr>
      <w:r>
        <w:t>SIXTH APPELLATE DISTRICT</w:t>
      </w:r>
    </w:p>
    <w:p w14:paraId="5685BB60" w14:textId="63723D65" w:rsidR="000A673E" w:rsidRDefault="000A673E" w:rsidP="000A673E">
      <w:pPr>
        <w:spacing w:line="240" w:lineRule="auto"/>
        <w:jc w:val="center"/>
      </w:pPr>
    </w:p>
    <w:p w14:paraId="30AA3EA2" w14:textId="0E3198C2" w:rsidR="000A673E" w:rsidRDefault="000A673E" w:rsidP="000A673E">
      <w:pPr>
        <w:spacing w:line="240" w:lineRule="auto"/>
        <w:jc w:val="center"/>
      </w:pPr>
    </w:p>
    <w:tbl>
      <w:tblPr>
        <w:tblW w:w="0" w:type="auto"/>
        <w:tblLayout w:type="fixed"/>
        <w:tblLook w:val="0000" w:firstRow="0" w:lastRow="0" w:firstColumn="0" w:lastColumn="0" w:noHBand="0" w:noVBand="0"/>
      </w:tblPr>
      <w:tblGrid>
        <w:gridCol w:w="4680"/>
        <w:gridCol w:w="4680"/>
      </w:tblGrid>
      <w:tr w:rsidR="005D4BCA" w14:paraId="1EFD82CE" w14:textId="77777777" w:rsidTr="000A673E">
        <w:tc>
          <w:tcPr>
            <w:tcW w:w="4680" w:type="dxa"/>
            <w:tcBorders>
              <w:bottom w:val="single" w:sz="4" w:space="0" w:color="auto"/>
              <w:right w:val="single" w:sz="4" w:space="0" w:color="auto"/>
            </w:tcBorders>
            <w:shd w:val="clear" w:color="auto" w:fill="auto"/>
          </w:tcPr>
          <w:p w14:paraId="20FE40C1" w14:textId="77777777" w:rsidR="000A673E" w:rsidRDefault="00EB4BDA" w:rsidP="000A673E">
            <w:pPr>
              <w:spacing w:line="240" w:lineRule="auto"/>
            </w:pPr>
            <w:r>
              <w:t>THE PEOPLE,</w:t>
            </w:r>
          </w:p>
          <w:p w14:paraId="03FBB2B0" w14:textId="77777777" w:rsidR="000A673E" w:rsidRDefault="000A673E" w:rsidP="000A673E">
            <w:pPr>
              <w:spacing w:line="240" w:lineRule="auto"/>
            </w:pPr>
          </w:p>
          <w:p w14:paraId="47191C18" w14:textId="77777777" w:rsidR="000A673E" w:rsidRDefault="00EB4BDA" w:rsidP="000A673E">
            <w:pPr>
              <w:spacing w:line="240" w:lineRule="auto"/>
              <w:ind w:left="720"/>
            </w:pPr>
            <w:r>
              <w:t>Plaintiff and Respondent,</w:t>
            </w:r>
          </w:p>
          <w:p w14:paraId="20651164" w14:textId="77777777" w:rsidR="000A673E" w:rsidRDefault="000A673E" w:rsidP="000A673E">
            <w:pPr>
              <w:spacing w:line="240" w:lineRule="auto"/>
              <w:ind w:left="720"/>
            </w:pPr>
          </w:p>
          <w:p w14:paraId="47DBBBDD" w14:textId="77777777" w:rsidR="000A673E" w:rsidRDefault="00EB4BDA" w:rsidP="000A673E">
            <w:pPr>
              <w:spacing w:line="240" w:lineRule="auto"/>
              <w:ind w:left="720"/>
            </w:pPr>
            <w:r>
              <w:t>v.</w:t>
            </w:r>
          </w:p>
          <w:p w14:paraId="7A206627" w14:textId="77777777" w:rsidR="000A673E" w:rsidRDefault="000A673E" w:rsidP="000A673E">
            <w:pPr>
              <w:spacing w:line="240" w:lineRule="auto"/>
            </w:pPr>
          </w:p>
          <w:p w14:paraId="3751D91C" w14:textId="77777777" w:rsidR="000A673E" w:rsidRDefault="00EB4BDA" w:rsidP="000A673E">
            <w:pPr>
              <w:spacing w:line="240" w:lineRule="auto"/>
            </w:pPr>
            <w:r>
              <w:t>DANIEL KEVIN TODD,</w:t>
            </w:r>
          </w:p>
          <w:p w14:paraId="39F8135A" w14:textId="77777777" w:rsidR="000A673E" w:rsidRDefault="000A673E" w:rsidP="000A673E">
            <w:pPr>
              <w:spacing w:line="240" w:lineRule="auto"/>
            </w:pPr>
          </w:p>
          <w:p w14:paraId="29A3CCF7" w14:textId="77777777" w:rsidR="000A673E" w:rsidRDefault="00EB4BDA" w:rsidP="000A673E">
            <w:pPr>
              <w:spacing w:line="240" w:lineRule="auto"/>
              <w:ind w:left="720"/>
            </w:pPr>
            <w:r>
              <w:t>Defendant and Appellant.</w:t>
            </w:r>
          </w:p>
          <w:p w14:paraId="26B22192" w14:textId="30F45D15" w:rsidR="000A673E" w:rsidRDefault="000A673E" w:rsidP="000A673E">
            <w:pPr>
              <w:spacing w:line="240" w:lineRule="auto"/>
            </w:pPr>
          </w:p>
        </w:tc>
        <w:tc>
          <w:tcPr>
            <w:tcW w:w="4680" w:type="dxa"/>
            <w:tcBorders>
              <w:left w:val="single" w:sz="4" w:space="0" w:color="auto"/>
            </w:tcBorders>
            <w:shd w:val="clear" w:color="auto" w:fill="auto"/>
          </w:tcPr>
          <w:p w14:paraId="3BC8B21C" w14:textId="77777777" w:rsidR="000A673E" w:rsidRDefault="00EB4BDA" w:rsidP="000A673E">
            <w:pPr>
              <w:spacing w:line="240" w:lineRule="auto"/>
            </w:pPr>
            <w:r>
              <w:t xml:space="preserve">      H049129</w:t>
            </w:r>
          </w:p>
          <w:p w14:paraId="6EE8253B" w14:textId="77777777" w:rsidR="000A673E" w:rsidRDefault="00EB4BDA" w:rsidP="000A673E">
            <w:pPr>
              <w:spacing w:line="240" w:lineRule="auto"/>
            </w:pPr>
            <w:r>
              <w:t xml:space="preserve">     (Santa Clara County</w:t>
            </w:r>
          </w:p>
          <w:p w14:paraId="1ABEA646" w14:textId="5AE92EA2" w:rsidR="000A673E" w:rsidRDefault="00EB4BDA" w:rsidP="000A673E">
            <w:pPr>
              <w:spacing w:line="240" w:lineRule="auto"/>
            </w:pPr>
            <w:r>
              <w:t xml:space="preserve">      Super. Ct. No. C1899027)</w:t>
            </w:r>
          </w:p>
        </w:tc>
      </w:tr>
    </w:tbl>
    <w:p w14:paraId="33FE1366" w14:textId="1B783453" w:rsidR="00E622F8" w:rsidRDefault="00EB4BDA" w:rsidP="00E622F8">
      <w:r>
        <w:tab/>
        <w:t>Defend</w:t>
      </w:r>
      <w:r w:rsidR="0010340B">
        <w:t xml:space="preserve">ant Daniel Kevin Todd pleaded no contest to three felony counts of buying or receiving </w:t>
      </w:r>
      <w:r w:rsidR="007D0B62">
        <w:t>stolen property</w:t>
      </w:r>
      <w:r w:rsidR="005723B0">
        <w:t>.</w:t>
      </w:r>
      <w:r w:rsidR="00B733BD">
        <w:t xml:space="preserve"> </w:t>
      </w:r>
      <w:r w:rsidR="0093311B">
        <w:t xml:space="preserve"> </w:t>
      </w:r>
      <w:r w:rsidR="00B733BD">
        <w:t>(Pen. Code, §</w:t>
      </w:r>
      <w:r w:rsidR="00634BF7">
        <w:t xml:space="preserve"> 496, subd. (a)</w:t>
      </w:r>
      <w:r w:rsidR="005723B0">
        <w:t>.</w:t>
      </w:r>
      <w:r w:rsidR="00634BF7">
        <w:t>)</w:t>
      </w:r>
      <w:r>
        <w:rPr>
          <w:rStyle w:val="FootnoteReference"/>
        </w:rPr>
        <w:footnoteReference w:id="1"/>
      </w:r>
      <w:r w:rsidR="003F7B7B">
        <w:t xml:space="preserve"> </w:t>
      </w:r>
      <w:r w:rsidR="004665F7">
        <w:t xml:space="preserve"> On appeal, Todd contends that </w:t>
      </w:r>
      <w:r w:rsidR="006C3AE2">
        <w:t xml:space="preserve">his </w:t>
      </w:r>
      <w:r w:rsidR="0060043D">
        <w:t>case</w:t>
      </w:r>
      <w:r w:rsidR="00651376">
        <w:t xml:space="preserve"> should be reversed and</w:t>
      </w:r>
      <w:r w:rsidR="0060043D">
        <w:t xml:space="preserve"> remanded for resentencing in light of </w:t>
      </w:r>
      <w:r w:rsidR="009247E2">
        <w:t>rece</w:t>
      </w:r>
      <w:r w:rsidR="00374A89">
        <w:t xml:space="preserve">nt </w:t>
      </w:r>
      <w:r w:rsidR="00C62484">
        <w:t xml:space="preserve">amendments to </w:t>
      </w:r>
      <w:r w:rsidR="00F95217">
        <w:t>section 1170, subdivision (b)</w:t>
      </w:r>
      <w:r w:rsidR="007543D1">
        <w:t xml:space="preserve"> by Senate Bill </w:t>
      </w:r>
      <w:r w:rsidR="007940F6">
        <w:t xml:space="preserve">No. </w:t>
      </w:r>
      <w:r w:rsidR="007543D1">
        <w:t>567</w:t>
      </w:r>
      <w:r w:rsidR="005723B0">
        <w:t>.</w:t>
      </w:r>
      <w:r w:rsidR="0093311B">
        <w:t xml:space="preserve"> </w:t>
      </w:r>
      <w:r w:rsidR="0009017A">
        <w:t xml:space="preserve"> </w:t>
      </w:r>
      <w:r w:rsidR="00C3497A">
        <w:t>(</w:t>
      </w:r>
      <w:r w:rsidR="003257D6">
        <w:t xml:space="preserve">2020-2021 </w:t>
      </w:r>
      <w:r w:rsidR="005D2D5A">
        <w:t>Reg. Sess</w:t>
      </w:r>
      <w:r w:rsidR="003257D6">
        <w:t>.</w:t>
      </w:r>
      <w:r w:rsidR="00C3497A">
        <w:t>)</w:t>
      </w:r>
      <w:r w:rsidR="00F95217">
        <w:t xml:space="preserve">  </w:t>
      </w:r>
      <w:r w:rsidR="00F95217" w:rsidRPr="003550CC">
        <w:t xml:space="preserve">We </w:t>
      </w:r>
      <w:r w:rsidR="00C90C8F" w:rsidRPr="003550CC">
        <w:t xml:space="preserve">reverse the judgment </w:t>
      </w:r>
      <w:r w:rsidR="00BF25DA" w:rsidRPr="003550CC">
        <w:t>a</w:t>
      </w:r>
      <w:r w:rsidR="00F95217" w:rsidRPr="003550CC">
        <w:t xml:space="preserve">nd </w:t>
      </w:r>
      <w:r w:rsidR="00D53C4A" w:rsidRPr="003550CC">
        <w:t xml:space="preserve">remand for further </w:t>
      </w:r>
      <w:r w:rsidR="00E350D1" w:rsidRPr="003550CC">
        <w:t>proceedings</w:t>
      </w:r>
      <w:r w:rsidR="00BF25DA" w:rsidRPr="003550CC">
        <w:t xml:space="preserve"> under newly-amended section 1170</w:t>
      </w:r>
      <w:r w:rsidR="004A20CB" w:rsidRPr="003550CC">
        <w:t>.</w:t>
      </w:r>
    </w:p>
    <w:p w14:paraId="4FC53C6B" w14:textId="7557A087" w:rsidR="00A573A6" w:rsidRPr="00A573A6" w:rsidRDefault="00EB4BDA" w:rsidP="00554D87">
      <w:pPr>
        <w:jc w:val="center"/>
        <w:rPr>
          <w:b/>
          <w:bCs/>
          <w:smallCaps/>
        </w:rPr>
      </w:pPr>
      <w:r w:rsidRPr="00A573A6">
        <w:rPr>
          <w:b/>
          <w:bCs/>
          <w:smallCaps/>
        </w:rPr>
        <w:t>I.</w:t>
      </w:r>
      <w:r w:rsidR="00A55E1E">
        <w:rPr>
          <w:b/>
          <w:bCs/>
          <w:smallCaps/>
        </w:rPr>
        <w:t xml:space="preserve"> </w:t>
      </w:r>
      <w:r w:rsidR="0001598F" w:rsidRPr="00A573A6">
        <w:rPr>
          <w:b/>
          <w:bCs/>
          <w:smallCaps/>
        </w:rPr>
        <w:t>Procedural Background</w:t>
      </w:r>
      <w:r>
        <w:rPr>
          <w:rStyle w:val="FootnoteReference"/>
          <w:b/>
          <w:bCs/>
          <w:smallCaps/>
        </w:rPr>
        <w:footnoteReference w:id="2"/>
      </w:r>
    </w:p>
    <w:p w14:paraId="3854C7C0" w14:textId="2190FB43" w:rsidR="00084130" w:rsidRDefault="00EB4BDA" w:rsidP="00A573A6">
      <w:r>
        <w:tab/>
        <w:t xml:space="preserve">On </w:t>
      </w:r>
      <w:r w:rsidR="004E2D28">
        <w:t xml:space="preserve">January 21, 2020, </w:t>
      </w:r>
      <w:r w:rsidR="006D659A">
        <w:t xml:space="preserve">Todd </w:t>
      </w:r>
      <w:r w:rsidR="00351B77">
        <w:t>pleaded</w:t>
      </w:r>
      <w:r w:rsidR="008D6ACE">
        <w:t xml:space="preserve"> </w:t>
      </w:r>
      <w:r w:rsidR="00943C99">
        <w:t xml:space="preserve">no contest </w:t>
      </w:r>
      <w:r w:rsidR="00D06D0C">
        <w:t xml:space="preserve">pursuant to </w:t>
      </w:r>
      <w:r w:rsidR="00903B36">
        <w:t>a plea agreement</w:t>
      </w:r>
      <w:r w:rsidR="006D659A">
        <w:t xml:space="preserve"> </w:t>
      </w:r>
      <w:r w:rsidR="00E3469F">
        <w:t>to three counts</w:t>
      </w:r>
      <w:r w:rsidR="006B6C57">
        <w:t xml:space="preserve"> of buying or receiving stolen property</w:t>
      </w:r>
      <w:r w:rsidR="007E2A8C">
        <w:t xml:space="preserve"> (counts 1, 7, and </w:t>
      </w:r>
      <w:r w:rsidR="00F204E3">
        <w:t>8)</w:t>
      </w:r>
      <w:r w:rsidR="006B6C57">
        <w:t xml:space="preserve"> in exchange for </w:t>
      </w:r>
      <w:r w:rsidR="001367BB">
        <w:t>dismissal of the remaining counts in the information</w:t>
      </w:r>
      <w:r w:rsidR="00BC727B">
        <w:t xml:space="preserve"> and </w:t>
      </w:r>
      <w:r w:rsidR="00FD0A62">
        <w:t xml:space="preserve">a </w:t>
      </w:r>
      <w:r w:rsidR="00BC727B">
        <w:t>st</w:t>
      </w:r>
      <w:r w:rsidR="00FD0A62">
        <w:t>ipulated sentence of</w:t>
      </w:r>
      <w:r w:rsidR="00DA0385">
        <w:t xml:space="preserve"> three year</w:t>
      </w:r>
      <w:r w:rsidR="00FD0A62">
        <w:t>s and</w:t>
      </w:r>
      <w:r w:rsidR="00DA0385">
        <w:t xml:space="preserve"> eight month</w:t>
      </w:r>
      <w:r w:rsidR="00FD0A62">
        <w:t>s</w:t>
      </w:r>
      <w:r w:rsidR="001D1134">
        <w:t>.</w:t>
      </w:r>
      <w:r w:rsidR="00855599">
        <w:t xml:space="preserve"> </w:t>
      </w:r>
      <w:r w:rsidR="00FD0A62">
        <w:t xml:space="preserve"> </w:t>
      </w:r>
      <w:r w:rsidR="004A1746">
        <w:t>On</w:t>
      </w:r>
      <w:r w:rsidR="00FD0936">
        <w:t xml:space="preserve"> April 13, 2021</w:t>
      </w:r>
      <w:r w:rsidR="004A1746">
        <w:t>, the court imposed</w:t>
      </w:r>
      <w:r w:rsidR="00142682">
        <w:t xml:space="preserve"> the </w:t>
      </w:r>
      <w:r w:rsidR="001B6FEF">
        <w:t xml:space="preserve">stipulated sentence, consisting of </w:t>
      </w:r>
      <w:r w:rsidR="00583EB5">
        <w:t xml:space="preserve">the upper term of three years on count 1, </w:t>
      </w:r>
      <w:r w:rsidR="00ED5B2B">
        <w:t xml:space="preserve">a consecutive </w:t>
      </w:r>
      <w:r w:rsidR="00583EB5">
        <w:t>eight</w:t>
      </w:r>
      <w:r w:rsidR="00ED5B2B">
        <w:t>-</w:t>
      </w:r>
      <w:r w:rsidR="00583EB5">
        <w:t>month</w:t>
      </w:r>
      <w:r w:rsidR="00496B46">
        <w:t xml:space="preserve"> term</w:t>
      </w:r>
      <w:r w:rsidR="00583EB5">
        <w:t xml:space="preserve"> on </w:t>
      </w:r>
      <w:r w:rsidR="00ED5B2B">
        <w:lastRenderedPageBreak/>
        <w:t>count 7</w:t>
      </w:r>
      <w:r w:rsidR="00437E27">
        <w:t xml:space="preserve">, which </w:t>
      </w:r>
      <w:r w:rsidR="0008765B">
        <w:t>was one third of the middle term</w:t>
      </w:r>
      <w:r w:rsidR="00496B46">
        <w:t>, and a concurrent upper</w:t>
      </w:r>
      <w:r w:rsidR="00CE7C43">
        <w:t xml:space="preserve"> </w:t>
      </w:r>
      <w:r w:rsidR="00496B46">
        <w:t xml:space="preserve">term </w:t>
      </w:r>
      <w:r w:rsidR="00271942">
        <w:t>of three years on count 8.</w:t>
      </w:r>
      <w:r w:rsidR="008B308A">
        <w:t xml:space="preserve"> </w:t>
      </w:r>
      <w:r w:rsidR="00461DCC">
        <w:t xml:space="preserve"> </w:t>
      </w:r>
      <w:r w:rsidR="009A64A0">
        <w:t xml:space="preserve">Todd timely appealed.  </w:t>
      </w:r>
    </w:p>
    <w:p w14:paraId="03937C03" w14:textId="2DD452DF" w:rsidR="003B52B1" w:rsidRDefault="00EB4BDA" w:rsidP="00A573A6">
      <w:r w:rsidRPr="003B52B1">
        <w:tab/>
        <w:t>After this case was fully briefed, we requested supplemental briefing from the parties on the applic</w:t>
      </w:r>
      <w:r w:rsidRPr="003B52B1">
        <w:t xml:space="preserve">ability of </w:t>
      </w:r>
      <w:r w:rsidRPr="00206947">
        <w:rPr>
          <w:i/>
          <w:iCs/>
        </w:rPr>
        <w:t>People v. Mitchell</w:t>
      </w:r>
      <w:r w:rsidRPr="003B52B1">
        <w:t xml:space="preserve"> (2022) 83 Cal.App.5th 1051, review granted Dec. 14, 2022, S277314 (</w:t>
      </w:r>
      <w:r w:rsidRPr="003B52B1">
        <w:rPr>
          <w:i/>
          <w:iCs/>
        </w:rPr>
        <w:t>Mitchell</w:t>
      </w:r>
      <w:r w:rsidRPr="003B52B1">
        <w:t>)</w:t>
      </w:r>
      <w:r w:rsidR="00513597">
        <w:t>,</w:t>
      </w:r>
      <w:r>
        <w:rPr>
          <w:rStyle w:val="FootnoteReference"/>
        </w:rPr>
        <w:footnoteReference w:id="3"/>
      </w:r>
      <w:r w:rsidRPr="003B52B1">
        <w:t xml:space="preserve"> to the issue before us.  We have considered that briefing in our analysis here.</w:t>
      </w:r>
    </w:p>
    <w:p w14:paraId="54CAABD4" w14:textId="711A5B63" w:rsidR="00155132" w:rsidRPr="00155132" w:rsidRDefault="00EB4BDA" w:rsidP="00155132">
      <w:pPr>
        <w:jc w:val="center"/>
        <w:rPr>
          <w:b/>
          <w:bCs/>
          <w:smallCaps/>
        </w:rPr>
      </w:pPr>
      <w:r w:rsidRPr="00155132">
        <w:rPr>
          <w:b/>
          <w:bCs/>
          <w:smallCaps/>
        </w:rPr>
        <w:t>II.</w:t>
      </w:r>
      <w:r w:rsidRPr="00155132">
        <w:rPr>
          <w:b/>
          <w:bCs/>
          <w:smallCaps/>
        </w:rPr>
        <w:tab/>
        <w:t>Discussion</w:t>
      </w:r>
    </w:p>
    <w:p w14:paraId="1B30CB65" w14:textId="3F8064BE" w:rsidR="00155132" w:rsidRDefault="00EB4BDA" w:rsidP="00155132">
      <w:r>
        <w:tab/>
        <w:t xml:space="preserve">Todd argues that he is entitled to remand for </w:t>
      </w:r>
      <w:r>
        <w:t>resentencing in light of Senate Bill</w:t>
      </w:r>
      <w:r w:rsidR="00C94000">
        <w:t xml:space="preserve"> No.</w:t>
      </w:r>
      <w:r>
        <w:t xml:space="preserve"> 567, which amended</w:t>
      </w:r>
      <w:r w:rsidR="00E143DF">
        <w:t xml:space="preserve"> section</w:t>
      </w:r>
      <w:r>
        <w:t xml:space="preserve"> </w:t>
      </w:r>
      <w:r w:rsidR="007A3362">
        <w:t>1170</w:t>
      </w:r>
      <w:r w:rsidR="00E143DF">
        <w:t>, subdivision (b)</w:t>
      </w:r>
      <w:r w:rsidR="007A3362">
        <w:t xml:space="preserve">.  </w:t>
      </w:r>
      <w:r w:rsidR="0019030F">
        <w:t xml:space="preserve">The </w:t>
      </w:r>
      <w:r w:rsidR="00875B0F">
        <w:t xml:space="preserve">Attorney General contends </w:t>
      </w:r>
      <w:r w:rsidR="0019030F">
        <w:t xml:space="preserve">that </w:t>
      </w:r>
      <w:r w:rsidR="00953A18">
        <w:t>although Senate Bill</w:t>
      </w:r>
      <w:r w:rsidR="005B7176">
        <w:t xml:space="preserve"> No.</w:t>
      </w:r>
      <w:r w:rsidR="00953A18">
        <w:t xml:space="preserve"> </w:t>
      </w:r>
      <w:r w:rsidR="005B360D">
        <w:t xml:space="preserve">567’s amendments to section 1170, subdivision (b) </w:t>
      </w:r>
      <w:r w:rsidR="009D55E2">
        <w:t xml:space="preserve">apply </w:t>
      </w:r>
      <w:r w:rsidR="00006995">
        <w:t>retroactively here</w:t>
      </w:r>
      <w:r w:rsidR="00EC20E0">
        <w:t xml:space="preserve">, </w:t>
      </w:r>
      <w:r w:rsidR="00640F54">
        <w:t xml:space="preserve">remand is not warranted because </w:t>
      </w:r>
      <w:r w:rsidR="00FB2F5C">
        <w:t>Todd st</w:t>
      </w:r>
      <w:r w:rsidR="00601BE8">
        <w:t>ipulated to</w:t>
      </w:r>
      <w:r w:rsidR="00FB2F5C">
        <w:t xml:space="preserve"> </w:t>
      </w:r>
      <w:r w:rsidR="00B6189D">
        <w:t>an upper</w:t>
      </w:r>
      <w:r w:rsidR="00460384">
        <w:t>-</w:t>
      </w:r>
      <w:r w:rsidR="00B6189D">
        <w:t xml:space="preserve">term sentence as part of </w:t>
      </w:r>
      <w:r w:rsidR="00601BE8">
        <w:t>his pl</w:t>
      </w:r>
      <w:r w:rsidR="00480EE8">
        <w:t>e</w:t>
      </w:r>
      <w:r w:rsidR="00601BE8">
        <w:t>a bargain.</w:t>
      </w:r>
      <w:r w:rsidR="00480EE8">
        <w:t xml:space="preserve">  </w:t>
      </w:r>
      <w:r w:rsidR="00513597">
        <w:t>For the reasons we explain below, we determine that Todd’s case must be</w:t>
      </w:r>
      <w:r w:rsidR="00875B0F">
        <w:t xml:space="preserve"> </w:t>
      </w:r>
      <w:r w:rsidR="009937A7">
        <w:t>remand</w:t>
      </w:r>
      <w:r w:rsidR="00513597">
        <w:t>ed</w:t>
      </w:r>
      <w:r w:rsidR="00FB2F5C">
        <w:t xml:space="preserve"> </w:t>
      </w:r>
      <w:r w:rsidR="009937A7">
        <w:t xml:space="preserve">for resentencing. </w:t>
      </w:r>
    </w:p>
    <w:p w14:paraId="1D36549E" w14:textId="5E9FD748" w:rsidR="00334CCD" w:rsidRPr="003153E0" w:rsidRDefault="00EB4BDA" w:rsidP="00334CCD">
      <w:pPr>
        <w:pStyle w:val="ListParagraph"/>
        <w:numPr>
          <w:ilvl w:val="0"/>
          <w:numId w:val="1"/>
        </w:numPr>
        <w:rPr>
          <w:b/>
          <w:bCs/>
          <w:i/>
          <w:iCs/>
        </w:rPr>
      </w:pPr>
      <w:r w:rsidRPr="0032249F">
        <w:rPr>
          <w:b/>
          <w:bCs/>
          <w:i/>
          <w:iCs/>
        </w:rPr>
        <w:t xml:space="preserve">Senate Bill No. 567 </w:t>
      </w:r>
      <w:r>
        <w:rPr>
          <w:b/>
          <w:bCs/>
          <w:i/>
          <w:iCs/>
        </w:rPr>
        <w:t xml:space="preserve">Applies to Todd </w:t>
      </w:r>
      <w:r w:rsidRPr="003153E0">
        <w:rPr>
          <w:b/>
          <w:bCs/>
          <w:i/>
          <w:iCs/>
        </w:rPr>
        <w:t>Retroactiv</w:t>
      </w:r>
      <w:r>
        <w:rPr>
          <w:b/>
          <w:bCs/>
          <w:i/>
          <w:iCs/>
        </w:rPr>
        <w:t xml:space="preserve">ely </w:t>
      </w:r>
    </w:p>
    <w:p w14:paraId="1EC707EF" w14:textId="6FB63981" w:rsidR="00420C78" w:rsidRDefault="00EB4BDA" w:rsidP="00155132">
      <w:r>
        <w:tab/>
      </w:r>
      <w:r w:rsidR="00222BAB">
        <w:t xml:space="preserve">At the time of Todd’s sentencing, section 1170, subdivision (b) provided that the choice between sentencing a defendant to the lower, middle, or upper term “shall rest within the sound discretion of the court.”  </w:t>
      </w:r>
      <w:r w:rsidR="00222BAB" w:rsidRPr="00022387">
        <w:t>(</w:t>
      </w:r>
      <w:r w:rsidR="009C548A">
        <w:t xml:space="preserve">See former </w:t>
      </w:r>
      <w:r w:rsidR="00222BAB" w:rsidRPr="00022387">
        <w:t xml:space="preserve">§ 1170, </w:t>
      </w:r>
      <w:r w:rsidR="00222BAB" w:rsidRPr="009C548A">
        <w:t>subd. (b)</w:t>
      </w:r>
      <w:r w:rsidR="009C548A">
        <w:t>, as amended by Stats. 2020, ch. 29, § 14</w:t>
      </w:r>
      <w:r w:rsidR="00222BAB" w:rsidRPr="00022387">
        <w:t>.)</w:t>
      </w:r>
      <w:r w:rsidR="00222BAB">
        <w:t xml:space="preserve">  </w:t>
      </w:r>
      <w:r w:rsidR="009579C7" w:rsidRPr="009579C7">
        <w:t xml:space="preserve">Effective January 1, 2022, </w:t>
      </w:r>
      <w:r w:rsidR="00AC5D9F">
        <w:t xml:space="preserve">Senate Bill No. 567 amended section 1170 to make the middle term the presumptive sentence.  </w:t>
      </w:r>
      <w:r w:rsidR="007E563D">
        <w:t>(</w:t>
      </w:r>
      <w:bookmarkStart w:id="1" w:name="_Hlk118886009"/>
      <w:r w:rsidR="00780E91" w:rsidRPr="008F0823">
        <w:rPr>
          <w:i/>
          <w:iCs/>
        </w:rPr>
        <w:t>People v. Flores</w:t>
      </w:r>
      <w:r w:rsidR="00780E91">
        <w:t xml:space="preserve"> (2022) 75 Cal.App.5th 495, 500</w:t>
      </w:r>
      <w:bookmarkEnd w:id="1"/>
      <w:r w:rsidR="00780E91">
        <w:t>;</w:t>
      </w:r>
      <w:r w:rsidR="008F0823">
        <w:t xml:space="preserve"> </w:t>
      </w:r>
      <w:r w:rsidR="00920038">
        <w:t>§</w:t>
      </w:r>
      <w:r w:rsidR="008F0823">
        <w:t> </w:t>
      </w:r>
      <w:r w:rsidR="00C754A8">
        <w:t xml:space="preserve">1170, subd. (b)(1).)  </w:t>
      </w:r>
      <w:r w:rsidR="00B029FC">
        <w:t>As amended by Senate Bill No.</w:t>
      </w:r>
      <w:r w:rsidR="009A66A8">
        <w:t> </w:t>
      </w:r>
      <w:r w:rsidR="00B029FC">
        <w:t>597, s</w:t>
      </w:r>
      <w:r w:rsidR="009579C7" w:rsidRPr="009579C7">
        <w:t>ection 1170, subdivision (b)(2)</w:t>
      </w:r>
      <w:r w:rsidR="00B029FC">
        <w:t xml:space="preserve"> </w:t>
      </w:r>
      <w:r w:rsidR="002A617B">
        <w:t>p</w:t>
      </w:r>
      <w:r w:rsidR="009579C7" w:rsidRPr="009579C7">
        <w:t xml:space="preserve">rovides that the trial court may impose a sentence exceeding the middle term “only when there are circumstances in aggravation of the crime that justify the imposition of a term of imprisonment exceeding the middle </w:t>
      </w:r>
      <w:r w:rsidR="009579C7" w:rsidRPr="009579C7">
        <w:lastRenderedPageBreak/>
        <w:t>term</w:t>
      </w:r>
      <w:r w:rsidR="00E064C3">
        <w:t xml:space="preserve">, </w:t>
      </w:r>
      <w:r w:rsidR="00C37F3D" w:rsidRPr="00C37F3D">
        <w:t>and the facts underlying those circumstances have been stipulated to by the defendant, or have been found true beyond a reasonable doubt at trial by the jury or by the judge in a court trial</w:t>
      </w:r>
      <w:r w:rsidR="00C37F3D">
        <w:t>.”</w:t>
      </w:r>
      <w:r w:rsidR="00955451">
        <w:t xml:space="preserve">  Section 1170</w:t>
      </w:r>
      <w:r w:rsidR="006B3CFC">
        <w:t>, subdivision (b)(3)</w:t>
      </w:r>
      <w:r w:rsidR="00F82C4E">
        <w:t xml:space="preserve"> additionally provides that “the court may consider the defendant’s prior convictions in determining </w:t>
      </w:r>
      <w:r w:rsidR="00D66F46">
        <w:t xml:space="preserve">sentencing based on a certified record of conviction without submitting the prior convictions to a jury.”  </w:t>
      </w:r>
    </w:p>
    <w:p w14:paraId="136BB8D3" w14:textId="627CF5A6" w:rsidR="003A208E" w:rsidRDefault="00EB4BDA" w:rsidP="00155132">
      <w:r>
        <w:tab/>
      </w:r>
      <w:r w:rsidR="00CA1C40">
        <w:t xml:space="preserve">Todd’s </w:t>
      </w:r>
      <w:r w:rsidR="008A2A8E">
        <w:t>case</w:t>
      </w:r>
      <w:r w:rsidR="00CA1C40">
        <w:t xml:space="preserve"> was not final when </w:t>
      </w:r>
      <w:r w:rsidR="003E2E53">
        <w:t xml:space="preserve">the amendments to </w:t>
      </w:r>
      <w:r w:rsidR="00012550">
        <w:t xml:space="preserve">section 1170 </w:t>
      </w:r>
      <w:r w:rsidR="00E34269">
        <w:t xml:space="preserve">effectuated by </w:t>
      </w:r>
      <w:r w:rsidR="00EF2E07">
        <w:t>Senate Bill No. 567</w:t>
      </w:r>
      <w:r w:rsidR="000660F4">
        <w:t xml:space="preserve"> took effect</w:t>
      </w:r>
      <w:r w:rsidR="00483B4C">
        <w:t xml:space="preserve">.  </w:t>
      </w:r>
      <w:r w:rsidR="000660F4">
        <w:t xml:space="preserve">We agree with the parties that </w:t>
      </w:r>
      <w:r w:rsidR="00031F13">
        <w:t>Todd</w:t>
      </w:r>
      <w:r w:rsidR="000660F4">
        <w:t xml:space="preserve"> is entitled to </w:t>
      </w:r>
      <w:r w:rsidR="00917A5A">
        <w:t xml:space="preserve">retroactive application of the amended statute because it is an ameliorative </w:t>
      </w:r>
      <w:r w:rsidR="00584229">
        <w:t xml:space="preserve">change in the law and there is nothing to indicate that the Legislature </w:t>
      </w:r>
      <w:r w:rsidR="00A57C94">
        <w:t xml:space="preserve">intended the change to apply </w:t>
      </w:r>
      <w:r w:rsidR="002A2B2B">
        <w:t>only prospectively</w:t>
      </w:r>
      <w:r w:rsidR="001506A8">
        <w:t>.</w:t>
      </w:r>
      <w:r w:rsidR="002A2B2B">
        <w:t xml:space="preserve"> </w:t>
      </w:r>
      <w:r w:rsidR="00BE307A">
        <w:t xml:space="preserve"> (</w:t>
      </w:r>
      <w:bookmarkStart w:id="2" w:name="_Hlk118886042"/>
      <w:r w:rsidR="00BE307A" w:rsidRPr="000C37DE">
        <w:rPr>
          <w:i/>
          <w:iCs/>
        </w:rPr>
        <w:t>People v. Flores</w:t>
      </w:r>
      <w:r w:rsidR="00BE307A">
        <w:t xml:space="preserve"> (2022) 73 Cal.App.5th 1032, 1</w:t>
      </w:r>
      <w:r w:rsidR="00D43E63">
        <w:t>039</w:t>
      </w:r>
      <w:bookmarkEnd w:id="2"/>
      <w:r w:rsidR="00C77F09">
        <w:t xml:space="preserve"> (</w:t>
      </w:r>
      <w:r w:rsidR="00C77F09" w:rsidRPr="00C77F09">
        <w:rPr>
          <w:i/>
          <w:iCs/>
        </w:rPr>
        <w:t>Flores</w:t>
      </w:r>
      <w:r w:rsidR="00C77F09">
        <w:t>)</w:t>
      </w:r>
      <w:r w:rsidR="00D43E63">
        <w:t xml:space="preserve">; </w:t>
      </w:r>
      <w:r w:rsidR="00D43E63" w:rsidRPr="000C37DE">
        <w:rPr>
          <w:i/>
          <w:iCs/>
        </w:rPr>
        <w:t>In re Estrada</w:t>
      </w:r>
      <w:r w:rsidR="00D43E63">
        <w:t xml:space="preserve"> (1965) 63 Cal.</w:t>
      </w:r>
      <w:r w:rsidR="00DE24D6">
        <w:t>2</w:t>
      </w:r>
      <w:r w:rsidR="00D43E63">
        <w:t>d 740, 745</w:t>
      </w:r>
      <w:r w:rsidR="000C37DE">
        <w:t>.)</w:t>
      </w:r>
    </w:p>
    <w:p w14:paraId="1E98B097" w14:textId="26461DDA" w:rsidR="003153E0" w:rsidRPr="0080303A" w:rsidRDefault="00EB4BDA" w:rsidP="00F613D2">
      <w:pPr>
        <w:pStyle w:val="ListParagraph"/>
        <w:numPr>
          <w:ilvl w:val="0"/>
          <w:numId w:val="1"/>
        </w:numPr>
        <w:spacing w:before="120" w:line="240" w:lineRule="auto"/>
        <w:contextualSpacing w:val="0"/>
        <w:rPr>
          <w:b/>
          <w:bCs/>
          <w:i/>
          <w:iCs/>
        </w:rPr>
      </w:pPr>
      <w:r>
        <w:rPr>
          <w:b/>
          <w:bCs/>
          <w:i/>
          <w:iCs/>
        </w:rPr>
        <w:t>A</w:t>
      </w:r>
      <w:r w:rsidRPr="00047FD8">
        <w:rPr>
          <w:b/>
          <w:bCs/>
          <w:i/>
          <w:iCs/>
        </w:rPr>
        <w:t xml:space="preserve">mended </w:t>
      </w:r>
      <w:r>
        <w:rPr>
          <w:b/>
          <w:bCs/>
          <w:i/>
          <w:iCs/>
        </w:rPr>
        <w:t>S</w:t>
      </w:r>
      <w:r w:rsidRPr="00047FD8">
        <w:rPr>
          <w:b/>
          <w:bCs/>
          <w:i/>
          <w:iCs/>
        </w:rPr>
        <w:t xml:space="preserve">ection 1170, </w:t>
      </w:r>
      <w:r>
        <w:rPr>
          <w:b/>
          <w:bCs/>
          <w:i/>
          <w:iCs/>
        </w:rPr>
        <w:t>S</w:t>
      </w:r>
      <w:r w:rsidRPr="00047FD8">
        <w:rPr>
          <w:b/>
          <w:bCs/>
          <w:i/>
          <w:iCs/>
        </w:rPr>
        <w:t xml:space="preserve">ubdivision (b) </w:t>
      </w:r>
      <w:r w:rsidR="0017598D">
        <w:rPr>
          <w:b/>
          <w:bCs/>
          <w:i/>
          <w:iCs/>
        </w:rPr>
        <w:t xml:space="preserve">Applies Despite </w:t>
      </w:r>
      <w:r w:rsidR="000B12EB">
        <w:rPr>
          <w:b/>
          <w:bCs/>
          <w:i/>
          <w:iCs/>
        </w:rPr>
        <w:t>Todd’s</w:t>
      </w:r>
      <w:r w:rsidR="0017598D">
        <w:rPr>
          <w:b/>
          <w:bCs/>
          <w:i/>
          <w:iCs/>
        </w:rPr>
        <w:t xml:space="preserve"> </w:t>
      </w:r>
      <w:r w:rsidR="000B12EB">
        <w:rPr>
          <w:b/>
          <w:bCs/>
          <w:i/>
          <w:iCs/>
        </w:rPr>
        <w:t>Negotiated Sentence</w:t>
      </w:r>
    </w:p>
    <w:p w14:paraId="0EAD8168" w14:textId="7AD4BC82" w:rsidR="0046182C" w:rsidRDefault="00EB4BDA">
      <w:r>
        <w:tab/>
      </w:r>
      <w:r w:rsidR="00685F46">
        <w:t xml:space="preserve">Although amended </w:t>
      </w:r>
      <w:bookmarkStart w:id="3" w:name="_Hlk118902822"/>
      <w:r w:rsidR="00685F46">
        <w:t>section</w:t>
      </w:r>
      <w:bookmarkEnd w:id="3"/>
      <w:r w:rsidR="00685F46">
        <w:t xml:space="preserve"> 1170, subdivision (b) is retroactive</w:t>
      </w:r>
      <w:r w:rsidR="007D0053">
        <w:t xml:space="preserve"> in Todd’s case, we must also determine whether Todd is entitled to </w:t>
      </w:r>
      <w:r w:rsidR="002171CE">
        <w:t>any</w:t>
      </w:r>
      <w:r w:rsidR="007D0053">
        <w:t xml:space="preserve"> benefit of the amended statute</w:t>
      </w:r>
      <w:r w:rsidR="00EF66B6">
        <w:t xml:space="preserve"> </w:t>
      </w:r>
      <w:r w:rsidR="00D07609">
        <w:t>because</w:t>
      </w:r>
      <w:r w:rsidR="00EF66B6">
        <w:t xml:space="preserve"> his upper</w:t>
      </w:r>
      <w:r w:rsidR="00460384">
        <w:t>-</w:t>
      </w:r>
      <w:r w:rsidR="00EF66B6">
        <w:t>term sentence was the result of a negotiated disposition.</w:t>
      </w:r>
      <w:r w:rsidR="00685F46">
        <w:t xml:space="preserve"> </w:t>
      </w:r>
      <w:r w:rsidR="001D2069">
        <w:t xml:space="preserve"> </w:t>
      </w:r>
      <w:r w:rsidR="009A44C3" w:rsidRPr="009A44C3">
        <w:t xml:space="preserve">Relying on </w:t>
      </w:r>
      <w:r w:rsidR="009A44C3" w:rsidRPr="00F62AB5">
        <w:rPr>
          <w:i/>
          <w:iCs/>
        </w:rPr>
        <w:t>Mitchell</w:t>
      </w:r>
      <w:r w:rsidR="009A44C3">
        <w:t xml:space="preserve">, </w:t>
      </w:r>
      <w:r w:rsidR="009A44C3" w:rsidRPr="00F62AB5">
        <w:rPr>
          <w:i/>
          <w:iCs/>
        </w:rPr>
        <w:t>supra</w:t>
      </w:r>
      <w:r w:rsidR="009A44C3">
        <w:t xml:space="preserve">, </w:t>
      </w:r>
      <w:r w:rsidR="009A44C3" w:rsidRPr="003B52B1">
        <w:t>83 Cal.App.5th 1051</w:t>
      </w:r>
      <w:r w:rsidR="009A44C3">
        <w:t xml:space="preserve">, </w:t>
      </w:r>
      <w:r w:rsidR="009A44C3" w:rsidRPr="009A44C3">
        <w:t>the Attorney General argues that Todd is not entitled to the ameliorative effect of section 1170, subdivision (b</w:t>
      </w:r>
      <w:r w:rsidR="009E0916">
        <w:t>)</w:t>
      </w:r>
      <w:r w:rsidR="00052A5C">
        <w:t>, and that the trial court would be precluded from imposing any sentence other than the negotiated upper</w:t>
      </w:r>
      <w:r w:rsidR="00AF37F9">
        <w:t xml:space="preserve"> </w:t>
      </w:r>
      <w:r w:rsidR="00052A5C">
        <w:t>term of the sentencing triad were the matter remanded</w:t>
      </w:r>
      <w:r w:rsidR="009E0916">
        <w:t xml:space="preserve">.  </w:t>
      </w:r>
    </w:p>
    <w:p w14:paraId="6A8EB51C" w14:textId="3417857B" w:rsidR="00AF37F9" w:rsidRDefault="00EB4BDA" w:rsidP="00334CCD">
      <w:r>
        <w:tab/>
      </w:r>
      <w:r w:rsidR="00E846E7">
        <w:t xml:space="preserve">In </w:t>
      </w:r>
      <w:r w:rsidRPr="009B6F88">
        <w:rPr>
          <w:i/>
          <w:iCs/>
        </w:rPr>
        <w:t>Mitchell</w:t>
      </w:r>
      <w:r w:rsidR="00E846E7">
        <w:t>, the First District</w:t>
      </w:r>
      <w:r>
        <w:t xml:space="preserve"> </w:t>
      </w:r>
      <w:r w:rsidR="00597DD7">
        <w:t>Court of Appeal</w:t>
      </w:r>
      <w:r w:rsidR="002D27BE">
        <w:t>, Division</w:t>
      </w:r>
      <w:r w:rsidR="00513597">
        <w:t xml:space="preserve"> Five</w:t>
      </w:r>
      <w:r w:rsidR="00597DD7">
        <w:t xml:space="preserve"> </w:t>
      </w:r>
      <w:r w:rsidR="005615A2" w:rsidRPr="005615A2">
        <w:t xml:space="preserve">adopted the same argument advanced by the Attorney General in this case and </w:t>
      </w:r>
      <w:r w:rsidR="00597DD7">
        <w:t>held</w:t>
      </w:r>
      <w:r w:rsidR="00597DD7" w:rsidRPr="005615A2">
        <w:t xml:space="preserve"> </w:t>
      </w:r>
      <w:r w:rsidR="005615A2" w:rsidRPr="005615A2">
        <w:t>that Senate Bill No.</w:t>
      </w:r>
      <w:r w:rsidR="00986B2D">
        <w:t> </w:t>
      </w:r>
      <w:r w:rsidR="005615A2" w:rsidRPr="005615A2">
        <w:t>567’s amendments to section 1170, subdivision (b) are not applicable where a defendant received an upper</w:t>
      </w:r>
      <w:r w:rsidR="00FB5AF6">
        <w:t>-</w:t>
      </w:r>
      <w:r w:rsidR="005615A2" w:rsidRPr="005615A2">
        <w:t>term sentence based upon a negotiated plea</w:t>
      </w:r>
      <w:r w:rsidR="00597DD7">
        <w:t xml:space="preserve"> bargain</w:t>
      </w:r>
      <w:r w:rsidR="005615A2" w:rsidRPr="005615A2">
        <w:t>.  (</w:t>
      </w:r>
      <w:r w:rsidR="00312B40" w:rsidRPr="00312B40">
        <w:rPr>
          <w:i/>
          <w:iCs/>
        </w:rPr>
        <w:t>Mitchell</w:t>
      </w:r>
      <w:r w:rsidR="00312B40">
        <w:t xml:space="preserve">, </w:t>
      </w:r>
      <w:bookmarkStart w:id="4" w:name="_Hlk127302472"/>
      <w:r w:rsidR="00312B40" w:rsidRPr="00312B40">
        <w:rPr>
          <w:i/>
          <w:iCs/>
        </w:rPr>
        <w:t>supra</w:t>
      </w:r>
      <w:r w:rsidR="00312B40">
        <w:t xml:space="preserve">, </w:t>
      </w:r>
      <w:r w:rsidR="00643A1E">
        <w:t xml:space="preserve">83 Cal.App.5th </w:t>
      </w:r>
      <w:bookmarkEnd w:id="4"/>
      <w:r w:rsidR="005615A2" w:rsidRPr="00E846E7">
        <w:t xml:space="preserve">at pp. </w:t>
      </w:r>
      <w:r w:rsidR="009C15BE">
        <w:t>1057-</w:t>
      </w:r>
      <w:r w:rsidR="00DE6000">
        <w:t>1059</w:t>
      </w:r>
      <w:r w:rsidR="005615A2" w:rsidRPr="00E846E7">
        <w:t>.</w:t>
      </w:r>
      <w:r w:rsidR="005615A2" w:rsidRPr="005615A2">
        <w:t xml:space="preserve">)  </w:t>
      </w:r>
      <w:r w:rsidR="00597DD7">
        <w:t>In its analysis, t</w:t>
      </w:r>
      <w:r w:rsidR="005615A2" w:rsidRPr="005615A2">
        <w:t xml:space="preserve">he </w:t>
      </w:r>
      <w:r w:rsidR="005615A2" w:rsidRPr="00312B40">
        <w:rPr>
          <w:i/>
          <w:iCs/>
        </w:rPr>
        <w:t>Mitchell</w:t>
      </w:r>
      <w:r w:rsidR="005615A2" w:rsidRPr="005615A2">
        <w:t xml:space="preserve"> </w:t>
      </w:r>
      <w:r w:rsidR="00597DD7">
        <w:t xml:space="preserve">court </w:t>
      </w:r>
      <w:r w:rsidR="00176045">
        <w:t xml:space="preserve">relied heavily on </w:t>
      </w:r>
      <w:r w:rsidR="00176045" w:rsidRPr="00601E6E">
        <w:rPr>
          <w:i/>
          <w:iCs/>
        </w:rPr>
        <w:t>People v. Brooks</w:t>
      </w:r>
      <w:r w:rsidR="00176045">
        <w:t xml:space="preserve"> (2020) </w:t>
      </w:r>
      <w:bookmarkStart w:id="5" w:name="_Hlk126325545"/>
      <w:r w:rsidR="00176045">
        <w:t>58 Cal.App.5th 1099</w:t>
      </w:r>
      <w:bookmarkEnd w:id="5"/>
      <w:r w:rsidR="00176045">
        <w:t xml:space="preserve">, where Division Four of </w:t>
      </w:r>
      <w:r w:rsidR="00176045">
        <w:lastRenderedPageBreak/>
        <w:t xml:space="preserve">the First District Court of Appeal had determined that retroactive relief under amended section 1170.91 </w:t>
      </w:r>
      <w:r w:rsidR="00E62F8E">
        <w:t xml:space="preserve">was not available </w:t>
      </w:r>
      <w:r>
        <w:t>where the sentence was the result of a stipulated plea agreement</w:t>
      </w:r>
      <w:r w:rsidR="00E62F8E">
        <w:t>.  (</w:t>
      </w:r>
      <w:r w:rsidR="00E62F8E" w:rsidRPr="00601E6E">
        <w:rPr>
          <w:i/>
          <w:iCs/>
        </w:rPr>
        <w:t>Mitchell</w:t>
      </w:r>
      <w:r w:rsidR="00E62F8E">
        <w:t xml:space="preserve">, </w:t>
      </w:r>
      <w:r w:rsidR="00E62F8E" w:rsidRPr="00601E6E">
        <w:rPr>
          <w:i/>
          <w:iCs/>
        </w:rPr>
        <w:t>supra</w:t>
      </w:r>
      <w:r w:rsidR="00E62F8E">
        <w:t>, at p. 1057.)</w:t>
      </w:r>
      <w:r w:rsidR="00872692">
        <w:t xml:space="preserve"> </w:t>
      </w:r>
      <w:r w:rsidR="00176045">
        <w:t xml:space="preserve"> The court </w:t>
      </w:r>
      <w:r w:rsidR="00E62F8E">
        <w:t xml:space="preserve">agreed with </w:t>
      </w:r>
      <w:r w:rsidR="00E62F8E" w:rsidRPr="00601E6E">
        <w:rPr>
          <w:i/>
          <w:iCs/>
        </w:rPr>
        <w:t>Brooks</w:t>
      </w:r>
      <w:r w:rsidR="00176045">
        <w:t xml:space="preserve"> that a </w:t>
      </w:r>
      <w:r>
        <w:t>negotiated plea</w:t>
      </w:r>
      <w:r w:rsidR="00176045">
        <w:t xml:space="preserve"> “</w:t>
      </w:r>
      <w:r w:rsidR="002F7FC8">
        <w:t xml:space="preserve"> ‘</w:t>
      </w:r>
      <w:r>
        <w:t>[gives]</w:t>
      </w:r>
      <w:r w:rsidR="00176045">
        <w:t xml:space="preserve"> the court no room to exercise discretion in the selection of a low, middle, or high term.”  (</w:t>
      </w:r>
      <w:r w:rsidR="00E62F8E" w:rsidRPr="00601E6E">
        <w:rPr>
          <w:i/>
          <w:iCs/>
        </w:rPr>
        <w:t>Id</w:t>
      </w:r>
      <w:r w:rsidR="00E62F8E">
        <w:t xml:space="preserve">. at p. 1058, quoting </w:t>
      </w:r>
      <w:r w:rsidR="00E62F8E" w:rsidRPr="00601E6E">
        <w:rPr>
          <w:i/>
          <w:iCs/>
        </w:rPr>
        <w:t>Brooks</w:t>
      </w:r>
      <w:r w:rsidR="00E62F8E">
        <w:t xml:space="preserve"> at p. 1109.)  The court’s sole discretionary determination is whether </w:t>
      </w:r>
      <w:r>
        <w:t xml:space="preserve">to </w:t>
      </w:r>
      <w:r w:rsidR="00E62F8E">
        <w:t xml:space="preserve">accept the negotiated disposition or reject it.  </w:t>
      </w:r>
      <w:r>
        <w:t>“</w:t>
      </w:r>
      <w:r w:rsidR="00E62F8E">
        <w:t>Should the court consider the plea bargain to be unacceptable, its remedy is to reject it, not to violate it, directly or indirectly.</w:t>
      </w:r>
      <w:r w:rsidR="002F7FC8">
        <w:t xml:space="preserve">’ </w:t>
      </w:r>
      <w:r w:rsidR="00E62F8E">
        <w:t>”  (</w:t>
      </w:r>
      <w:r w:rsidR="00C51F46">
        <w:rPr>
          <w:i/>
          <w:iCs/>
        </w:rPr>
        <w:t>Ibi</w:t>
      </w:r>
      <w:r w:rsidR="008A1B98" w:rsidRPr="00133D16">
        <w:rPr>
          <w:i/>
          <w:iCs/>
        </w:rPr>
        <w:t>d.</w:t>
      </w:r>
      <w:r w:rsidR="008A1B98">
        <w:t xml:space="preserve">, quoting </w:t>
      </w:r>
      <w:r w:rsidR="00E62F8E" w:rsidRPr="00601E6E">
        <w:rPr>
          <w:i/>
          <w:iCs/>
        </w:rPr>
        <w:t>People v. Cunningham</w:t>
      </w:r>
      <w:r w:rsidR="00E62F8E">
        <w:t xml:space="preserve"> (1996) 49 Cal.App.4th 1044, 1047.)  </w:t>
      </w:r>
    </w:p>
    <w:p w14:paraId="72179E11" w14:textId="746EE2A8" w:rsidR="001F133F" w:rsidRDefault="00EB4BDA" w:rsidP="00334CCD">
      <w:r>
        <w:tab/>
      </w:r>
      <w:r w:rsidR="00E62F8E">
        <w:t xml:space="preserve">Examining the language of amended section 1170, subdivision (b)(1), the </w:t>
      </w:r>
      <w:r w:rsidR="00E62F8E" w:rsidRPr="009049AA">
        <w:rPr>
          <w:i/>
          <w:iCs/>
        </w:rPr>
        <w:t xml:space="preserve">Mitchell </w:t>
      </w:r>
      <w:r w:rsidR="00E62F8E">
        <w:t xml:space="preserve">court </w:t>
      </w:r>
      <w:r w:rsidR="003E5A57">
        <w:t>observed</w:t>
      </w:r>
      <w:r w:rsidR="00E62F8E">
        <w:t xml:space="preserve"> that the statute </w:t>
      </w:r>
      <w:r w:rsidR="009E1F34">
        <w:t>provides</w:t>
      </w:r>
      <w:r w:rsidR="00E62F8E">
        <w:t xml:space="preserve"> the trial court “shall, in it</w:t>
      </w:r>
      <w:r w:rsidR="00597DD7">
        <w:t>s</w:t>
      </w:r>
      <w:r w:rsidR="00E62F8E">
        <w:t xml:space="preserve"> sound discretion, order imposition of a sentence not to exceed the middle term except as other provided in paragraph</w:t>
      </w:r>
      <w:r w:rsidR="009E1F34">
        <w:t xml:space="preserve"> </w:t>
      </w:r>
      <w:r w:rsidR="00E62F8E">
        <w:t xml:space="preserve">(2).”  </w:t>
      </w:r>
      <w:r w:rsidR="009E1F34">
        <w:t>T</w:t>
      </w:r>
      <w:r w:rsidR="00E62F8E">
        <w:t xml:space="preserve">he </w:t>
      </w:r>
      <w:r w:rsidR="009E1F34">
        <w:t>court deduced</w:t>
      </w:r>
      <w:r w:rsidR="00E62F8E">
        <w:t xml:space="preserve"> “[t]his language indicates that the statute was not intended to apply to sentences imposed pursuant to a stipulated plea agreement, as the trial court lacks discretion to select the sentence in the first place.”</w:t>
      </w:r>
      <w:r w:rsidR="0045497E">
        <w:t xml:space="preserve">  (</w:t>
      </w:r>
      <w:r w:rsidR="0045497E" w:rsidRPr="009049AA">
        <w:rPr>
          <w:i/>
          <w:iCs/>
        </w:rPr>
        <w:t>Mitchell</w:t>
      </w:r>
      <w:r w:rsidR="0045497E">
        <w:t xml:space="preserve">, </w:t>
      </w:r>
      <w:r w:rsidR="0045497E" w:rsidRPr="009049AA">
        <w:rPr>
          <w:i/>
          <w:iCs/>
        </w:rPr>
        <w:t>supra</w:t>
      </w:r>
      <w:r w:rsidR="0045497E">
        <w:t xml:space="preserve">, </w:t>
      </w:r>
      <w:r w:rsidR="00986B2D" w:rsidRPr="00986B2D">
        <w:t xml:space="preserve">83 Cal.App.5th </w:t>
      </w:r>
      <w:r w:rsidR="0045497E">
        <w:t>at p.</w:t>
      </w:r>
      <w:r w:rsidR="003226AC">
        <w:t> </w:t>
      </w:r>
      <w:r w:rsidR="0045497E">
        <w:t xml:space="preserve">1058.)  </w:t>
      </w:r>
      <w:r w:rsidR="009E1F34">
        <w:t>B</w:t>
      </w:r>
      <w:r w:rsidR="005615A2" w:rsidRPr="005615A2">
        <w:t>ecause the</w:t>
      </w:r>
      <w:r w:rsidR="00452E39">
        <w:t xml:space="preserve"> trial</w:t>
      </w:r>
      <w:r w:rsidR="005615A2" w:rsidRPr="005615A2">
        <w:t xml:space="preserve"> court exercised no triad sentencing discretion in imposing the sentence under the plea agreement, </w:t>
      </w:r>
      <w:r w:rsidR="00452E39">
        <w:t>it</w:t>
      </w:r>
      <w:r w:rsidR="005615A2" w:rsidRPr="005615A2">
        <w:t xml:space="preserve"> could not “effectively withdraw its approval by later modifying the terms of the agreement</w:t>
      </w:r>
      <w:r w:rsidR="00BE5716">
        <w:t xml:space="preserve"> </w:t>
      </w:r>
      <w:r w:rsidR="00623EAE">
        <w:t>it had approved.</w:t>
      </w:r>
      <w:r w:rsidR="006A0D43">
        <w:t>”</w:t>
      </w:r>
      <w:r w:rsidR="005615A2" w:rsidRPr="005615A2">
        <w:t xml:space="preserve">  (</w:t>
      </w:r>
      <w:r w:rsidR="0040423E">
        <w:rPr>
          <w:i/>
          <w:iCs/>
        </w:rPr>
        <w:t>Ibid</w:t>
      </w:r>
      <w:r w:rsidR="00C322CB">
        <w:rPr>
          <w:i/>
          <w:iCs/>
        </w:rPr>
        <w:t>.</w:t>
      </w:r>
      <w:r w:rsidR="005615A2" w:rsidRPr="005615A2">
        <w:t xml:space="preserve">, quoting </w:t>
      </w:r>
      <w:r w:rsidR="005615A2" w:rsidRPr="009B0868">
        <w:rPr>
          <w:i/>
          <w:iCs/>
        </w:rPr>
        <w:t>Brooks</w:t>
      </w:r>
      <w:r w:rsidR="0040423E">
        <w:rPr>
          <w:i/>
          <w:iCs/>
        </w:rPr>
        <w:t xml:space="preserve">, supra, </w:t>
      </w:r>
      <w:r w:rsidR="005615A2" w:rsidRPr="005615A2">
        <w:t xml:space="preserve">58 Cal.App.5th </w:t>
      </w:r>
      <w:r w:rsidR="00211330">
        <w:t>at p.</w:t>
      </w:r>
      <w:r w:rsidR="005615A2" w:rsidRPr="005615A2">
        <w:t xml:space="preserve"> 1107.)  </w:t>
      </w:r>
      <w:r w:rsidR="00513597">
        <w:t>B</w:t>
      </w:r>
      <w:r w:rsidR="0045497E">
        <w:t>ased on the language of amended section 1170, subdivision (b), its legislative history, and the limitations placed on the trial court’s discretion when imposing a sentence under a negotiated plea, t</w:t>
      </w:r>
      <w:r w:rsidR="00143656">
        <w:t xml:space="preserve">he </w:t>
      </w:r>
      <w:r w:rsidR="00143656" w:rsidRPr="006A0D43">
        <w:rPr>
          <w:i/>
          <w:iCs/>
        </w:rPr>
        <w:t>Mitchell</w:t>
      </w:r>
      <w:r w:rsidR="006A0D43">
        <w:t xml:space="preserve"> court</w:t>
      </w:r>
      <w:r w:rsidR="00143656">
        <w:t xml:space="preserve"> determined </w:t>
      </w:r>
      <w:r w:rsidR="005615A2" w:rsidRPr="005615A2">
        <w:t>there had been no occasion under the stipulated plea to find any aggravated facts to support imposition of the upper term at the defendant’s sentencing,</w:t>
      </w:r>
      <w:r w:rsidR="00FA39F1">
        <w:t xml:space="preserve"> </w:t>
      </w:r>
      <w:r w:rsidR="005615A2" w:rsidRPr="005615A2">
        <w:t>the court had exercised no discretion, and therefore the defendant was not entitled to relief under the statutory changes effected by Senate Bill No. 567.  (</w:t>
      </w:r>
      <w:r w:rsidR="003226AC">
        <w:rPr>
          <w:i/>
          <w:iCs/>
        </w:rPr>
        <w:t>Mitchell, supra</w:t>
      </w:r>
      <w:r w:rsidR="003226AC" w:rsidRPr="003226AC">
        <w:t>,</w:t>
      </w:r>
      <w:r w:rsidR="005615A2" w:rsidRPr="005615A2">
        <w:t xml:space="preserve"> at </w:t>
      </w:r>
      <w:r w:rsidR="00091D30">
        <w:t>p. 1059</w:t>
      </w:r>
      <w:r w:rsidR="005615A2" w:rsidRPr="005615A2">
        <w:t>.)</w:t>
      </w:r>
      <w:r>
        <w:t xml:space="preserve"> </w:t>
      </w:r>
    </w:p>
    <w:p w14:paraId="15D5613E" w14:textId="46BEAFB3" w:rsidR="00A05FB0" w:rsidRDefault="00EB4BDA" w:rsidP="00334CCD">
      <w:r>
        <w:tab/>
        <w:t xml:space="preserve">We </w:t>
      </w:r>
      <w:r w:rsidR="0045497E">
        <w:t xml:space="preserve">respectfully </w:t>
      </w:r>
      <w:r>
        <w:t xml:space="preserve">disagree with the rationale of </w:t>
      </w:r>
      <w:r w:rsidRPr="009835C1">
        <w:rPr>
          <w:i/>
          <w:iCs/>
        </w:rPr>
        <w:t>Mitchell</w:t>
      </w:r>
      <w:r w:rsidR="0045497E">
        <w:t xml:space="preserve"> and conclude that its reliance on </w:t>
      </w:r>
      <w:r w:rsidR="0045497E" w:rsidRPr="00395ADA">
        <w:rPr>
          <w:i/>
          <w:iCs/>
        </w:rPr>
        <w:t>Brooks</w:t>
      </w:r>
      <w:r w:rsidR="0045497E">
        <w:t xml:space="preserve"> is misplaced.  </w:t>
      </w:r>
      <w:r w:rsidR="00C95151" w:rsidRPr="009835C1">
        <w:rPr>
          <w:i/>
          <w:iCs/>
        </w:rPr>
        <w:t>Brooks</w:t>
      </w:r>
      <w:r w:rsidR="00C95151">
        <w:t xml:space="preserve"> involved the application of</w:t>
      </w:r>
      <w:r w:rsidR="00823B39">
        <w:t xml:space="preserve"> section 1170.91, a</w:t>
      </w:r>
      <w:r w:rsidR="00EE3F2B">
        <w:t xml:space="preserve"> </w:t>
      </w:r>
      <w:r w:rsidR="00823B39">
        <w:lastRenderedPageBreak/>
        <w:t xml:space="preserve">statute that </w:t>
      </w:r>
      <w:r w:rsidR="00C60F2D">
        <w:t>require</w:t>
      </w:r>
      <w:r w:rsidR="008D551B">
        <w:t>s</w:t>
      </w:r>
      <w:r w:rsidR="00C60F2D">
        <w:t xml:space="preserve"> consideration of</w:t>
      </w:r>
      <w:r w:rsidR="00CA4830">
        <w:t xml:space="preserve"> trauma resulting from military service</w:t>
      </w:r>
      <w:r w:rsidR="00D87CEB">
        <w:t xml:space="preserve"> as a mitigating factor when a court exercises determinat</w:t>
      </w:r>
      <w:r w:rsidR="00FD0A47">
        <w:t>e sentencing triad discretion.  (</w:t>
      </w:r>
      <w:r w:rsidR="00FD0A47" w:rsidRPr="009835C1">
        <w:rPr>
          <w:i/>
          <w:iCs/>
        </w:rPr>
        <w:t>Brooks</w:t>
      </w:r>
      <w:r w:rsidR="00FD0A47">
        <w:t xml:space="preserve">, </w:t>
      </w:r>
      <w:r w:rsidR="00FD0A47" w:rsidRPr="009835C1">
        <w:rPr>
          <w:i/>
          <w:iCs/>
        </w:rPr>
        <w:t>supra</w:t>
      </w:r>
      <w:r w:rsidR="00FD0A47">
        <w:t xml:space="preserve">, 58 Cal.App.5th at p. </w:t>
      </w:r>
      <w:r w:rsidR="00BB5430">
        <w:t xml:space="preserve">1104.)  </w:t>
      </w:r>
      <w:r w:rsidR="003E5A57">
        <w:t>But</w:t>
      </w:r>
      <w:r w:rsidR="00AC1AFB">
        <w:t xml:space="preserve"> section 1170, subdivision (b) </w:t>
      </w:r>
      <w:r w:rsidR="00352CEC">
        <w:t xml:space="preserve">does not </w:t>
      </w:r>
      <w:r w:rsidR="003E5A57">
        <w:t xml:space="preserve">merely </w:t>
      </w:r>
      <w:r w:rsidR="00352CEC">
        <w:t xml:space="preserve">add additional </w:t>
      </w:r>
      <w:r w:rsidR="0045497E">
        <w:t>factor</w:t>
      </w:r>
      <w:r w:rsidR="009E1F34">
        <w:t>s</w:t>
      </w:r>
      <w:r w:rsidR="0045497E">
        <w:t xml:space="preserve"> to be considered </w:t>
      </w:r>
      <w:r w:rsidR="00C367FE">
        <w:t xml:space="preserve">among many </w:t>
      </w:r>
      <w:r w:rsidR="0045497E">
        <w:t xml:space="preserve">in the </w:t>
      </w:r>
      <w:r w:rsidR="00C367FE">
        <w:t xml:space="preserve">trial court’s </w:t>
      </w:r>
      <w:r w:rsidR="0045497E">
        <w:t>sentencing determination</w:t>
      </w:r>
      <w:r w:rsidR="00C367FE">
        <w:t>.  It</w:t>
      </w:r>
      <w:r w:rsidR="009E1F34">
        <w:t xml:space="preserve"> prohibits the imposition of the upper-term sentence </w:t>
      </w:r>
      <w:r w:rsidR="003E5A57">
        <w:t>absent specific findings</w:t>
      </w:r>
      <w:r w:rsidR="00C367FE">
        <w:t>.  The court may impose such a sentence “only when there are circumstances in aggravation of the crime that justify” that choice, and only where “the facts underlying those circumstances have been stipulated to by the defendant, or have been found true beyond a reasonable doubt at trial by the jury or by the judge in a court trial.”  (§ 1170, subd. (b)(2).)</w:t>
      </w:r>
      <w:r w:rsidR="00513597">
        <w:t xml:space="preserve">  </w:t>
      </w:r>
      <w:r w:rsidR="003E5A57">
        <w:t xml:space="preserve">Absent </w:t>
      </w:r>
      <w:r w:rsidR="00C367FE">
        <w:t xml:space="preserve">the finding and articulation of </w:t>
      </w:r>
      <w:r w:rsidR="00E278C5">
        <w:t xml:space="preserve">such </w:t>
      </w:r>
      <w:r w:rsidR="00C367FE">
        <w:t xml:space="preserve">justification </w:t>
      </w:r>
      <w:r w:rsidR="00513597">
        <w:t>and facts</w:t>
      </w:r>
      <w:r w:rsidR="00022137">
        <w:t>, or a valid waiver of these new requirements</w:t>
      </w:r>
      <w:r w:rsidR="003E5A57">
        <w:t>, the imposition of the aggravated term is outside the discretion of the sentencing court</w:t>
      </w:r>
      <w:r w:rsidR="002D27BE">
        <w:t xml:space="preserve"> under newly</w:t>
      </w:r>
      <w:r w:rsidR="00E01F89">
        <w:t>-</w:t>
      </w:r>
      <w:r w:rsidR="002D27BE">
        <w:t>amended section 1170, subdivision (b)</w:t>
      </w:r>
      <w:r w:rsidR="003E5A57">
        <w:t xml:space="preserve">.  In </w:t>
      </w:r>
      <w:r w:rsidR="003E5A57" w:rsidRPr="003221E7">
        <w:rPr>
          <w:i/>
          <w:iCs/>
        </w:rPr>
        <w:t>Brooks</w:t>
      </w:r>
      <w:r w:rsidR="003E5A57">
        <w:t xml:space="preserve">, the plea bargain resulted in </w:t>
      </w:r>
      <w:r w:rsidR="00513597">
        <w:t>a sentence that was within the boundaries of the Penal Code’s sentencing structure</w:t>
      </w:r>
      <w:r w:rsidR="003E5A57">
        <w:t xml:space="preserve">.  Here, the imposition of the aggravated term </w:t>
      </w:r>
      <w:r w:rsidR="00C367FE">
        <w:t>exceeds</w:t>
      </w:r>
      <w:r w:rsidR="003E5A57">
        <w:t xml:space="preserve"> the court’s </w:t>
      </w:r>
      <w:r w:rsidR="00C367FE">
        <w:t>authority</w:t>
      </w:r>
      <w:r w:rsidR="003E5A57">
        <w:t xml:space="preserve"> unless the statutory prerequisites are met</w:t>
      </w:r>
      <w:r w:rsidR="00513597">
        <w:t xml:space="preserve"> </w:t>
      </w:r>
      <w:r w:rsidR="00022137">
        <w:t xml:space="preserve">or waived </w:t>
      </w:r>
      <w:r w:rsidR="00513597">
        <w:t xml:space="preserve">because the aggravated term cannot be imposed absent the </w:t>
      </w:r>
      <w:r w:rsidR="00133D16">
        <w:t xml:space="preserve">court’s </w:t>
      </w:r>
      <w:r w:rsidR="00513597">
        <w:t>finding of those circumstances</w:t>
      </w:r>
      <w:r w:rsidR="003E5A57">
        <w:t>.</w:t>
      </w:r>
      <w:r w:rsidR="001607F7">
        <w:t xml:space="preserve">  </w:t>
      </w:r>
      <w:r w:rsidR="00AC1AFB">
        <w:t xml:space="preserve"> </w:t>
      </w:r>
    </w:p>
    <w:p w14:paraId="538F0F87" w14:textId="1BAF92A2" w:rsidR="004A4A80" w:rsidRDefault="00EB4BDA" w:rsidP="00334CCD">
      <w:r>
        <w:tab/>
      </w:r>
      <w:r w:rsidR="009E1F34">
        <w:t>Further, t</w:t>
      </w:r>
      <w:r w:rsidR="00457876">
        <w:t xml:space="preserve">he holding in </w:t>
      </w:r>
      <w:r w:rsidR="00457876" w:rsidRPr="00C34E2D">
        <w:rPr>
          <w:i/>
          <w:iCs/>
        </w:rPr>
        <w:t>Mitchell</w:t>
      </w:r>
      <w:r w:rsidR="00457876">
        <w:t xml:space="preserve"> is grounded on a theory of private contractual enforcement that is free of intrusive modification by the court.  (See </w:t>
      </w:r>
      <w:r w:rsidR="00457876" w:rsidRPr="00F05BB2">
        <w:rPr>
          <w:i/>
          <w:iCs/>
        </w:rPr>
        <w:t>Mitchell</w:t>
      </w:r>
      <w:r w:rsidR="00457876">
        <w:t xml:space="preserve">, </w:t>
      </w:r>
      <w:r w:rsidR="00457876" w:rsidRPr="00F05BB2">
        <w:rPr>
          <w:i/>
          <w:iCs/>
        </w:rPr>
        <w:t>supra</w:t>
      </w:r>
      <w:r w:rsidR="00457876">
        <w:t>, 83 Cal.App.5th at pp. 1057-1058).  But</w:t>
      </w:r>
      <w:r w:rsidR="0045497E">
        <w:t xml:space="preserve"> we are </w:t>
      </w:r>
      <w:r w:rsidR="00457876">
        <w:t>required to reconcile the newly</w:t>
      </w:r>
      <w:r w:rsidR="00B32E5B">
        <w:t>-</w:t>
      </w:r>
      <w:r w:rsidR="00457876">
        <w:t>enacted section 1170, subdivision (b)</w:t>
      </w:r>
      <w:r w:rsidR="009E1F34">
        <w:t xml:space="preserve"> </w:t>
      </w:r>
      <w:r w:rsidR="00457876">
        <w:t>under the circumstances of a plea bargain with the Legislature’s passage in 2019 of section 1016.8.  U</w:t>
      </w:r>
      <w:r w:rsidR="00DB51C2">
        <w:t xml:space="preserve">nlike the enforcement of civil </w:t>
      </w:r>
      <w:r w:rsidR="004B5638">
        <w:t>contrac</w:t>
      </w:r>
      <w:r w:rsidR="00DB51C2">
        <w:t xml:space="preserve">ts, “[t]he </w:t>
      </w:r>
      <w:r w:rsidR="006C6D39" w:rsidRPr="006C6D39">
        <w:t xml:space="preserve">California Supreme Court held in </w:t>
      </w:r>
      <w:r w:rsidR="006C6D39" w:rsidRPr="006C6D39">
        <w:rPr>
          <w:i/>
          <w:iCs/>
        </w:rPr>
        <w:t>Doe v. Harris</w:t>
      </w:r>
      <w:r w:rsidR="006C6D39" w:rsidRPr="006C6D39">
        <w:t xml:space="preserve"> (2013) 57 Cal.4th 64 that, as a general rule, plea agreements are deemed to incorporate the reserve power of the state to amend the law or enact additional laws for the public good and in pursuance of public policy. </w:t>
      </w:r>
      <w:r w:rsidR="006C6D39">
        <w:t xml:space="preserve"> </w:t>
      </w:r>
      <w:r w:rsidR="006C6D39" w:rsidRPr="006C6D39">
        <w:t>That the parties enter into a plea agreement does not have the effect of insulating them from changes in the law that the Legislature has intended to apply to them.</w:t>
      </w:r>
      <w:r w:rsidR="006C6D39">
        <w:t xml:space="preserve">”  </w:t>
      </w:r>
      <w:r w:rsidR="00F95B6A">
        <w:t xml:space="preserve">(§ 1016.8, subd. (a)(1).)  </w:t>
      </w:r>
      <w:r w:rsidR="008258E3">
        <w:t>Therefore</w:t>
      </w:r>
      <w:r w:rsidR="00F95B6A">
        <w:t xml:space="preserve">, </w:t>
      </w:r>
      <w:r w:rsidR="008F03D1">
        <w:t>“</w:t>
      </w:r>
      <w:r w:rsidR="00D570F2">
        <w:t>[</w:t>
      </w:r>
      <w:r w:rsidR="008F03D1">
        <w:t>a</w:t>
      </w:r>
      <w:r w:rsidR="00D570F2">
        <w:t>]</w:t>
      </w:r>
      <w:r w:rsidR="008F03D1">
        <w:t xml:space="preserve"> </w:t>
      </w:r>
      <w:r w:rsidR="00D570F2" w:rsidRPr="00D570F2">
        <w:t xml:space="preserve">plea bargain that requires a defendant to </w:t>
      </w:r>
      <w:r w:rsidR="00D570F2" w:rsidRPr="00D570F2">
        <w:lastRenderedPageBreak/>
        <w:t>generally waive unknown future benefits of legislative enactments, initiatives, appellate decisions, or other changes in the law that may occur after the date of the plea is not knowing and intelligent.</w:t>
      </w:r>
      <w:r w:rsidR="00D570F2">
        <w:t>”  (</w:t>
      </w:r>
      <w:r w:rsidR="001C0FED">
        <w:t>§</w:t>
      </w:r>
      <w:r w:rsidR="004E65AD">
        <w:t> </w:t>
      </w:r>
      <w:r w:rsidR="001C0FED">
        <w:t xml:space="preserve">1016.8, subd. (a)(4).)  </w:t>
      </w:r>
    </w:p>
    <w:p w14:paraId="15FF9B12" w14:textId="74686931" w:rsidR="00E219AA" w:rsidRDefault="00EB4BDA">
      <w:r>
        <w:tab/>
        <w:t xml:space="preserve">There is no question that the negotiated disposition here qualifies as a plea bargain under section 1016.8.  </w:t>
      </w:r>
      <w:r w:rsidR="00D869F2">
        <w:t xml:space="preserve">Section 1016.8, subdivision (c) </w:t>
      </w:r>
      <w:r w:rsidR="008B4AAB">
        <w:t>states that “</w:t>
      </w:r>
      <w:r w:rsidR="00AF504F">
        <w:t>[</w:t>
      </w:r>
      <w:r w:rsidR="008B4AAB">
        <w:t>f</w:t>
      </w:r>
      <w:r w:rsidR="00AF504F">
        <w:t>]</w:t>
      </w:r>
      <w:r w:rsidR="008B4AAB">
        <w:t>or purposes of this section, ‘plea bargain’ has the same meaning as defined in subdivision (b</w:t>
      </w:r>
      <w:r w:rsidR="00A40BE0">
        <w:t>) of section 1192.7</w:t>
      </w:r>
      <w:r w:rsidR="003226AC">
        <w:t>.</w:t>
      </w:r>
      <w:r w:rsidR="00A40BE0">
        <w:t xml:space="preserve">”  (§ 1016.8, subd. (c)).  </w:t>
      </w:r>
      <w:r w:rsidR="00846C56">
        <w:t xml:space="preserve">Section 1192.7 in turn </w:t>
      </w:r>
      <w:r w:rsidR="00C91E2B">
        <w:t xml:space="preserve">defines plea bargaining </w:t>
      </w:r>
      <w:r w:rsidR="00186971">
        <w:t>as “</w:t>
      </w:r>
      <w:r w:rsidR="00186971" w:rsidRPr="00186971">
        <w:t xml:space="preserve">any bargaining, negotiation, or discussion between a criminal defendant, or his or her counsel, and a prosecuting attorney or judge, whereby the defendant agrees to plead guilty or nolo contendere, in exchange for any promises, commitments, concessions, assurances, </w:t>
      </w:r>
      <w:r w:rsidR="00186971" w:rsidRPr="00AE0C9C">
        <w:t>or consideration</w:t>
      </w:r>
      <w:r w:rsidR="00186971" w:rsidRPr="009835C1">
        <w:rPr>
          <w:i/>
          <w:iCs/>
        </w:rPr>
        <w:t xml:space="preserve"> </w:t>
      </w:r>
      <w:r w:rsidR="00186971" w:rsidRPr="00147438">
        <w:t>by the prosecuting attorney</w:t>
      </w:r>
      <w:r w:rsidR="00186971" w:rsidRPr="00186971">
        <w:t xml:space="preserve"> or judge relating to any charge against the defendant or to the sentencing of the defendant</w:t>
      </w:r>
      <w:r w:rsidR="00186971">
        <w:t xml:space="preserve">.”  </w:t>
      </w:r>
      <w:r w:rsidR="00AE0C9C">
        <w:t>(§ 1192.7, subd. (</w:t>
      </w:r>
      <w:r w:rsidR="00661515">
        <w:t>b</w:t>
      </w:r>
      <w:r w:rsidR="00AE0C9C">
        <w:t>).)</w:t>
      </w:r>
      <w:r w:rsidR="00133D16">
        <w:t xml:space="preserve">  T</w:t>
      </w:r>
      <w:r w:rsidR="002D27BE">
        <w:t>hus u</w:t>
      </w:r>
      <w:r>
        <w:t>nder section 1016.8, t</w:t>
      </w:r>
      <w:r w:rsidR="00A03C44">
        <w:t xml:space="preserve">he fact that the parties in this case entered into a plea agreement that was accepted by the </w:t>
      </w:r>
      <w:r w:rsidR="002D27BE">
        <w:t xml:space="preserve">sentencing </w:t>
      </w:r>
      <w:r w:rsidR="00A03C44">
        <w:t>court “</w:t>
      </w:r>
      <w:r w:rsidR="00A03C44" w:rsidRPr="00D42D51">
        <w:t>does not have the effect of insulating them</w:t>
      </w:r>
      <w:r w:rsidR="00A03C44">
        <w:t>”</w:t>
      </w:r>
      <w:r w:rsidR="00A03C44" w:rsidRPr="00D42D51">
        <w:t xml:space="preserve"> from </w:t>
      </w:r>
      <w:r w:rsidR="00A03C44">
        <w:t xml:space="preserve">these retroactive changes enacted by Senate Bill No. 567.  (§ 1016.8, subd. (a)(1).)  We are persuaded that were we to adopt the reasoning of the court in </w:t>
      </w:r>
      <w:r w:rsidR="00A03C44" w:rsidRPr="009835C1">
        <w:rPr>
          <w:i/>
          <w:iCs/>
        </w:rPr>
        <w:t>Mitchell</w:t>
      </w:r>
      <w:r w:rsidR="00A03C44">
        <w:t xml:space="preserve">, we would render </w:t>
      </w:r>
      <w:r w:rsidR="00E278C5">
        <w:t xml:space="preserve">Todd’s </w:t>
      </w:r>
      <w:r w:rsidR="00A03C44">
        <w:t>plea bargain to a stipulated sentence the very waiver of “unknown future benefits of legislative enactments” that the Legislature has deemed void as against public policy</w:t>
      </w:r>
      <w:r w:rsidR="00E278C5">
        <w:t xml:space="preserve"> because his entry of plea on those terms was not “knowing and </w:t>
      </w:r>
      <w:r w:rsidR="00986B2D">
        <w:t>intelligent</w:t>
      </w:r>
      <w:r w:rsidR="00A03C44">
        <w:t>.</w:t>
      </w:r>
      <w:r w:rsidR="00E278C5">
        <w:t>”</w:t>
      </w:r>
      <w:r w:rsidR="00A03C44">
        <w:t xml:space="preserve">  (See §</w:t>
      </w:r>
      <w:r w:rsidR="00986B2D">
        <w:t> </w:t>
      </w:r>
      <w:r w:rsidR="00A03C44">
        <w:t xml:space="preserve">1016.8, subd. (a)(4).)  </w:t>
      </w:r>
    </w:p>
    <w:p w14:paraId="268E2073" w14:textId="48E96225" w:rsidR="00825AC9" w:rsidRDefault="00EB4BDA">
      <w:r>
        <w:tab/>
      </w:r>
      <w:r w:rsidR="00A05FB0">
        <w:t xml:space="preserve">We are further persuaded that Senate Bill </w:t>
      </w:r>
      <w:r w:rsidR="00F13F29">
        <w:t>No</w:t>
      </w:r>
      <w:r w:rsidR="00A05FB0">
        <w:t>. 567 should be given effect here because</w:t>
      </w:r>
      <w:r w:rsidR="00EB0B26">
        <w:t xml:space="preserve"> t</w:t>
      </w:r>
      <w:r w:rsidR="00144836">
        <w:t>he L</w:t>
      </w:r>
      <w:r w:rsidR="00F64517">
        <w:t xml:space="preserve">egislature </w:t>
      </w:r>
      <w:r w:rsidR="00144836">
        <w:t>declined to limit the retroactive effect of this legislation</w:t>
      </w:r>
      <w:r w:rsidR="00EB0B26">
        <w:t xml:space="preserve">, which indicates its intent that the parties be bound by </w:t>
      </w:r>
      <w:r w:rsidR="00A05FB0">
        <w:t xml:space="preserve">its amendment to the sentencing </w:t>
      </w:r>
      <w:r w:rsidR="00513597">
        <w:t xml:space="preserve">provision and honor </w:t>
      </w:r>
      <w:r w:rsidR="00F25C8C">
        <w:t>section 1016.8</w:t>
      </w:r>
      <w:r w:rsidR="001B1359">
        <w:t xml:space="preserve">.  </w:t>
      </w:r>
      <w:r w:rsidR="002A2A1A">
        <w:t xml:space="preserve">(See </w:t>
      </w:r>
      <w:r w:rsidR="002A2A1A" w:rsidRPr="00A2701C">
        <w:rPr>
          <w:i/>
          <w:iCs/>
        </w:rPr>
        <w:t>Flores</w:t>
      </w:r>
      <w:r w:rsidR="002A2A1A">
        <w:t xml:space="preserve">, </w:t>
      </w:r>
      <w:r w:rsidR="002A2A1A" w:rsidRPr="00A2701C">
        <w:rPr>
          <w:i/>
          <w:iCs/>
        </w:rPr>
        <w:t>supra</w:t>
      </w:r>
      <w:r w:rsidR="002A2A1A">
        <w:t xml:space="preserve">, </w:t>
      </w:r>
      <w:r w:rsidR="00A2701C">
        <w:t>73 Cal.App.5th at p. 1039</w:t>
      </w:r>
      <w:r w:rsidR="00E57C69">
        <w:t>.</w:t>
      </w:r>
      <w:r w:rsidR="00A2701C">
        <w:t>)</w:t>
      </w:r>
      <w:r w:rsidR="004A4602">
        <w:t xml:space="preserve">  </w:t>
      </w:r>
      <w:r>
        <w:t>T</w:t>
      </w:r>
      <w:r w:rsidR="00A05FB0">
        <w:t xml:space="preserve">he Legislature </w:t>
      </w:r>
      <w:r>
        <w:t>is aware of its authority to expand and contract the retroactive</w:t>
      </w:r>
      <w:r>
        <w:t xml:space="preserve"> effect of its </w:t>
      </w:r>
      <w:r w:rsidR="008D087B">
        <w:t>amendments</w:t>
      </w:r>
      <w:r>
        <w:t xml:space="preserve"> to the sentencing laws, as it </w:t>
      </w:r>
      <w:r w:rsidR="00A05FB0">
        <w:t xml:space="preserve">has elected in certain </w:t>
      </w:r>
      <w:r w:rsidR="00513597">
        <w:t>instances</w:t>
      </w:r>
      <w:r w:rsidR="00A05FB0">
        <w:t xml:space="preserve"> to </w:t>
      </w:r>
      <w:r>
        <w:t xml:space="preserve">explicitly include or </w:t>
      </w:r>
      <w:r w:rsidR="00A05FB0">
        <w:t xml:space="preserve">exclude categories of offenders from the ameliorative benefits of </w:t>
      </w:r>
      <w:r w:rsidR="008D087B">
        <w:t>its</w:t>
      </w:r>
      <w:r w:rsidR="00513597">
        <w:t xml:space="preserve"> </w:t>
      </w:r>
      <w:r w:rsidR="00513597">
        <w:lastRenderedPageBreak/>
        <w:t>enact</w:t>
      </w:r>
      <w:r w:rsidR="008D087B">
        <w:t>ments</w:t>
      </w:r>
      <w:r w:rsidR="00A05FB0">
        <w:t xml:space="preserve">.  </w:t>
      </w:r>
      <w:r w:rsidR="00A43187">
        <w:t>(</w:t>
      </w:r>
      <w:r w:rsidR="00A43187" w:rsidRPr="005C3161">
        <w:t>See, e.g., Sen</w:t>
      </w:r>
      <w:r w:rsidR="005B28EC">
        <w:t>.</w:t>
      </w:r>
      <w:r w:rsidR="00A43187" w:rsidRPr="005C3161">
        <w:t xml:space="preserve"> Bill No. </w:t>
      </w:r>
      <w:r w:rsidRPr="005C3161">
        <w:t xml:space="preserve">81 </w:t>
      </w:r>
      <w:r w:rsidR="003527D8" w:rsidRPr="005C3161">
        <w:t>(</w:t>
      </w:r>
      <w:r w:rsidR="003856BA" w:rsidRPr="005C3161">
        <w:t>20</w:t>
      </w:r>
      <w:r w:rsidR="003856BA">
        <w:t>21</w:t>
      </w:r>
      <w:r w:rsidR="003527D8" w:rsidRPr="005C3161">
        <w:t>-</w:t>
      </w:r>
      <w:r w:rsidR="00EB4F0A" w:rsidRPr="005C3161">
        <w:t>202</w:t>
      </w:r>
      <w:r w:rsidR="00EB4F0A">
        <w:t>2</w:t>
      </w:r>
      <w:r w:rsidR="00EB4F0A" w:rsidRPr="005C3161">
        <w:t xml:space="preserve"> </w:t>
      </w:r>
      <w:r w:rsidR="003527D8" w:rsidRPr="005C3161">
        <w:t>Reg. Sess.)</w:t>
      </w:r>
      <w:r w:rsidR="005C3161">
        <w:t xml:space="preserve"> </w:t>
      </w:r>
      <w:r w:rsidRPr="005C3161">
        <w:t>[limiti</w:t>
      </w:r>
      <w:r w:rsidRPr="005C3161">
        <w:t>ng section 1385, subdivision (c) dismissal of enhancements in the furtherance of justice to “sentencings occurring after January 1, 2022”]; Sen</w:t>
      </w:r>
      <w:r w:rsidR="005B28EC">
        <w:t>.</w:t>
      </w:r>
      <w:r w:rsidRPr="005C3161">
        <w:t xml:space="preserve"> Bill </w:t>
      </w:r>
      <w:r w:rsidR="005C3161">
        <w:t xml:space="preserve">No. </w:t>
      </w:r>
      <w:r w:rsidRPr="005C3161">
        <w:t>775</w:t>
      </w:r>
      <w:r w:rsidR="00012F61">
        <w:t xml:space="preserve"> (</w:t>
      </w:r>
      <w:r w:rsidR="00120770">
        <w:t>2021-2022 Reg. Sess.)</w:t>
      </w:r>
      <w:r w:rsidRPr="005C3161">
        <w:t xml:space="preserve"> [amending section 1172.6</w:t>
      </w:r>
      <w:r w:rsidR="000C5802" w:rsidRPr="005C3161">
        <w:t>.</w:t>
      </w:r>
      <w:r w:rsidRPr="005C3161">
        <w:t xml:space="preserve"> to allow </w:t>
      </w:r>
      <w:r w:rsidR="00C44666">
        <w:t xml:space="preserve">a </w:t>
      </w:r>
      <w:r w:rsidRPr="005C3161">
        <w:t xml:space="preserve">person “whose conviction is not final” to challenge a conviction under the felony murder statute and natural and probable consequences doctrine of homicide under </w:t>
      </w:r>
      <w:r w:rsidR="00592014">
        <w:t>S</w:t>
      </w:r>
      <w:r w:rsidR="00592014" w:rsidRPr="005C3161">
        <w:t>en</w:t>
      </w:r>
      <w:r w:rsidR="005B28EC">
        <w:t>.</w:t>
      </w:r>
      <w:r w:rsidR="00592014" w:rsidRPr="005C3161">
        <w:t xml:space="preserve"> </w:t>
      </w:r>
      <w:r w:rsidRPr="005C3161">
        <w:t>Bill</w:t>
      </w:r>
      <w:r w:rsidR="00592014">
        <w:t xml:space="preserve"> No.</w:t>
      </w:r>
      <w:r w:rsidRPr="005C3161">
        <w:t xml:space="preserve"> </w:t>
      </w:r>
      <w:r w:rsidRPr="00133D16">
        <w:t>1437</w:t>
      </w:r>
      <w:r w:rsidR="00C55E3C">
        <w:t xml:space="preserve"> (</w:t>
      </w:r>
      <w:r w:rsidR="00084B64">
        <w:t>2017-2018 Reg. Sess.</w:t>
      </w:r>
      <w:r w:rsidR="005B28EC">
        <w:t>)</w:t>
      </w:r>
      <w:r>
        <w:t>]</w:t>
      </w:r>
      <w:r w:rsidR="008D087B">
        <w:t>.</w:t>
      </w:r>
      <w:r w:rsidR="000C5802">
        <w:t xml:space="preserve">) </w:t>
      </w:r>
      <w:r w:rsidR="00FE394E">
        <w:t xml:space="preserve"> </w:t>
      </w:r>
    </w:p>
    <w:p w14:paraId="2A0E0D78" w14:textId="3C670068" w:rsidR="00DD3970" w:rsidRDefault="00EB4BDA" w:rsidP="00334CCD">
      <w:r>
        <w:tab/>
      </w:r>
      <w:r w:rsidR="007168AA">
        <w:t xml:space="preserve">The </w:t>
      </w:r>
      <w:r w:rsidR="007168AA" w:rsidRPr="007168AA">
        <w:rPr>
          <w:i/>
          <w:iCs/>
        </w:rPr>
        <w:t>Mitchell</w:t>
      </w:r>
      <w:r w:rsidR="007168AA">
        <w:t xml:space="preserve"> decision</w:t>
      </w:r>
      <w:r w:rsidR="00104BB1">
        <w:t xml:space="preserve"> appropriately underscores the primacy of the plea agreement</w:t>
      </w:r>
      <w:r w:rsidR="00210C43">
        <w:t xml:space="preserve"> against discretionary judicial interference, other than acceptance or rejection.  (</w:t>
      </w:r>
      <w:r w:rsidR="00210C43" w:rsidRPr="00210C43">
        <w:rPr>
          <w:i/>
          <w:iCs/>
        </w:rPr>
        <w:t>Mitchell</w:t>
      </w:r>
      <w:r w:rsidR="00210C43">
        <w:t xml:space="preserve">, </w:t>
      </w:r>
      <w:r w:rsidR="00210C43" w:rsidRPr="00210C43">
        <w:rPr>
          <w:i/>
          <w:iCs/>
        </w:rPr>
        <w:t>supra</w:t>
      </w:r>
      <w:r w:rsidR="00210C43">
        <w:t xml:space="preserve">, </w:t>
      </w:r>
      <w:r w:rsidR="00662D89">
        <w:t xml:space="preserve">83 Cal.App.5th at p. 1058.)  </w:t>
      </w:r>
      <w:r w:rsidR="001877B2">
        <w:t xml:space="preserve">But </w:t>
      </w:r>
      <w:r w:rsidR="006639A4">
        <w:t xml:space="preserve">the relevant question </w:t>
      </w:r>
      <w:r w:rsidR="001F133F">
        <w:t xml:space="preserve">here </w:t>
      </w:r>
      <w:r w:rsidR="006639A4">
        <w:t xml:space="preserve">is </w:t>
      </w:r>
      <w:r w:rsidR="00CD4109">
        <w:t xml:space="preserve">not whether the sentencing judge is bound by the parties’ stipulated sentence, but whether Todd </w:t>
      </w:r>
      <w:r w:rsidR="001F133F">
        <w:t xml:space="preserve">is entitled to the ameliorative effect of Senate Bill No. 567’s new sentencing provisions.  </w:t>
      </w:r>
      <w:r w:rsidR="0042020B">
        <w:t xml:space="preserve">We agree with Todd that </w:t>
      </w:r>
      <w:r w:rsidR="000228BE" w:rsidRPr="00A70EC9">
        <w:rPr>
          <w:i/>
          <w:iCs/>
        </w:rPr>
        <w:t>People v. Stamps</w:t>
      </w:r>
      <w:r w:rsidR="000228BE">
        <w:t xml:space="preserve"> (2020) </w:t>
      </w:r>
      <w:r w:rsidR="00D71927">
        <w:t>9 Cal.5th 685 (</w:t>
      </w:r>
      <w:r w:rsidR="00D71927" w:rsidRPr="00A70EC9">
        <w:rPr>
          <w:i/>
          <w:iCs/>
        </w:rPr>
        <w:t>Stamps</w:t>
      </w:r>
      <w:r w:rsidR="00D71927">
        <w:t>)</w:t>
      </w:r>
      <w:r w:rsidR="0042020B">
        <w:t xml:space="preserve"> </w:t>
      </w:r>
      <w:r w:rsidR="00A03C44">
        <w:t>is</w:t>
      </w:r>
      <w:r w:rsidR="001D388A">
        <w:t xml:space="preserve"> </w:t>
      </w:r>
      <w:r w:rsidR="0042020B">
        <w:t xml:space="preserve">instructive here.  </w:t>
      </w:r>
      <w:r w:rsidR="006D3F3F">
        <w:t xml:space="preserve">In </w:t>
      </w:r>
      <w:r w:rsidR="006D3F3F" w:rsidRPr="00431C3D">
        <w:rPr>
          <w:i/>
          <w:iCs/>
        </w:rPr>
        <w:t>Stamps</w:t>
      </w:r>
      <w:r w:rsidR="006D3F3F">
        <w:t>, the defendant</w:t>
      </w:r>
      <w:r w:rsidR="00F17240">
        <w:t>,</w:t>
      </w:r>
      <w:r w:rsidR="006D3F3F">
        <w:t xml:space="preserve"> </w:t>
      </w:r>
      <w:r w:rsidR="009260FD">
        <w:t>who</w:t>
      </w:r>
      <w:r w:rsidR="00F17240">
        <w:t xml:space="preserve"> had</w:t>
      </w:r>
      <w:r w:rsidR="009260FD">
        <w:t xml:space="preserve"> pled guilty in exchange for a</w:t>
      </w:r>
      <w:r w:rsidR="00F17240">
        <w:t xml:space="preserve"> specifi</w:t>
      </w:r>
      <w:r w:rsidR="00275421">
        <w:t>ed</w:t>
      </w:r>
      <w:r w:rsidR="00F17240">
        <w:t xml:space="preserve"> term,</w:t>
      </w:r>
      <w:r w:rsidR="006D3F3F">
        <w:t xml:space="preserve"> requested </w:t>
      </w:r>
      <w:r w:rsidR="00AF37F9">
        <w:t xml:space="preserve">that his case be remanded </w:t>
      </w:r>
      <w:r w:rsidR="00427929">
        <w:t xml:space="preserve">so that the trial court could consider striking his serious felony </w:t>
      </w:r>
      <w:r w:rsidR="0042020B">
        <w:t xml:space="preserve">prior conviction </w:t>
      </w:r>
      <w:r w:rsidR="00427929">
        <w:t xml:space="preserve">under </w:t>
      </w:r>
      <w:r w:rsidR="0042020B">
        <w:t>newly</w:t>
      </w:r>
      <w:r w:rsidR="00B32E5B">
        <w:t>-</w:t>
      </w:r>
      <w:r w:rsidR="0042020B">
        <w:t>amended</w:t>
      </w:r>
      <w:r w:rsidR="00047093">
        <w:t xml:space="preserve"> section 1385</w:t>
      </w:r>
      <w:r w:rsidR="00997633">
        <w:t>, subd</w:t>
      </w:r>
      <w:r w:rsidR="00387928">
        <w:t>ivision</w:t>
      </w:r>
      <w:r w:rsidR="00997633">
        <w:t xml:space="preserve"> (a), which went into effect while his appeal was pending</w:t>
      </w:r>
      <w:r w:rsidR="006E27E9">
        <w:t xml:space="preserve">.  </w:t>
      </w:r>
      <w:r w:rsidR="00001F39">
        <w:t>(</w:t>
      </w:r>
      <w:r w:rsidR="00A20140" w:rsidRPr="00A20140">
        <w:rPr>
          <w:i/>
          <w:iCs/>
        </w:rPr>
        <w:t>Stamps</w:t>
      </w:r>
      <w:r w:rsidR="00A20140">
        <w:t xml:space="preserve">, </w:t>
      </w:r>
      <w:r w:rsidR="00387928" w:rsidRPr="00805F73">
        <w:rPr>
          <w:i/>
          <w:iCs/>
        </w:rPr>
        <w:t>supra</w:t>
      </w:r>
      <w:r w:rsidR="00387928">
        <w:t xml:space="preserve">, </w:t>
      </w:r>
      <w:r w:rsidR="00001F39">
        <w:t xml:space="preserve">9 Cal.5th at p. 692.)  </w:t>
      </w:r>
      <w:r w:rsidR="0042020B">
        <w:t>Despite Stamps’</w:t>
      </w:r>
      <w:r w:rsidR="00C5781A">
        <w:t>s</w:t>
      </w:r>
      <w:r w:rsidR="0042020B">
        <w:t xml:space="preserve"> admission of the five-year prior conviction as part of a negotiated disposition, b</w:t>
      </w:r>
      <w:r w:rsidR="003B5ECF">
        <w:t xml:space="preserve">ecause the new provision applied retroactively on appeal, </w:t>
      </w:r>
      <w:r w:rsidR="0044290E">
        <w:t xml:space="preserve">the </w:t>
      </w:r>
      <w:r w:rsidR="00730EC4">
        <w:t xml:space="preserve">Supreme Court </w:t>
      </w:r>
      <w:r w:rsidR="0044290E">
        <w:t xml:space="preserve">determined </w:t>
      </w:r>
      <w:r w:rsidR="003C1DC8">
        <w:t xml:space="preserve">that the defendant should be given the opportunity </w:t>
      </w:r>
      <w:r w:rsidR="001E5477">
        <w:t>to seek the court’s exercise of its new</w:t>
      </w:r>
      <w:r w:rsidR="00730EC4">
        <w:t>ly</w:t>
      </w:r>
      <w:r w:rsidR="00C36856">
        <w:t>-</w:t>
      </w:r>
      <w:r w:rsidR="002C5D4B">
        <w:t>authoriz</w:t>
      </w:r>
      <w:r w:rsidR="00C36856">
        <w:t>ed</w:t>
      </w:r>
      <w:r w:rsidR="001E5477">
        <w:t xml:space="preserve"> discretion under the amended section 1385.</w:t>
      </w:r>
      <w:r w:rsidR="00A15351">
        <w:t xml:space="preserve">  (</w:t>
      </w:r>
      <w:r w:rsidR="00A15351" w:rsidRPr="00A15351">
        <w:rPr>
          <w:i/>
          <w:iCs/>
        </w:rPr>
        <w:t>Id.</w:t>
      </w:r>
      <w:r w:rsidR="00A15351">
        <w:t xml:space="preserve"> at p. 707.)  </w:t>
      </w:r>
      <w:r w:rsidR="00AF37F9">
        <w:t xml:space="preserve">To be sure, </w:t>
      </w:r>
      <w:r w:rsidR="001D388A" w:rsidRPr="009835C1">
        <w:rPr>
          <w:i/>
          <w:iCs/>
        </w:rPr>
        <w:t>Stamps</w:t>
      </w:r>
      <w:r w:rsidR="001D388A">
        <w:t xml:space="preserve"> </w:t>
      </w:r>
      <w:r w:rsidR="00AF37F9">
        <w:t xml:space="preserve">concluded that the defendant was entitled to </w:t>
      </w:r>
      <w:r w:rsidR="00022137">
        <w:t xml:space="preserve">seek </w:t>
      </w:r>
      <w:r w:rsidR="00AF37F9">
        <w:t xml:space="preserve">the exercise of the trial court’s </w:t>
      </w:r>
      <w:r w:rsidR="00A03C44">
        <w:t xml:space="preserve">new </w:t>
      </w:r>
      <w:r w:rsidR="00AF37F9">
        <w:t>disc</w:t>
      </w:r>
      <w:r w:rsidR="001D388A" w:rsidRPr="00AE3584">
        <w:t>retionary authority</w:t>
      </w:r>
      <w:r w:rsidR="00A03C44">
        <w:t xml:space="preserve">.  </w:t>
      </w:r>
      <w:r w:rsidR="00AF37F9">
        <w:t>H</w:t>
      </w:r>
      <w:r w:rsidR="001D388A">
        <w:t xml:space="preserve">ere, we consider a </w:t>
      </w:r>
      <w:r w:rsidR="00A03C44">
        <w:t xml:space="preserve">statutory </w:t>
      </w:r>
      <w:r w:rsidR="001D388A">
        <w:t xml:space="preserve">amendment that </w:t>
      </w:r>
      <w:r w:rsidR="002D27BE">
        <w:t xml:space="preserve">proscribes </w:t>
      </w:r>
      <w:r w:rsidR="001D388A">
        <w:t xml:space="preserve">the </w:t>
      </w:r>
      <w:r w:rsidR="00A03C44">
        <w:t xml:space="preserve">negotiated </w:t>
      </w:r>
      <w:r w:rsidR="001D388A">
        <w:t xml:space="preserve">sentence </w:t>
      </w:r>
      <w:r w:rsidR="00A03C44">
        <w:t>agreed upon by the parties</w:t>
      </w:r>
      <w:r w:rsidR="001D388A">
        <w:t xml:space="preserve"> and accepted by the court</w:t>
      </w:r>
      <w:r w:rsidR="008D087B">
        <w:t xml:space="preserve"> absent certain conditions itemized in the new law</w:t>
      </w:r>
      <w:r w:rsidR="001D388A">
        <w:t>.  But with respect to the application of section 1016.8, subdivision (</w:t>
      </w:r>
      <w:r w:rsidR="008817F1">
        <w:t>a</w:t>
      </w:r>
      <w:r w:rsidR="001D388A">
        <w:t xml:space="preserve">)(4), we perceive no reason to treat the two circumstances differently.  </w:t>
      </w:r>
      <w:r w:rsidR="00AF37F9">
        <w:t xml:space="preserve">As in </w:t>
      </w:r>
      <w:r w:rsidR="00DB2164" w:rsidRPr="00DB2164">
        <w:rPr>
          <w:i/>
          <w:iCs/>
        </w:rPr>
        <w:t>Stamps</w:t>
      </w:r>
      <w:r w:rsidR="00605BAF">
        <w:t xml:space="preserve">, </w:t>
      </w:r>
      <w:r w:rsidR="00855CF4">
        <w:t>Todd is</w:t>
      </w:r>
      <w:r w:rsidR="00DB2164">
        <w:t xml:space="preserve"> </w:t>
      </w:r>
      <w:r w:rsidR="00855CF4">
        <w:t>entitled to remand</w:t>
      </w:r>
      <w:r w:rsidR="00381360">
        <w:t xml:space="preserve"> </w:t>
      </w:r>
      <w:r w:rsidR="00953B2D">
        <w:t>for resentencing in compliance with</w:t>
      </w:r>
      <w:r w:rsidR="00605BAF">
        <w:t xml:space="preserve"> </w:t>
      </w:r>
      <w:r w:rsidR="007A3508">
        <w:t>amended section 1170, subdivision (b)</w:t>
      </w:r>
      <w:r w:rsidR="00953B2D">
        <w:t>.</w:t>
      </w:r>
    </w:p>
    <w:p w14:paraId="7FA6D487" w14:textId="6579F40F" w:rsidR="0002045B" w:rsidRDefault="00EB4BDA" w:rsidP="0002045B">
      <w:r>
        <w:lastRenderedPageBreak/>
        <w:tab/>
      </w:r>
      <w:r w:rsidR="00AF37F9">
        <w:t>For these reasons, w</w:t>
      </w:r>
      <w:r w:rsidR="00954002">
        <w:t xml:space="preserve">e conclude that </w:t>
      </w:r>
      <w:r w:rsidR="00143B04">
        <w:t>Todd</w:t>
      </w:r>
      <w:r w:rsidR="00166F83">
        <w:t>’</w:t>
      </w:r>
      <w:r>
        <w:t xml:space="preserve">s sentence to the </w:t>
      </w:r>
      <w:r w:rsidR="008B044D">
        <w:t>aggravated</w:t>
      </w:r>
      <w:r>
        <w:t xml:space="preserve"> term </w:t>
      </w:r>
      <w:r w:rsidR="00F25C8C">
        <w:t xml:space="preserve">as a </w:t>
      </w:r>
      <w:r w:rsidR="00954002">
        <w:t xml:space="preserve">condition </w:t>
      </w:r>
      <w:r>
        <w:t xml:space="preserve">of his negotiated plea agreement does not negate the requirements </w:t>
      </w:r>
      <w:r w:rsidR="000453B1">
        <w:t>imposed on the court by</w:t>
      </w:r>
      <w:r>
        <w:t xml:space="preserve"> amended section 1170, subdivis</w:t>
      </w:r>
      <w:r>
        <w:t>ion (b)</w:t>
      </w:r>
      <w:r w:rsidR="00F52012">
        <w:t>, which is retroactively applicable to him</w:t>
      </w:r>
      <w:r>
        <w:t xml:space="preserve">. </w:t>
      </w:r>
      <w:r w:rsidR="00C97D1D">
        <w:t xml:space="preserve"> </w:t>
      </w:r>
      <w:r>
        <w:t>The trial court sentenc</w:t>
      </w:r>
      <w:r w:rsidR="000453B1">
        <w:t>ed</w:t>
      </w:r>
      <w:r>
        <w:t xml:space="preserve"> </w:t>
      </w:r>
      <w:r w:rsidR="00EF0A40">
        <w:t>Todd</w:t>
      </w:r>
      <w:r>
        <w:t xml:space="preserve"> to the upper term based solely on the fact that the sentence was a term of </w:t>
      </w:r>
      <w:r w:rsidR="00EF0A40">
        <w:t>hi</w:t>
      </w:r>
      <w:r>
        <w:t>s negotiated plea agreement.</w:t>
      </w:r>
      <w:r w:rsidR="00C97D1D">
        <w:t xml:space="preserve"> </w:t>
      </w:r>
      <w:r>
        <w:t xml:space="preserve"> It did not state </w:t>
      </w:r>
      <w:r w:rsidR="00A86F78">
        <w:t xml:space="preserve">on the record </w:t>
      </w:r>
      <w:r>
        <w:t xml:space="preserve">that it relied upon any aggravating factors when sentencing </w:t>
      </w:r>
      <w:r w:rsidR="00EF0A40">
        <w:t>Todd</w:t>
      </w:r>
      <w:r>
        <w:t xml:space="preserve"> to </w:t>
      </w:r>
      <w:r w:rsidR="008D087B">
        <w:t>that</w:t>
      </w:r>
      <w:r>
        <w:t xml:space="preserve"> term. </w:t>
      </w:r>
      <w:r w:rsidR="00EF0A40">
        <w:t xml:space="preserve"> </w:t>
      </w:r>
      <w:r w:rsidR="00277712">
        <w:t xml:space="preserve">Because </w:t>
      </w:r>
      <w:r w:rsidR="0038351D">
        <w:t>the court’s imposition of the aggravated term</w:t>
      </w:r>
      <w:r>
        <w:t xml:space="preserve"> does not </w:t>
      </w:r>
      <w:r w:rsidR="0038351D">
        <w:t>comply with</w:t>
      </w:r>
      <w:r>
        <w:t xml:space="preserve"> the requirements of section 1170, subdivision (b), as amended by Senate Bill </w:t>
      </w:r>
      <w:r w:rsidR="003957DB">
        <w:t xml:space="preserve">No. </w:t>
      </w:r>
      <w:r>
        <w:t>567</w:t>
      </w:r>
      <w:r w:rsidR="00277712">
        <w:t xml:space="preserve">, </w:t>
      </w:r>
      <w:r w:rsidR="000713B5" w:rsidRPr="00796091">
        <w:t xml:space="preserve">remand </w:t>
      </w:r>
      <w:r w:rsidRPr="00796091">
        <w:t>for rese</w:t>
      </w:r>
      <w:r w:rsidRPr="00796091">
        <w:t>ntencing</w:t>
      </w:r>
      <w:r w:rsidR="00885ADF" w:rsidRPr="00796091">
        <w:t xml:space="preserve"> is n</w:t>
      </w:r>
      <w:r w:rsidR="006D1CD4" w:rsidRPr="00796091">
        <w:t>ot</w:t>
      </w:r>
      <w:r w:rsidR="00FD4AD9" w:rsidRPr="00796091">
        <w:t xml:space="preserve"> futile</w:t>
      </w:r>
      <w:r w:rsidR="006D1CD4" w:rsidRPr="00796091">
        <w:t>, as the Attorney General contends</w:t>
      </w:r>
      <w:r w:rsidR="008B044D" w:rsidRPr="00796091">
        <w:t xml:space="preserve">, but is </w:t>
      </w:r>
      <w:r w:rsidR="00FD4AD9" w:rsidRPr="00796091">
        <w:t>necessary for the trial court</w:t>
      </w:r>
      <w:r w:rsidR="00F271C8" w:rsidRPr="00796091">
        <w:t xml:space="preserve"> to comply with the</w:t>
      </w:r>
      <w:r w:rsidR="000D1810" w:rsidRPr="00796091">
        <w:t xml:space="preserve"> new</w:t>
      </w:r>
      <w:r w:rsidR="00F271C8" w:rsidRPr="00796091">
        <w:t xml:space="preserve"> mandates of section 1170, subdivision (b)</w:t>
      </w:r>
      <w:r w:rsidRPr="00796091">
        <w:t>.</w:t>
      </w:r>
    </w:p>
    <w:p w14:paraId="25D8B9AB" w14:textId="13E4AA0D" w:rsidR="000B506E" w:rsidRPr="00D4160B" w:rsidRDefault="00EB4BDA" w:rsidP="003226AC">
      <w:pPr>
        <w:pStyle w:val="ListParagraph"/>
        <w:numPr>
          <w:ilvl w:val="0"/>
          <w:numId w:val="1"/>
        </w:numPr>
        <w:spacing w:before="120" w:line="240" w:lineRule="auto"/>
        <w:rPr>
          <w:b/>
          <w:bCs/>
          <w:i/>
          <w:iCs/>
        </w:rPr>
      </w:pPr>
      <w:r w:rsidRPr="00D4160B">
        <w:rPr>
          <w:b/>
          <w:bCs/>
          <w:i/>
          <w:iCs/>
        </w:rPr>
        <w:t xml:space="preserve">On Remand, </w:t>
      </w:r>
      <w:r w:rsidR="00150149">
        <w:rPr>
          <w:b/>
          <w:bCs/>
          <w:i/>
          <w:iCs/>
        </w:rPr>
        <w:t xml:space="preserve">Absent Todd’s Waiver, </w:t>
      </w:r>
      <w:r w:rsidR="00D4160B" w:rsidRPr="00D4160B">
        <w:rPr>
          <w:b/>
          <w:bCs/>
          <w:i/>
          <w:iCs/>
        </w:rPr>
        <w:t>t</w:t>
      </w:r>
      <w:r w:rsidRPr="00D4160B">
        <w:rPr>
          <w:b/>
          <w:bCs/>
          <w:i/>
          <w:iCs/>
        </w:rPr>
        <w:t>he Trial Cour</w:t>
      </w:r>
      <w:r w:rsidR="00022137">
        <w:rPr>
          <w:b/>
          <w:bCs/>
          <w:i/>
          <w:iCs/>
        </w:rPr>
        <w:t>t Must Invoke the Requirements of section 1</w:t>
      </w:r>
      <w:r w:rsidR="001A3D15">
        <w:rPr>
          <w:b/>
          <w:bCs/>
          <w:i/>
          <w:iCs/>
        </w:rPr>
        <w:t>1</w:t>
      </w:r>
      <w:r w:rsidR="00022137">
        <w:rPr>
          <w:b/>
          <w:bCs/>
          <w:i/>
          <w:iCs/>
        </w:rPr>
        <w:t>70, subdivision (b)(2) and (3)</w:t>
      </w:r>
    </w:p>
    <w:p w14:paraId="42C2838D" w14:textId="61474782" w:rsidR="00E278C5" w:rsidRDefault="00EB4BDA" w:rsidP="000B506E">
      <w:r>
        <w:tab/>
      </w:r>
      <w:r w:rsidR="000B506E" w:rsidRPr="0013252A">
        <w:t xml:space="preserve">Because the trial court did not make the determination required under section 1170, subdivision (b)(1), we must remand the matter to permit </w:t>
      </w:r>
      <w:r w:rsidR="00022137">
        <w:t xml:space="preserve">Todd to </w:t>
      </w:r>
      <w:r w:rsidR="001A3D15">
        <w:t xml:space="preserve">waive or invoke the requirements of section 1170, subdivision (b).  </w:t>
      </w:r>
      <w:r w:rsidR="00D31F73">
        <w:t>On remand, the trial must determine whether it can give effect to the parties’ negotiated agreement under the sentencing constraints</w:t>
      </w:r>
      <w:r w:rsidR="00606799">
        <w:t xml:space="preserve"> we describe in this opinion</w:t>
      </w:r>
      <w:r w:rsidR="00D31F73">
        <w:t xml:space="preserve">.  </w:t>
      </w:r>
    </w:p>
    <w:p w14:paraId="6C838C74" w14:textId="46550EF5" w:rsidR="00937072" w:rsidRDefault="00EB4BDA" w:rsidP="000B506E">
      <w:r>
        <w:tab/>
      </w:r>
      <w:r w:rsidR="00D31F73">
        <w:t>As</w:t>
      </w:r>
      <w:r w:rsidR="00150149">
        <w:t xml:space="preserve"> in </w:t>
      </w:r>
      <w:r w:rsidR="00150149" w:rsidRPr="008F3FF5">
        <w:rPr>
          <w:i/>
          <w:iCs/>
        </w:rPr>
        <w:t>Stamps</w:t>
      </w:r>
      <w:r w:rsidR="00150149">
        <w:t xml:space="preserve">, </w:t>
      </w:r>
      <w:r w:rsidR="001A3D15">
        <w:t xml:space="preserve">Todd may choose to freely and voluntarily waive the requirements of </w:t>
      </w:r>
      <w:r w:rsidR="00D31F73">
        <w:t>section 1170, subdivision (b)(2) and (3)</w:t>
      </w:r>
      <w:r w:rsidR="001A3D15">
        <w:t xml:space="preserve"> and accept the plea bargain</w:t>
      </w:r>
      <w:r w:rsidR="00612C87">
        <w:t>.</w:t>
      </w:r>
      <w:r w:rsidR="00D31F73">
        <w:t xml:space="preserve">  </w:t>
      </w:r>
      <w:r w:rsidR="00455535">
        <w:t xml:space="preserve">If </w:t>
      </w:r>
      <w:r w:rsidR="00D31F73">
        <w:t xml:space="preserve">Todd does not so waive, </w:t>
      </w:r>
      <w:r w:rsidR="00150149">
        <w:t xml:space="preserve">the trial court must determine whether </w:t>
      </w:r>
      <w:r w:rsidR="00D31F73">
        <w:t xml:space="preserve">there are </w:t>
      </w:r>
      <w:r w:rsidR="00150149">
        <w:t>circumstances in aggravation</w:t>
      </w:r>
      <w:r w:rsidR="00D31F73">
        <w:t xml:space="preserve"> </w:t>
      </w:r>
      <w:r w:rsidR="00606799">
        <w:t xml:space="preserve">as described in </w:t>
      </w:r>
      <w:r w:rsidR="00D31F73">
        <w:t xml:space="preserve">section 1170, subdivision (b)(2) and (3) that justify the imposition of the upper term sentence </w:t>
      </w:r>
      <w:r>
        <w:t xml:space="preserve">under the plea bargain </w:t>
      </w:r>
      <w:r w:rsidR="00D31F73">
        <w:t>and</w:t>
      </w:r>
      <w:r w:rsidR="00150149">
        <w:t xml:space="preserve"> </w:t>
      </w:r>
      <w:r w:rsidR="008741B1">
        <w:t>state its facts and reasons on the record</w:t>
      </w:r>
      <w:r w:rsidR="000B506E" w:rsidRPr="0013252A">
        <w:t xml:space="preserve">. </w:t>
      </w:r>
      <w:r w:rsidR="00D3452F">
        <w:t xml:space="preserve"> </w:t>
      </w:r>
      <w:r w:rsidR="000B506E" w:rsidRPr="0013252A">
        <w:t>If the trial court conclude</w:t>
      </w:r>
      <w:r w:rsidR="00597DD7">
        <w:t>s</w:t>
      </w:r>
      <w:r w:rsidR="000B506E" w:rsidRPr="0013252A">
        <w:t xml:space="preserve"> that there are</w:t>
      </w:r>
      <w:r w:rsidR="00597DD7">
        <w:t xml:space="preserve"> no</w:t>
      </w:r>
      <w:r w:rsidR="000B506E" w:rsidRPr="0013252A">
        <w:t xml:space="preserve"> circumstances in aggravation of the crime that justify the imposition of a term of imprisonment exceeding the middle term</w:t>
      </w:r>
      <w:r w:rsidR="008D087B">
        <w:t>,</w:t>
      </w:r>
      <w:r w:rsidR="001960D8" w:rsidRPr="001960D8">
        <w:t xml:space="preserve"> </w:t>
      </w:r>
      <w:r w:rsidR="001960D8" w:rsidRPr="0013252A">
        <w:t>it cannot impose the upper term</w:t>
      </w:r>
      <w:r w:rsidR="001960D8">
        <w:t xml:space="preserve">.  </w:t>
      </w:r>
      <w:r w:rsidR="00D31F73">
        <w:t>Absent a waiver from Todd, t</w:t>
      </w:r>
      <w:r w:rsidR="002D27BE">
        <w:t xml:space="preserve">he facts to justify the imposition of the upper term must comply with the requirements of </w:t>
      </w:r>
      <w:r w:rsidR="001960D8">
        <w:t>section 1170, subdivision (b)(2) and (3)</w:t>
      </w:r>
      <w:r w:rsidR="002D27BE">
        <w:t xml:space="preserve">, i.e., </w:t>
      </w:r>
      <w:r w:rsidR="001960D8">
        <w:t xml:space="preserve">be garnered from </w:t>
      </w:r>
      <w:r w:rsidR="002D27BE">
        <w:t>the parties’</w:t>
      </w:r>
      <w:r w:rsidR="001960D8">
        <w:t xml:space="preserve"> stipulation, or result from the defendant’s prior </w:t>
      </w:r>
      <w:r w:rsidR="001960D8">
        <w:lastRenderedPageBreak/>
        <w:t xml:space="preserve">convictions based on a certified record of conviction, if any, </w:t>
      </w:r>
      <w:r w:rsidR="002D27BE">
        <w:t>or</w:t>
      </w:r>
      <w:r w:rsidR="001960D8">
        <w:t xml:space="preserve"> </w:t>
      </w:r>
      <w:r w:rsidR="00133D16">
        <w:t xml:space="preserve">from </w:t>
      </w:r>
      <w:r w:rsidR="001960D8">
        <w:t>f</w:t>
      </w:r>
      <w:r w:rsidR="0047751F">
        <w:t xml:space="preserve">acts </w:t>
      </w:r>
      <w:r w:rsidR="00597DD7">
        <w:t>“found true beyond a reasonable doubt at trial by the jury or by the judge in a court trial</w:t>
      </w:r>
      <w:r w:rsidR="001960D8">
        <w:t>.”</w:t>
      </w:r>
      <w:r w:rsidR="00597DD7">
        <w:t xml:space="preserve"> </w:t>
      </w:r>
      <w:r w:rsidR="001960D8">
        <w:t xml:space="preserve"> </w:t>
      </w:r>
      <w:r w:rsidR="00597DD7">
        <w:t>(</w:t>
      </w:r>
      <w:bookmarkStart w:id="6" w:name="_Hlk126257910"/>
      <w:r w:rsidR="00597DD7">
        <w:t>§</w:t>
      </w:r>
      <w:bookmarkEnd w:id="6"/>
      <w:r w:rsidR="001960D8">
        <w:t xml:space="preserve"> </w:t>
      </w:r>
      <w:bookmarkStart w:id="7" w:name="_Hlk126257928"/>
      <w:r w:rsidR="001960D8" w:rsidRPr="009579C7">
        <w:t>1170, subd</w:t>
      </w:r>
      <w:r w:rsidR="003226AC">
        <w:t>.</w:t>
      </w:r>
      <w:r w:rsidR="001960D8" w:rsidRPr="009579C7">
        <w:t xml:space="preserve"> (b)(2)</w:t>
      </w:r>
      <w:r w:rsidR="00F25C8C">
        <w:t>, (3)</w:t>
      </w:r>
      <w:r w:rsidR="001960D8">
        <w:t>.)</w:t>
      </w:r>
      <w:bookmarkEnd w:id="7"/>
      <w:r w:rsidR="000B506E" w:rsidRPr="0013252A">
        <w:t xml:space="preserve"> </w:t>
      </w:r>
      <w:r>
        <w:t xml:space="preserve"> </w:t>
      </w:r>
    </w:p>
    <w:p w14:paraId="3102A6A0" w14:textId="77777777" w:rsidR="00D31F73" w:rsidRDefault="00EB4BDA" w:rsidP="00155132">
      <w:r>
        <w:tab/>
      </w:r>
      <w:bookmarkStart w:id="8" w:name="_Hlk118885968"/>
      <w:r w:rsidR="008B0D1C">
        <w:t>Since</w:t>
      </w:r>
      <w:r w:rsidR="000B506E" w:rsidRPr="0013252A">
        <w:t xml:space="preserve"> under the terms of the plea agreement, no term other than the upper term may be imposed</w:t>
      </w:r>
      <w:r w:rsidR="008B0D1C">
        <w:t>,</w:t>
      </w:r>
      <w:r w:rsidR="001B5947">
        <w:t xml:space="preserve"> and</w:t>
      </w:r>
      <w:r w:rsidR="008B0D1C">
        <w:t xml:space="preserve"> </w:t>
      </w:r>
      <w:r w:rsidR="001B5947">
        <w:t xml:space="preserve">the trial court is not authorized to unilaterally modify the plea agreement, </w:t>
      </w:r>
      <w:r w:rsidR="00150149">
        <w:t xml:space="preserve">unless Todd waives the requirements of the statute, </w:t>
      </w:r>
      <w:r w:rsidR="008B044D">
        <w:t>if the trial court does not find circumstances to justify the imposition of the aggravated term</w:t>
      </w:r>
      <w:r w:rsidR="001D388A">
        <w:t xml:space="preserve"> as outlined in amended section 1170, subdivision (b)</w:t>
      </w:r>
      <w:r w:rsidR="008B044D">
        <w:t xml:space="preserve">, </w:t>
      </w:r>
      <w:r w:rsidR="008B0D1C">
        <w:t>t</w:t>
      </w:r>
      <w:r w:rsidR="000B506E" w:rsidRPr="0013252A">
        <w:t xml:space="preserve">he only remedy </w:t>
      </w:r>
      <w:r w:rsidR="008B044D">
        <w:t>available to</w:t>
      </w:r>
      <w:r w:rsidR="000B506E" w:rsidRPr="0013252A">
        <w:t xml:space="preserve"> the trial court </w:t>
      </w:r>
      <w:r w:rsidR="006A74C7">
        <w:t xml:space="preserve">is </w:t>
      </w:r>
      <w:r w:rsidR="000B506E" w:rsidRPr="0013252A">
        <w:t>to withdraw approval for the plea agreement and return the parties to the status quo</w:t>
      </w:r>
      <w:r w:rsidR="000B506E">
        <w:t>.</w:t>
      </w:r>
      <w:r w:rsidR="006A74C7">
        <w:t xml:space="preserve"> </w:t>
      </w:r>
      <w:r w:rsidR="002E725D">
        <w:t xml:space="preserve"> </w:t>
      </w:r>
      <w:r w:rsidR="002E725D" w:rsidRPr="0013252A">
        <w:t>(</w:t>
      </w:r>
      <w:r w:rsidR="002E725D" w:rsidRPr="00EC59F3">
        <w:rPr>
          <w:i/>
          <w:iCs/>
        </w:rPr>
        <w:t>Stamps</w:t>
      </w:r>
      <w:r w:rsidR="002E725D" w:rsidRPr="00EC59F3">
        <w:t xml:space="preserve">, </w:t>
      </w:r>
      <w:r w:rsidR="005C0A3B" w:rsidRPr="00EC59F3">
        <w:rPr>
          <w:i/>
          <w:iCs/>
        </w:rPr>
        <w:t>supra</w:t>
      </w:r>
      <w:r w:rsidR="005C0A3B" w:rsidRPr="00EC59F3">
        <w:t>,</w:t>
      </w:r>
      <w:r w:rsidR="003957DB" w:rsidRPr="00EC59F3">
        <w:t xml:space="preserve"> 9 Cal.5th</w:t>
      </w:r>
      <w:r w:rsidR="005C0A3B" w:rsidRPr="00EC59F3">
        <w:t xml:space="preserve"> </w:t>
      </w:r>
      <w:r w:rsidR="002E725D" w:rsidRPr="00EC59F3">
        <w:t>at p.</w:t>
      </w:r>
      <w:r w:rsidR="00923810" w:rsidRPr="00EC59F3">
        <w:t> </w:t>
      </w:r>
      <w:r w:rsidR="002E725D" w:rsidRPr="00EC59F3">
        <w:t>707</w:t>
      </w:r>
      <w:r w:rsidR="008B044D">
        <w:t>.</w:t>
      </w:r>
      <w:r w:rsidR="002E725D" w:rsidRPr="0013252A">
        <w:t>)</w:t>
      </w:r>
      <w:r w:rsidR="00022137">
        <w:t xml:space="preserve"> </w:t>
      </w:r>
    </w:p>
    <w:p w14:paraId="46E53850" w14:textId="5610A663" w:rsidR="00052A5C" w:rsidRDefault="00EB4BDA" w:rsidP="00155132">
      <w:r>
        <w:tab/>
        <w:t>We recognize that this process creates a new burden for the trial courts that was perhaps unanticipated with the adoption of Senate Bill No. 567</w:t>
      </w:r>
      <w:r w:rsidR="00606799">
        <w:t>.</w:t>
      </w:r>
      <w:r>
        <w:t xml:space="preserve">  However, we see no other reasonable interpretation that reconciles the statutes before us.</w:t>
      </w:r>
      <w:r w:rsidR="00022137">
        <w:t xml:space="preserve"> </w:t>
      </w:r>
    </w:p>
    <w:bookmarkEnd w:id="8"/>
    <w:p w14:paraId="6BE2D01E" w14:textId="5233A75E" w:rsidR="00155132" w:rsidRPr="00DD5CA6" w:rsidRDefault="00EB4BDA" w:rsidP="00906BAA">
      <w:pPr>
        <w:keepNext/>
        <w:jc w:val="center"/>
        <w:rPr>
          <w:b/>
          <w:bCs/>
        </w:rPr>
      </w:pPr>
      <w:r w:rsidRPr="00DD5CA6">
        <w:rPr>
          <w:b/>
          <w:bCs/>
        </w:rPr>
        <w:t>II</w:t>
      </w:r>
      <w:r w:rsidR="003957DB">
        <w:rPr>
          <w:b/>
          <w:bCs/>
        </w:rPr>
        <w:t>I</w:t>
      </w:r>
      <w:r w:rsidRPr="00DD5CA6">
        <w:rPr>
          <w:b/>
          <w:bCs/>
        </w:rPr>
        <w:t>.</w:t>
      </w:r>
      <w:r w:rsidRPr="00DD5CA6">
        <w:rPr>
          <w:b/>
          <w:bCs/>
        </w:rPr>
        <w:tab/>
      </w:r>
      <w:r w:rsidR="00DD5CA6" w:rsidRPr="00DD5CA6">
        <w:rPr>
          <w:b/>
          <w:bCs/>
          <w:smallCaps/>
        </w:rPr>
        <w:t>Disposition</w:t>
      </w:r>
    </w:p>
    <w:p w14:paraId="33F0B0FB" w14:textId="05A24C18" w:rsidR="00155132" w:rsidRDefault="00EB4BDA" w:rsidP="00906BAA">
      <w:pPr>
        <w:keepNext/>
      </w:pPr>
      <w:r>
        <w:tab/>
        <w:t xml:space="preserve">The judgment is reversed and </w:t>
      </w:r>
      <w:r w:rsidR="00B1137E">
        <w:t xml:space="preserve">the matter is </w:t>
      </w:r>
      <w:r>
        <w:t xml:space="preserve">remanded for resentencing under Penal Code </w:t>
      </w:r>
      <w:r w:rsidR="00923810">
        <w:t xml:space="preserve">section </w:t>
      </w:r>
      <w:r w:rsidR="00987D17">
        <w:t xml:space="preserve">1170, subdivision (b), as amended by Senate Bill </w:t>
      </w:r>
      <w:r w:rsidR="005B7176">
        <w:t xml:space="preserve">No. </w:t>
      </w:r>
      <w:r w:rsidR="00987D17">
        <w:t>567.</w:t>
      </w:r>
      <w:r>
        <w:rPr>
          <w:rStyle w:val="FootnoteReference"/>
        </w:rPr>
        <w:footnoteReference w:id="4"/>
      </w:r>
      <w:r w:rsidR="00987D17">
        <w:t xml:space="preserve"> </w:t>
      </w:r>
    </w:p>
    <w:p w14:paraId="3E4DE7E5" w14:textId="4DC6185A" w:rsidR="001C77F0" w:rsidRDefault="001C77F0" w:rsidP="00906BAA">
      <w:pPr>
        <w:keepNext/>
      </w:pPr>
    </w:p>
    <w:p w14:paraId="5E2C691D" w14:textId="77777777" w:rsidR="001C77F0" w:rsidRDefault="001C77F0" w:rsidP="00906BAA">
      <w:pPr>
        <w:keepNext/>
        <w:sectPr w:rsidR="001C77F0" w:rsidSect="004A21D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14:paraId="49D2A671" w14:textId="77777777" w:rsidR="000A54B6" w:rsidRDefault="000A54B6" w:rsidP="000A54B6">
      <w:pPr>
        <w:spacing w:line="240" w:lineRule="auto"/>
        <w:rPr>
          <w:kern w:val="2"/>
        </w:rPr>
      </w:pPr>
    </w:p>
    <w:p w14:paraId="3148147E" w14:textId="77777777" w:rsidR="000A54B6" w:rsidRDefault="000A54B6" w:rsidP="000A54B6">
      <w:pPr>
        <w:spacing w:line="240" w:lineRule="auto"/>
        <w:rPr>
          <w:kern w:val="2"/>
        </w:rPr>
      </w:pPr>
    </w:p>
    <w:p w14:paraId="3546FEA4" w14:textId="77777777" w:rsidR="000A54B6" w:rsidRDefault="00EB4BDA" w:rsidP="000A54B6">
      <w:pPr>
        <w:spacing w:line="240" w:lineRule="auto"/>
        <w:rPr>
          <w:kern w:val="2"/>
        </w:rPr>
      </w:pPr>
      <w:r>
        <w:rPr>
          <w:kern w:val="2"/>
        </w:rPr>
        <w:tab/>
      </w:r>
      <w:r>
        <w:rPr>
          <w:kern w:val="2"/>
        </w:rPr>
        <w:tab/>
      </w:r>
      <w:r>
        <w:rPr>
          <w:kern w:val="2"/>
        </w:rPr>
        <w:tab/>
      </w:r>
      <w:r>
        <w:rPr>
          <w:kern w:val="2"/>
        </w:rPr>
        <w:tab/>
      </w:r>
      <w:r>
        <w:rPr>
          <w:kern w:val="2"/>
        </w:rPr>
        <w:tab/>
      </w:r>
      <w:r>
        <w:rPr>
          <w:kern w:val="2"/>
        </w:rPr>
        <w:tab/>
        <w:t>_______________________________</w:t>
      </w:r>
    </w:p>
    <w:p w14:paraId="7FA39D62" w14:textId="77777777" w:rsidR="000A54B6" w:rsidRDefault="00EB4BDA" w:rsidP="000A54B6">
      <w:pPr>
        <w:spacing w:line="240" w:lineRule="auto"/>
        <w:rPr>
          <w:kern w:val="2"/>
        </w:rPr>
      </w:pPr>
      <w:r>
        <w:rPr>
          <w:kern w:val="2"/>
        </w:rPr>
        <w:tab/>
      </w:r>
      <w:r>
        <w:rPr>
          <w:kern w:val="2"/>
        </w:rPr>
        <w:tab/>
      </w:r>
      <w:r>
        <w:rPr>
          <w:kern w:val="2"/>
        </w:rPr>
        <w:tab/>
      </w:r>
      <w:r>
        <w:rPr>
          <w:kern w:val="2"/>
        </w:rPr>
        <w:tab/>
      </w:r>
      <w:r>
        <w:rPr>
          <w:kern w:val="2"/>
        </w:rPr>
        <w:tab/>
      </w:r>
      <w:r>
        <w:rPr>
          <w:kern w:val="2"/>
        </w:rPr>
        <w:tab/>
        <w:t>Greenwood, P. J.</w:t>
      </w:r>
    </w:p>
    <w:p w14:paraId="42D9C791" w14:textId="77777777" w:rsidR="000A54B6" w:rsidRDefault="000A54B6" w:rsidP="000A54B6">
      <w:pPr>
        <w:spacing w:line="240" w:lineRule="auto"/>
        <w:rPr>
          <w:kern w:val="2"/>
        </w:rPr>
      </w:pPr>
    </w:p>
    <w:p w14:paraId="37C9CF08" w14:textId="77777777" w:rsidR="000A54B6" w:rsidRDefault="000A54B6" w:rsidP="000A54B6">
      <w:pPr>
        <w:spacing w:line="240" w:lineRule="auto"/>
        <w:rPr>
          <w:kern w:val="2"/>
        </w:rPr>
      </w:pPr>
    </w:p>
    <w:p w14:paraId="54183913" w14:textId="77777777" w:rsidR="000A54B6" w:rsidRDefault="000A54B6" w:rsidP="000A54B6">
      <w:pPr>
        <w:spacing w:line="240" w:lineRule="auto"/>
        <w:rPr>
          <w:kern w:val="2"/>
        </w:rPr>
      </w:pPr>
    </w:p>
    <w:p w14:paraId="40527F92" w14:textId="77777777" w:rsidR="000A54B6" w:rsidRDefault="000A54B6" w:rsidP="000A54B6">
      <w:pPr>
        <w:spacing w:line="240" w:lineRule="auto"/>
        <w:rPr>
          <w:kern w:val="2"/>
        </w:rPr>
      </w:pPr>
    </w:p>
    <w:p w14:paraId="37F4CC92" w14:textId="59CB6B52" w:rsidR="000A54B6" w:rsidRDefault="00EB4BDA" w:rsidP="000A54B6">
      <w:pPr>
        <w:spacing w:line="240" w:lineRule="auto"/>
        <w:rPr>
          <w:kern w:val="2"/>
        </w:rPr>
      </w:pPr>
      <w:r>
        <w:rPr>
          <w:kern w:val="2"/>
        </w:rPr>
        <w:t>WE CONCUR:</w:t>
      </w:r>
    </w:p>
    <w:p w14:paraId="4558D049" w14:textId="77777777" w:rsidR="000A54B6" w:rsidRDefault="000A54B6" w:rsidP="000A54B6">
      <w:pPr>
        <w:spacing w:line="240" w:lineRule="auto"/>
        <w:rPr>
          <w:kern w:val="2"/>
        </w:rPr>
      </w:pPr>
    </w:p>
    <w:p w14:paraId="7B3B52CA" w14:textId="77777777" w:rsidR="000A54B6" w:rsidRDefault="000A54B6" w:rsidP="000A54B6">
      <w:pPr>
        <w:spacing w:line="240" w:lineRule="auto"/>
        <w:rPr>
          <w:kern w:val="2"/>
        </w:rPr>
      </w:pPr>
    </w:p>
    <w:p w14:paraId="2DE3FA28" w14:textId="77777777" w:rsidR="000A54B6" w:rsidRDefault="000A54B6" w:rsidP="000A54B6">
      <w:pPr>
        <w:spacing w:line="240" w:lineRule="auto"/>
        <w:rPr>
          <w:kern w:val="2"/>
        </w:rPr>
      </w:pPr>
    </w:p>
    <w:p w14:paraId="1E00A43B" w14:textId="77777777" w:rsidR="000A54B6" w:rsidRDefault="000A54B6" w:rsidP="000A54B6">
      <w:pPr>
        <w:spacing w:line="240" w:lineRule="auto"/>
        <w:rPr>
          <w:kern w:val="2"/>
        </w:rPr>
      </w:pPr>
    </w:p>
    <w:p w14:paraId="19A91ACA" w14:textId="77777777" w:rsidR="000A54B6" w:rsidRDefault="000A54B6" w:rsidP="000A54B6">
      <w:pPr>
        <w:spacing w:line="240" w:lineRule="auto"/>
        <w:rPr>
          <w:kern w:val="2"/>
        </w:rPr>
      </w:pPr>
    </w:p>
    <w:p w14:paraId="0775896F" w14:textId="6BE101F4" w:rsidR="000A54B6" w:rsidRDefault="00EB4BDA" w:rsidP="000A54B6">
      <w:pPr>
        <w:spacing w:line="240" w:lineRule="auto"/>
        <w:rPr>
          <w:kern w:val="2"/>
        </w:rPr>
      </w:pPr>
      <w:r>
        <w:rPr>
          <w:kern w:val="2"/>
        </w:rPr>
        <w:t>______________________________________</w:t>
      </w:r>
    </w:p>
    <w:p w14:paraId="432616D4" w14:textId="77777777" w:rsidR="000A54B6" w:rsidRDefault="00EB4BDA" w:rsidP="000A54B6">
      <w:pPr>
        <w:spacing w:line="240" w:lineRule="auto"/>
        <w:rPr>
          <w:kern w:val="2"/>
        </w:rPr>
      </w:pPr>
      <w:r>
        <w:rPr>
          <w:kern w:val="2"/>
        </w:rPr>
        <w:tab/>
      </w:r>
      <w:r>
        <w:t xml:space="preserve">  Lie</w:t>
      </w:r>
      <w:r>
        <w:rPr>
          <w:kern w:val="2"/>
        </w:rPr>
        <w:t>, J.</w:t>
      </w:r>
    </w:p>
    <w:p w14:paraId="2746A300" w14:textId="77777777" w:rsidR="000A54B6" w:rsidRDefault="000A54B6" w:rsidP="000A54B6">
      <w:pPr>
        <w:spacing w:line="240" w:lineRule="auto"/>
        <w:rPr>
          <w:kern w:val="2"/>
        </w:rPr>
      </w:pPr>
    </w:p>
    <w:p w14:paraId="5BE804A0" w14:textId="77777777" w:rsidR="000A54B6" w:rsidRDefault="000A54B6" w:rsidP="000A54B6">
      <w:pPr>
        <w:spacing w:line="240" w:lineRule="auto"/>
        <w:rPr>
          <w:kern w:val="2"/>
        </w:rPr>
      </w:pPr>
    </w:p>
    <w:p w14:paraId="6F064EDB" w14:textId="77777777" w:rsidR="000A54B6" w:rsidRDefault="000A54B6" w:rsidP="000A54B6">
      <w:pPr>
        <w:spacing w:line="240" w:lineRule="auto"/>
        <w:rPr>
          <w:kern w:val="2"/>
        </w:rPr>
      </w:pPr>
    </w:p>
    <w:p w14:paraId="600C1481" w14:textId="77777777" w:rsidR="000A54B6" w:rsidRDefault="000A54B6" w:rsidP="000A54B6">
      <w:pPr>
        <w:spacing w:line="240" w:lineRule="auto"/>
        <w:rPr>
          <w:kern w:val="2"/>
        </w:rPr>
      </w:pPr>
    </w:p>
    <w:p w14:paraId="4A7B76E6" w14:textId="77777777" w:rsidR="000A54B6" w:rsidRDefault="000A54B6" w:rsidP="000A54B6">
      <w:pPr>
        <w:spacing w:line="240" w:lineRule="auto"/>
        <w:rPr>
          <w:kern w:val="2"/>
        </w:rPr>
      </w:pPr>
    </w:p>
    <w:p w14:paraId="7D8D2DD1" w14:textId="77777777" w:rsidR="000A54B6" w:rsidRDefault="000A54B6" w:rsidP="000A54B6">
      <w:pPr>
        <w:spacing w:line="240" w:lineRule="auto"/>
        <w:rPr>
          <w:kern w:val="2"/>
        </w:rPr>
      </w:pPr>
    </w:p>
    <w:p w14:paraId="2C23AA15" w14:textId="77777777" w:rsidR="000A54B6" w:rsidRDefault="000A54B6" w:rsidP="000A54B6">
      <w:pPr>
        <w:spacing w:line="240" w:lineRule="auto"/>
        <w:rPr>
          <w:kern w:val="2"/>
        </w:rPr>
      </w:pPr>
    </w:p>
    <w:p w14:paraId="6F40A48B" w14:textId="77777777" w:rsidR="000A54B6" w:rsidRDefault="000A54B6" w:rsidP="000A54B6">
      <w:pPr>
        <w:spacing w:line="240" w:lineRule="auto"/>
        <w:rPr>
          <w:kern w:val="2"/>
        </w:rPr>
      </w:pPr>
    </w:p>
    <w:p w14:paraId="1DF55C30" w14:textId="77777777" w:rsidR="000A54B6" w:rsidRDefault="000A54B6" w:rsidP="000A54B6">
      <w:pPr>
        <w:spacing w:line="240" w:lineRule="auto"/>
        <w:rPr>
          <w:kern w:val="2"/>
        </w:rPr>
      </w:pPr>
    </w:p>
    <w:p w14:paraId="68DE624B" w14:textId="77777777" w:rsidR="000A54B6" w:rsidRDefault="000A54B6" w:rsidP="000A54B6">
      <w:pPr>
        <w:spacing w:line="240" w:lineRule="auto"/>
        <w:rPr>
          <w:kern w:val="2"/>
        </w:rPr>
      </w:pPr>
    </w:p>
    <w:p w14:paraId="366DD4AD" w14:textId="77777777" w:rsidR="000A54B6" w:rsidRDefault="000A54B6" w:rsidP="000A54B6">
      <w:pPr>
        <w:spacing w:line="240" w:lineRule="auto"/>
        <w:rPr>
          <w:kern w:val="2"/>
        </w:rPr>
      </w:pPr>
    </w:p>
    <w:p w14:paraId="2E84CD3C" w14:textId="3214CD53" w:rsidR="000A54B6" w:rsidRDefault="00EB4BDA" w:rsidP="000A54B6">
      <w:pPr>
        <w:spacing w:line="240" w:lineRule="auto"/>
        <w:rPr>
          <w:kern w:val="2"/>
        </w:rPr>
      </w:pPr>
      <w:r>
        <w:rPr>
          <w:kern w:val="2"/>
        </w:rPr>
        <w:t>______________________________________</w:t>
      </w:r>
    </w:p>
    <w:p w14:paraId="37C24F37" w14:textId="77777777" w:rsidR="000A54B6" w:rsidRDefault="00EB4BDA" w:rsidP="000A54B6">
      <w:pPr>
        <w:spacing w:line="240" w:lineRule="auto"/>
        <w:rPr>
          <w:kern w:val="2"/>
        </w:rPr>
      </w:pPr>
      <w:r>
        <w:rPr>
          <w:kern w:val="2"/>
        </w:rPr>
        <w:tab/>
        <w:t xml:space="preserve">  Wilson, J.</w:t>
      </w:r>
    </w:p>
    <w:p w14:paraId="3465B158" w14:textId="77777777" w:rsidR="000A54B6" w:rsidRDefault="000A54B6" w:rsidP="000A54B6">
      <w:pPr>
        <w:spacing w:line="240" w:lineRule="auto"/>
        <w:rPr>
          <w:kern w:val="2"/>
        </w:rPr>
      </w:pPr>
    </w:p>
    <w:p w14:paraId="3C5157EF" w14:textId="77777777" w:rsidR="000A54B6" w:rsidRDefault="000A54B6" w:rsidP="000A54B6">
      <w:pPr>
        <w:spacing w:line="240" w:lineRule="auto"/>
        <w:rPr>
          <w:kern w:val="2"/>
        </w:rPr>
      </w:pPr>
    </w:p>
    <w:p w14:paraId="17A732EF" w14:textId="77777777" w:rsidR="000A54B6" w:rsidRDefault="000A54B6" w:rsidP="000A54B6">
      <w:pPr>
        <w:spacing w:line="240" w:lineRule="auto"/>
        <w:rPr>
          <w:kern w:val="2"/>
        </w:rPr>
      </w:pPr>
    </w:p>
    <w:p w14:paraId="0459BCC4" w14:textId="77777777" w:rsidR="000A54B6" w:rsidRDefault="000A54B6" w:rsidP="000A54B6">
      <w:pPr>
        <w:spacing w:line="240" w:lineRule="auto"/>
        <w:rPr>
          <w:kern w:val="2"/>
        </w:rPr>
      </w:pPr>
    </w:p>
    <w:p w14:paraId="01AB58B0" w14:textId="77777777" w:rsidR="000A54B6" w:rsidRDefault="000A54B6" w:rsidP="000A54B6">
      <w:pPr>
        <w:spacing w:line="240" w:lineRule="auto"/>
        <w:rPr>
          <w:kern w:val="2"/>
        </w:rPr>
      </w:pPr>
    </w:p>
    <w:p w14:paraId="2576153B" w14:textId="77777777" w:rsidR="000A54B6" w:rsidRDefault="000A54B6" w:rsidP="000A54B6">
      <w:pPr>
        <w:spacing w:line="240" w:lineRule="auto"/>
        <w:rPr>
          <w:kern w:val="2"/>
        </w:rPr>
      </w:pPr>
    </w:p>
    <w:p w14:paraId="3E19423E" w14:textId="77777777" w:rsidR="000A54B6" w:rsidRPr="00BD53C7" w:rsidRDefault="000A54B6" w:rsidP="000A54B6">
      <w:pPr>
        <w:spacing w:line="240" w:lineRule="auto"/>
        <w:rPr>
          <w:kern w:val="2"/>
          <w:szCs w:val="26"/>
        </w:rPr>
      </w:pPr>
    </w:p>
    <w:p w14:paraId="6A0F0BC7" w14:textId="77777777" w:rsidR="000A54B6" w:rsidRPr="00BD53C7" w:rsidRDefault="000A54B6" w:rsidP="000A54B6">
      <w:pPr>
        <w:spacing w:line="240" w:lineRule="auto"/>
        <w:rPr>
          <w:kern w:val="2"/>
          <w:szCs w:val="26"/>
        </w:rPr>
      </w:pPr>
    </w:p>
    <w:p w14:paraId="68EAC921" w14:textId="77777777" w:rsidR="000A54B6" w:rsidRPr="00BD53C7" w:rsidRDefault="000A54B6" w:rsidP="000A54B6">
      <w:pPr>
        <w:spacing w:line="240" w:lineRule="auto"/>
        <w:rPr>
          <w:kern w:val="2"/>
          <w:szCs w:val="26"/>
        </w:rPr>
      </w:pPr>
    </w:p>
    <w:p w14:paraId="1232E01E" w14:textId="637A2FF2" w:rsidR="000A54B6" w:rsidRPr="00BD53C7" w:rsidRDefault="00EB4BDA" w:rsidP="000A54B6">
      <w:pPr>
        <w:spacing w:line="240" w:lineRule="auto"/>
        <w:rPr>
          <w:kern w:val="2"/>
          <w:szCs w:val="26"/>
        </w:rPr>
      </w:pPr>
      <w:r>
        <w:rPr>
          <w:kern w:val="2"/>
          <w:szCs w:val="26"/>
        </w:rPr>
        <w:t>People v. Todd</w:t>
      </w:r>
    </w:p>
    <w:p w14:paraId="43A11E92" w14:textId="618E4236" w:rsidR="001C77F0" w:rsidRDefault="00EB4BDA" w:rsidP="000A54B6">
      <w:pPr>
        <w:keepNext/>
        <w:spacing w:line="240" w:lineRule="auto"/>
      </w:pPr>
      <w:r w:rsidRPr="00AB4586">
        <w:rPr>
          <w:kern w:val="2"/>
          <w:szCs w:val="26"/>
        </w:rPr>
        <w:t>H04</w:t>
      </w:r>
      <w:r>
        <w:rPr>
          <w:kern w:val="2"/>
          <w:szCs w:val="26"/>
        </w:rPr>
        <w:t>9129</w:t>
      </w:r>
    </w:p>
    <w:p w14:paraId="0F57CD7B" w14:textId="3672A580" w:rsidR="001C77F0" w:rsidRDefault="001C77F0" w:rsidP="00906BAA">
      <w:pPr>
        <w:keepNext/>
      </w:pPr>
    </w:p>
    <w:p w14:paraId="34E9B9FA" w14:textId="77777777" w:rsidR="001C77F0" w:rsidRDefault="001C77F0" w:rsidP="00906BAA">
      <w:pPr>
        <w:keepNext/>
        <w:sectPr w:rsidR="001C77F0" w:rsidSect="004A21D9">
          <w:pgSz w:w="12240" w:h="15840"/>
          <w:pgMar w:top="1440" w:right="1440" w:bottom="1440" w:left="1440" w:header="720" w:footer="720" w:gutter="0"/>
          <w:cols w:space="720"/>
          <w:titlePg/>
          <w:docGrid w:linePitch="360"/>
        </w:sectPr>
      </w:pPr>
    </w:p>
    <w:tbl>
      <w:tblPr>
        <w:tblW w:w="9576" w:type="dxa"/>
        <w:tblLayout w:type="fixed"/>
        <w:tblLook w:val="0000" w:firstRow="0" w:lastRow="0" w:firstColumn="0" w:lastColumn="0" w:noHBand="0" w:noVBand="0"/>
      </w:tblPr>
      <w:tblGrid>
        <w:gridCol w:w="4788"/>
        <w:gridCol w:w="4788"/>
      </w:tblGrid>
      <w:tr w:rsidR="005D4BCA" w14:paraId="51FBC695" w14:textId="77777777" w:rsidTr="00025A15">
        <w:tc>
          <w:tcPr>
            <w:tcW w:w="4788" w:type="dxa"/>
          </w:tcPr>
          <w:p w14:paraId="1E9E8A9C" w14:textId="77777777" w:rsidR="00846C13" w:rsidRPr="00A00858" w:rsidRDefault="00EB4BDA" w:rsidP="00846C13">
            <w:pPr>
              <w:spacing w:line="240" w:lineRule="auto"/>
              <w:rPr>
                <w:szCs w:val="26"/>
              </w:rPr>
            </w:pPr>
            <w:bookmarkStart w:id="9" w:name="_Hlk3887996"/>
            <w:bookmarkStart w:id="10" w:name="_Hlk4570632"/>
            <w:bookmarkStart w:id="11" w:name="_Hlk4570677"/>
            <w:bookmarkStart w:id="12" w:name="_Hlk21512350"/>
            <w:bookmarkStart w:id="13" w:name="_Hlk113565457"/>
            <w:r w:rsidRPr="00A00858">
              <w:rPr>
                <w:szCs w:val="26"/>
              </w:rPr>
              <w:lastRenderedPageBreak/>
              <w:t>Trial Court:</w:t>
            </w:r>
          </w:p>
        </w:tc>
        <w:tc>
          <w:tcPr>
            <w:tcW w:w="4788" w:type="dxa"/>
          </w:tcPr>
          <w:p w14:paraId="43385252" w14:textId="77777777" w:rsidR="00846C13" w:rsidRPr="00A00858" w:rsidRDefault="00EB4BDA" w:rsidP="00846C13">
            <w:pPr>
              <w:spacing w:line="240" w:lineRule="auto"/>
              <w:rPr>
                <w:szCs w:val="26"/>
              </w:rPr>
            </w:pPr>
            <w:r w:rsidRPr="00A00858">
              <w:rPr>
                <w:szCs w:val="26"/>
              </w:rPr>
              <w:t>Santa Clara County Superior Court</w:t>
            </w:r>
          </w:p>
          <w:p w14:paraId="62BAF0D9" w14:textId="77777777" w:rsidR="00846C13" w:rsidRPr="00A00858" w:rsidRDefault="00EB4BDA" w:rsidP="00846C13">
            <w:pPr>
              <w:spacing w:line="240" w:lineRule="auto"/>
              <w:rPr>
                <w:szCs w:val="26"/>
              </w:rPr>
            </w:pPr>
            <w:r w:rsidRPr="00A00858">
              <w:rPr>
                <w:szCs w:val="26"/>
              </w:rPr>
              <w:t xml:space="preserve">Superior Court No.: </w:t>
            </w:r>
            <w:r>
              <w:rPr>
                <w:rStyle w:val="right"/>
              </w:rPr>
              <w:t>C1899027</w:t>
            </w:r>
          </w:p>
          <w:p w14:paraId="38B6A59A" w14:textId="77777777" w:rsidR="00846C13" w:rsidRPr="00A00858" w:rsidRDefault="00846C13" w:rsidP="00846C13">
            <w:pPr>
              <w:spacing w:line="240" w:lineRule="auto"/>
              <w:rPr>
                <w:szCs w:val="26"/>
              </w:rPr>
            </w:pPr>
          </w:p>
        </w:tc>
      </w:tr>
      <w:tr w:rsidR="005D4BCA" w14:paraId="57BC664E" w14:textId="77777777" w:rsidTr="00025A15">
        <w:tc>
          <w:tcPr>
            <w:tcW w:w="4788" w:type="dxa"/>
          </w:tcPr>
          <w:p w14:paraId="42FE2077" w14:textId="77777777" w:rsidR="00846C13" w:rsidRPr="00A00858" w:rsidRDefault="00EB4BDA" w:rsidP="00846C13">
            <w:pPr>
              <w:spacing w:line="240" w:lineRule="auto"/>
              <w:rPr>
                <w:szCs w:val="26"/>
              </w:rPr>
            </w:pPr>
            <w:r w:rsidRPr="00A00858">
              <w:rPr>
                <w:szCs w:val="26"/>
              </w:rPr>
              <w:t>Trial Judge:</w:t>
            </w:r>
          </w:p>
        </w:tc>
        <w:tc>
          <w:tcPr>
            <w:tcW w:w="4788" w:type="dxa"/>
          </w:tcPr>
          <w:p w14:paraId="2A304302" w14:textId="77777777" w:rsidR="00846C13" w:rsidRPr="00A00858" w:rsidRDefault="00EB4BDA" w:rsidP="00846C13">
            <w:pPr>
              <w:spacing w:line="240" w:lineRule="auto"/>
              <w:rPr>
                <w:szCs w:val="26"/>
              </w:rPr>
            </w:pPr>
            <w:r w:rsidRPr="00A00858">
              <w:rPr>
                <w:szCs w:val="26"/>
              </w:rPr>
              <w:t xml:space="preserve">The Honorable </w:t>
            </w:r>
            <w:r>
              <w:rPr>
                <w:szCs w:val="26"/>
              </w:rPr>
              <w:t>Matthew S. Harris</w:t>
            </w:r>
          </w:p>
          <w:p w14:paraId="18876C09" w14:textId="77777777" w:rsidR="00846C13" w:rsidRPr="00A00858" w:rsidRDefault="00846C13" w:rsidP="00846C13">
            <w:pPr>
              <w:spacing w:line="240" w:lineRule="auto"/>
              <w:rPr>
                <w:szCs w:val="26"/>
              </w:rPr>
            </w:pPr>
          </w:p>
          <w:p w14:paraId="1E48539D" w14:textId="77777777" w:rsidR="00846C13" w:rsidRPr="00A00858" w:rsidRDefault="00846C13" w:rsidP="00846C13">
            <w:pPr>
              <w:spacing w:line="240" w:lineRule="auto"/>
              <w:rPr>
                <w:szCs w:val="26"/>
              </w:rPr>
            </w:pPr>
          </w:p>
        </w:tc>
      </w:tr>
    </w:tbl>
    <w:p w14:paraId="71ADA7FB" w14:textId="77777777" w:rsidR="00846C13" w:rsidRPr="004C323E" w:rsidRDefault="00EB4BDA" w:rsidP="00846C13">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bookmarkStart w:id="14" w:name="_Hlk100308697"/>
      <w:bookmarkEnd w:id="9"/>
      <w:bookmarkEnd w:id="10"/>
      <w:bookmarkEnd w:id="11"/>
      <w:r w:rsidRPr="00A00858">
        <w:rPr>
          <w:szCs w:val="26"/>
        </w:rPr>
        <w:t xml:space="preserve">Attorneys for Defendant and </w:t>
      </w:r>
      <w:r w:rsidRPr="00A00858">
        <w:rPr>
          <w:szCs w:val="26"/>
        </w:rPr>
        <w:t>Appellant</w:t>
      </w:r>
      <w:r w:rsidRPr="00A00858">
        <w:rPr>
          <w:szCs w:val="26"/>
        </w:rPr>
        <w:tab/>
      </w:r>
      <w:r w:rsidRPr="004C323E">
        <w:rPr>
          <w:szCs w:val="26"/>
        </w:rPr>
        <w:t xml:space="preserve">           Gordon B. Scott </w:t>
      </w:r>
    </w:p>
    <w:p w14:paraId="3DF1991D" w14:textId="77777777" w:rsidR="00864BE4" w:rsidRPr="00864BE4" w:rsidRDefault="00EB4BDA" w:rsidP="00864BE4">
      <w:pPr>
        <w:spacing w:line="240" w:lineRule="auto"/>
        <w:rPr>
          <w:szCs w:val="26"/>
        </w:rPr>
      </w:pPr>
      <w:r w:rsidRPr="004C323E">
        <w:rPr>
          <w:szCs w:val="26"/>
        </w:rPr>
        <w:t>DANIEL KEVIN TODD:</w:t>
      </w:r>
      <w:r w:rsidRPr="004C323E">
        <w:rPr>
          <w:szCs w:val="26"/>
        </w:rPr>
        <w:tab/>
      </w:r>
      <w:r w:rsidRPr="004C323E">
        <w:rPr>
          <w:szCs w:val="26"/>
        </w:rPr>
        <w:tab/>
      </w:r>
      <w:r>
        <w:rPr>
          <w:szCs w:val="26"/>
        </w:rPr>
        <w:tab/>
      </w:r>
      <w:r>
        <w:rPr>
          <w:szCs w:val="26"/>
        </w:rPr>
        <w:tab/>
      </w:r>
      <w:r w:rsidRPr="00864BE4">
        <w:rPr>
          <w:szCs w:val="26"/>
        </w:rPr>
        <w:t xml:space="preserve">under appointment by the Court </w:t>
      </w:r>
    </w:p>
    <w:p w14:paraId="2E124CBC" w14:textId="3CE2F0F2" w:rsidR="00846C13" w:rsidRPr="004C323E" w:rsidRDefault="00EB4BDA" w:rsidP="00864BE4">
      <w:pPr>
        <w:spacing w:line="240" w:lineRule="auto"/>
        <w:rPr>
          <w:color w:val="000000"/>
          <w:szCs w:val="26"/>
        </w:rPr>
      </w:pPr>
      <w:r>
        <w:rPr>
          <w:szCs w:val="26"/>
        </w:rPr>
        <w:tab/>
      </w:r>
      <w:r>
        <w:rPr>
          <w:szCs w:val="26"/>
        </w:rPr>
        <w:tab/>
      </w:r>
      <w:r>
        <w:rPr>
          <w:szCs w:val="26"/>
        </w:rPr>
        <w:tab/>
      </w:r>
      <w:r>
        <w:rPr>
          <w:szCs w:val="26"/>
        </w:rPr>
        <w:tab/>
      </w:r>
      <w:r>
        <w:rPr>
          <w:szCs w:val="26"/>
        </w:rPr>
        <w:tab/>
      </w:r>
      <w:r>
        <w:rPr>
          <w:szCs w:val="26"/>
        </w:rPr>
        <w:tab/>
      </w:r>
      <w:r>
        <w:rPr>
          <w:szCs w:val="26"/>
        </w:rPr>
        <w:tab/>
      </w:r>
      <w:r w:rsidRPr="00864BE4">
        <w:rPr>
          <w:szCs w:val="26"/>
        </w:rPr>
        <w:t>of Appeal for Appellant</w:t>
      </w:r>
    </w:p>
    <w:p w14:paraId="0F168837" w14:textId="77777777" w:rsidR="00846C13" w:rsidRPr="00A00858" w:rsidRDefault="00EB4BDA" w:rsidP="00846C13">
      <w:pPr>
        <w:spacing w:line="240" w:lineRule="auto"/>
        <w:rPr>
          <w:szCs w:val="26"/>
        </w:rPr>
      </w:pPr>
      <w:bookmarkStart w:id="15" w:name="_Hlk100307071"/>
      <w:r w:rsidRPr="00A00858">
        <w:rPr>
          <w:szCs w:val="26"/>
        </w:rPr>
        <w:tab/>
      </w:r>
      <w:r w:rsidRPr="00A00858">
        <w:rPr>
          <w:szCs w:val="26"/>
        </w:rPr>
        <w:tab/>
      </w:r>
      <w:r w:rsidRPr="00A00858">
        <w:rPr>
          <w:szCs w:val="26"/>
        </w:rPr>
        <w:tab/>
      </w:r>
      <w:r w:rsidRPr="00A00858">
        <w:rPr>
          <w:szCs w:val="26"/>
        </w:rPr>
        <w:tab/>
      </w:r>
      <w:r w:rsidRPr="00A00858">
        <w:rPr>
          <w:szCs w:val="26"/>
        </w:rPr>
        <w:tab/>
      </w:r>
      <w:r w:rsidRPr="00A00858">
        <w:rPr>
          <w:szCs w:val="26"/>
        </w:rPr>
        <w:tab/>
      </w:r>
      <w:r w:rsidRPr="00A00858">
        <w:rPr>
          <w:szCs w:val="26"/>
        </w:rPr>
        <w:tab/>
      </w:r>
    </w:p>
    <w:bookmarkEnd w:id="14"/>
    <w:bookmarkEnd w:id="15"/>
    <w:p w14:paraId="6E745722" w14:textId="77777777" w:rsidR="00846C13" w:rsidRPr="00A00858" w:rsidRDefault="00846C13" w:rsidP="00846C13">
      <w:pPr>
        <w:spacing w:line="240" w:lineRule="auto"/>
        <w:rPr>
          <w:szCs w:val="26"/>
        </w:rPr>
      </w:pPr>
    </w:p>
    <w:p w14:paraId="003F9330" w14:textId="77777777" w:rsidR="00846C13" w:rsidRPr="00A00858" w:rsidRDefault="00846C13" w:rsidP="00846C13">
      <w:pPr>
        <w:spacing w:line="240" w:lineRule="auto"/>
        <w:rPr>
          <w:szCs w:val="26"/>
        </w:rPr>
      </w:pPr>
    </w:p>
    <w:p w14:paraId="21FE5834" w14:textId="77777777" w:rsidR="00846C13" w:rsidRPr="00A00858" w:rsidRDefault="00846C13" w:rsidP="00846C13">
      <w:pPr>
        <w:spacing w:line="240" w:lineRule="auto"/>
        <w:rPr>
          <w:szCs w:val="26"/>
        </w:rPr>
      </w:pPr>
    </w:p>
    <w:p w14:paraId="358A8C79" w14:textId="77777777" w:rsidR="00846C13" w:rsidRPr="00A00858" w:rsidRDefault="00EB4BDA" w:rsidP="00846C13">
      <w:pPr>
        <w:spacing w:line="240" w:lineRule="auto"/>
        <w:rPr>
          <w:szCs w:val="26"/>
        </w:rPr>
      </w:pPr>
      <w:r w:rsidRPr="00A00858">
        <w:rPr>
          <w:szCs w:val="26"/>
        </w:rPr>
        <w:t xml:space="preserve">Attorneys for Plaintiff and Respondent </w:t>
      </w:r>
      <w:r w:rsidRPr="00A00858">
        <w:rPr>
          <w:szCs w:val="26"/>
        </w:rPr>
        <w:tab/>
      </w:r>
      <w:r w:rsidRPr="00A00858">
        <w:rPr>
          <w:szCs w:val="26"/>
        </w:rPr>
        <w:tab/>
        <w:t>Rob Bonta,</w:t>
      </w:r>
    </w:p>
    <w:p w14:paraId="1F3BCE0F" w14:textId="77777777" w:rsidR="00846C13" w:rsidRPr="00A00858" w:rsidRDefault="00EB4BDA" w:rsidP="00846C13">
      <w:pPr>
        <w:spacing w:line="240" w:lineRule="auto"/>
        <w:rPr>
          <w:szCs w:val="26"/>
        </w:rPr>
      </w:pPr>
      <w:r w:rsidRPr="00A00858">
        <w:rPr>
          <w:szCs w:val="26"/>
        </w:rPr>
        <w:t xml:space="preserve">THE PEOPLE: </w:t>
      </w:r>
      <w:r w:rsidRPr="00A00858">
        <w:rPr>
          <w:szCs w:val="26"/>
        </w:rPr>
        <w:tab/>
      </w:r>
      <w:r w:rsidRPr="00A00858">
        <w:rPr>
          <w:szCs w:val="26"/>
        </w:rPr>
        <w:tab/>
      </w:r>
      <w:r w:rsidRPr="00A00858">
        <w:rPr>
          <w:szCs w:val="26"/>
        </w:rPr>
        <w:tab/>
      </w:r>
      <w:r w:rsidRPr="00A00858">
        <w:rPr>
          <w:szCs w:val="26"/>
        </w:rPr>
        <w:tab/>
      </w:r>
      <w:r w:rsidRPr="00A00858">
        <w:rPr>
          <w:szCs w:val="26"/>
        </w:rPr>
        <w:tab/>
        <w:t>Attorney General of California</w:t>
      </w:r>
    </w:p>
    <w:p w14:paraId="545CCF98" w14:textId="77777777" w:rsidR="00846C13" w:rsidRPr="00A00858" w:rsidRDefault="00846C13" w:rsidP="00846C13">
      <w:pPr>
        <w:spacing w:line="240" w:lineRule="auto"/>
        <w:rPr>
          <w:szCs w:val="26"/>
        </w:rPr>
      </w:pPr>
    </w:p>
    <w:p w14:paraId="0794D243" w14:textId="77777777" w:rsidR="00846C13" w:rsidRPr="00A00858" w:rsidRDefault="00EB4BDA" w:rsidP="00846C13">
      <w:pPr>
        <w:spacing w:line="240" w:lineRule="auto"/>
        <w:rPr>
          <w:szCs w:val="26"/>
        </w:rPr>
      </w:pPr>
      <w:r w:rsidRPr="00A00858">
        <w:rPr>
          <w:szCs w:val="26"/>
        </w:rPr>
        <w:tab/>
      </w:r>
      <w:r w:rsidRPr="00A00858">
        <w:rPr>
          <w:szCs w:val="26"/>
        </w:rPr>
        <w:tab/>
      </w:r>
      <w:r w:rsidRPr="00A00858">
        <w:rPr>
          <w:szCs w:val="26"/>
        </w:rPr>
        <w:tab/>
      </w:r>
      <w:r w:rsidRPr="00A00858">
        <w:rPr>
          <w:szCs w:val="26"/>
        </w:rPr>
        <w:tab/>
      </w:r>
      <w:r w:rsidRPr="00A00858">
        <w:rPr>
          <w:szCs w:val="26"/>
        </w:rPr>
        <w:tab/>
      </w:r>
      <w:r w:rsidRPr="00A00858">
        <w:rPr>
          <w:szCs w:val="26"/>
        </w:rPr>
        <w:tab/>
      </w:r>
      <w:r w:rsidRPr="00A00858">
        <w:rPr>
          <w:szCs w:val="26"/>
        </w:rPr>
        <w:tab/>
        <w:t xml:space="preserve">Lance E. </w:t>
      </w:r>
      <w:r w:rsidRPr="00A00858">
        <w:rPr>
          <w:szCs w:val="26"/>
        </w:rPr>
        <w:t>Winters,</w:t>
      </w:r>
    </w:p>
    <w:p w14:paraId="73531839" w14:textId="77777777" w:rsidR="00846C13" w:rsidRPr="00A00858" w:rsidRDefault="00EB4BDA" w:rsidP="00846C13">
      <w:pPr>
        <w:spacing w:line="240" w:lineRule="auto"/>
        <w:rPr>
          <w:szCs w:val="26"/>
        </w:rPr>
      </w:pPr>
      <w:r w:rsidRPr="00A00858">
        <w:rPr>
          <w:szCs w:val="26"/>
        </w:rPr>
        <w:tab/>
      </w:r>
      <w:r w:rsidRPr="00A00858">
        <w:rPr>
          <w:szCs w:val="26"/>
        </w:rPr>
        <w:tab/>
      </w:r>
      <w:r w:rsidRPr="00A00858">
        <w:rPr>
          <w:szCs w:val="26"/>
        </w:rPr>
        <w:tab/>
      </w:r>
      <w:r w:rsidRPr="00A00858">
        <w:rPr>
          <w:szCs w:val="26"/>
        </w:rPr>
        <w:tab/>
      </w:r>
      <w:r w:rsidRPr="00A00858">
        <w:rPr>
          <w:szCs w:val="26"/>
        </w:rPr>
        <w:tab/>
      </w:r>
      <w:r w:rsidRPr="00A00858">
        <w:rPr>
          <w:szCs w:val="26"/>
        </w:rPr>
        <w:tab/>
      </w:r>
      <w:r w:rsidRPr="00A00858">
        <w:rPr>
          <w:szCs w:val="26"/>
        </w:rPr>
        <w:tab/>
        <w:t>Chief Assistant Attorney General</w:t>
      </w:r>
    </w:p>
    <w:p w14:paraId="55D53246" w14:textId="77777777" w:rsidR="00846C13" w:rsidRPr="00A00858" w:rsidRDefault="00EB4BDA" w:rsidP="00846C13">
      <w:pPr>
        <w:spacing w:line="240" w:lineRule="auto"/>
        <w:rPr>
          <w:szCs w:val="26"/>
        </w:rPr>
      </w:pPr>
      <w:r w:rsidRPr="00A00858">
        <w:rPr>
          <w:szCs w:val="26"/>
        </w:rPr>
        <w:tab/>
      </w:r>
      <w:r w:rsidRPr="00A00858">
        <w:rPr>
          <w:szCs w:val="26"/>
        </w:rPr>
        <w:tab/>
      </w:r>
      <w:r w:rsidRPr="00A00858">
        <w:rPr>
          <w:szCs w:val="26"/>
        </w:rPr>
        <w:tab/>
      </w:r>
      <w:r w:rsidRPr="00A00858">
        <w:rPr>
          <w:szCs w:val="26"/>
        </w:rPr>
        <w:tab/>
      </w:r>
      <w:r w:rsidRPr="00A00858">
        <w:rPr>
          <w:szCs w:val="26"/>
        </w:rPr>
        <w:tab/>
      </w:r>
      <w:r w:rsidRPr="00A00858">
        <w:rPr>
          <w:szCs w:val="26"/>
        </w:rPr>
        <w:tab/>
      </w:r>
      <w:r w:rsidRPr="00A00858">
        <w:rPr>
          <w:szCs w:val="26"/>
        </w:rPr>
        <w:tab/>
      </w:r>
    </w:p>
    <w:p w14:paraId="6EF69319" w14:textId="77777777" w:rsidR="00846C13" w:rsidRPr="00A00858" w:rsidRDefault="00EB4BDA" w:rsidP="00846C13">
      <w:pPr>
        <w:spacing w:line="240" w:lineRule="auto"/>
        <w:rPr>
          <w:szCs w:val="26"/>
        </w:rPr>
      </w:pPr>
      <w:r w:rsidRPr="00A00858">
        <w:rPr>
          <w:szCs w:val="26"/>
        </w:rPr>
        <w:tab/>
      </w:r>
      <w:r w:rsidRPr="00A00858">
        <w:rPr>
          <w:szCs w:val="26"/>
        </w:rPr>
        <w:tab/>
      </w:r>
      <w:r w:rsidRPr="00A00858">
        <w:rPr>
          <w:szCs w:val="26"/>
        </w:rPr>
        <w:tab/>
      </w:r>
      <w:r w:rsidRPr="00A00858">
        <w:rPr>
          <w:szCs w:val="26"/>
        </w:rPr>
        <w:tab/>
      </w:r>
      <w:r w:rsidRPr="00A00858">
        <w:rPr>
          <w:szCs w:val="26"/>
        </w:rPr>
        <w:tab/>
      </w:r>
      <w:r w:rsidRPr="00A00858">
        <w:rPr>
          <w:szCs w:val="26"/>
        </w:rPr>
        <w:tab/>
      </w:r>
      <w:r w:rsidRPr="00A00858">
        <w:rPr>
          <w:szCs w:val="26"/>
        </w:rPr>
        <w:tab/>
      </w:r>
      <w:r w:rsidRPr="004C323E">
        <w:rPr>
          <w:szCs w:val="26"/>
        </w:rPr>
        <w:t>Jeffrey M. Laurence</w:t>
      </w:r>
      <w:r w:rsidRPr="00A00858">
        <w:rPr>
          <w:szCs w:val="26"/>
        </w:rPr>
        <w:t>,</w:t>
      </w:r>
    </w:p>
    <w:p w14:paraId="047626F6" w14:textId="77777777" w:rsidR="00846C13" w:rsidRPr="00A00858" w:rsidRDefault="00EB4BDA" w:rsidP="00846C13">
      <w:pPr>
        <w:spacing w:line="240" w:lineRule="auto"/>
        <w:rPr>
          <w:szCs w:val="26"/>
        </w:rPr>
      </w:pPr>
      <w:r w:rsidRPr="00A00858">
        <w:rPr>
          <w:szCs w:val="26"/>
        </w:rPr>
        <w:tab/>
      </w:r>
      <w:r w:rsidRPr="00A00858">
        <w:rPr>
          <w:szCs w:val="26"/>
        </w:rPr>
        <w:tab/>
      </w:r>
      <w:r w:rsidRPr="00A00858">
        <w:rPr>
          <w:szCs w:val="26"/>
        </w:rPr>
        <w:tab/>
      </w:r>
      <w:r w:rsidRPr="00A00858">
        <w:rPr>
          <w:szCs w:val="26"/>
        </w:rPr>
        <w:tab/>
      </w:r>
      <w:r w:rsidRPr="00A00858">
        <w:rPr>
          <w:szCs w:val="26"/>
        </w:rPr>
        <w:tab/>
      </w:r>
      <w:r w:rsidRPr="00A00858">
        <w:rPr>
          <w:szCs w:val="26"/>
        </w:rPr>
        <w:tab/>
      </w:r>
      <w:r w:rsidRPr="00A00858">
        <w:rPr>
          <w:szCs w:val="26"/>
        </w:rPr>
        <w:tab/>
        <w:t>Senior Assistant Attorney General</w:t>
      </w:r>
    </w:p>
    <w:p w14:paraId="43C16F07" w14:textId="77777777" w:rsidR="00846C13" w:rsidRPr="00A00858" w:rsidRDefault="00EB4BDA" w:rsidP="00846C13">
      <w:pPr>
        <w:spacing w:line="240" w:lineRule="auto"/>
        <w:rPr>
          <w:szCs w:val="26"/>
        </w:rPr>
      </w:pPr>
      <w:r w:rsidRPr="00A00858">
        <w:rPr>
          <w:szCs w:val="26"/>
        </w:rPr>
        <w:tab/>
      </w:r>
      <w:r w:rsidRPr="00A00858">
        <w:rPr>
          <w:szCs w:val="26"/>
        </w:rPr>
        <w:tab/>
      </w:r>
      <w:r w:rsidRPr="00A00858">
        <w:rPr>
          <w:szCs w:val="26"/>
        </w:rPr>
        <w:tab/>
      </w:r>
      <w:r w:rsidRPr="00A00858">
        <w:rPr>
          <w:szCs w:val="26"/>
        </w:rPr>
        <w:tab/>
      </w:r>
      <w:r w:rsidRPr="00A00858">
        <w:rPr>
          <w:szCs w:val="26"/>
        </w:rPr>
        <w:tab/>
      </w:r>
      <w:r w:rsidRPr="00A00858">
        <w:rPr>
          <w:szCs w:val="26"/>
        </w:rPr>
        <w:tab/>
      </w:r>
      <w:r w:rsidRPr="00A00858">
        <w:rPr>
          <w:szCs w:val="26"/>
        </w:rPr>
        <w:tab/>
      </w:r>
    </w:p>
    <w:p w14:paraId="6ECD3A34" w14:textId="4DE0754A" w:rsidR="00846C13" w:rsidRPr="00A00858" w:rsidRDefault="00EB4BDA" w:rsidP="00846C13">
      <w:pPr>
        <w:spacing w:line="240" w:lineRule="auto"/>
        <w:rPr>
          <w:szCs w:val="26"/>
        </w:rPr>
      </w:pPr>
      <w:r w:rsidRPr="00A00858">
        <w:rPr>
          <w:szCs w:val="26"/>
        </w:rPr>
        <w:tab/>
      </w:r>
      <w:r w:rsidRPr="00A00858">
        <w:rPr>
          <w:szCs w:val="26"/>
        </w:rPr>
        <w:tab/>
      </w:r>
      <w:r w:rsidRPr="00A00858">
        <w:rPr>
          <w:szCs w:val="26"/>
        </w:rPr>
        <w:tab/>
      </w:r>
      <w:r w:rsidRPr="00A00858">
        <w:rPr>
          <w:szCs w:val="26"/>
        </w:rPr>
        <w:tab/>
      </w:r>
      <w:r w:rsidRPr="00A00858">
        <w:rPr>
          <w:szCs w:val="26"/>
        </w:rPr>
        <w:tab/>
      </w:r>
      <w:r w:rsidRPr="00A00858">
        <w:rPr>
          <w:szCs w:val="26"/>
        </w:rPr>
        <w:tab/>
      </w:r>
      <w:r w:rsidRPr="00A00858">
        <w:rPr>
          <w:szCs w:val="26"/>
        </w:rPr>
        <w:tab/>
      </w:r>
      <w:bookmarkStart w:id="16" w:name="_Hlk113531992"/>
      <w:r>
        <w:t>Donna M. Provenzano,</w:t>
      </w:r>
      <w:r w:rsidRPr="00A00858">
        <w:rPr>
          <w:szCs w:val="26"/>
        </w:rPr>
        <w:tab/>
      </w:r>
      <w:r w:rsidRPr="00A00858">
        <w:rPr>
          <w:szCs w:val="26"/>
        </w:rPr>
        <w:tab/>
      </w:r>
      <w:r w:rsidRPr="00A00858">
        <w:rPr>
          <w:szCs w:val="26"/>
        </w:rPr>
        <w:tab/>
      </w:r>
      <w:r w:rsidRPr="00A00858">
        <w:rPr>
          <w:szCs w:val="26"/>
        </w:rPr>
        <w:tab/>
      </w:r>
      <w:r w:rsidRPr="00A00858">
        <w:rPr>
          <w:szCs w:val="26"/>
        </w:rPr>
        <w:tab/>
      </w:r>
      <w:r w:rsidRPr="00A00858">
        <w:rPr>
          <w:szCs w:val="26"/>
        </w:rPr>
        <w:tab/>
      </w:r>
      <w:r w:rsidRPr="00A00858">
        <w:rPr>
          <w:szCs w:val="26"/>
        </w:rPr>
        <w:tab/>
      </w:r>
      <w:r>
        <w:rPr>
          <w:szCs w:val="26"/>
        </w:rPr>
        <w:tab/>
      </w:r>
      <w:r>
        <w:rPr>
          <w:szCs w:val="26"/>
        </w:rPr>
        <w:tab/>
      </w:r>
      <w:r w:rsidRPr="00A00858">
        <w:rPr>
          <w:szCs w:val="26"/>
        </w:rPr>
        <w:t xml:space="preserve">Supervising Deputy Attorney </w:t>
      </w:r>
    </w:p>
    <w:p w14:paraId="523ED4DA" w14:textId="77777777" w:rsidR="00846C13" w:rsidRPr="00A00858" w:rsidRDefault="00EB4BDA" w:rsidP="00846C13">
      <w:pPr>
        <w:spacing w:line="240" w:lineRule="auto"/>
        <w:rPr>
          <w:szCs w:val="26"/>
        </w:rPr>
      </w:pPr>
      <w:r w:rsidRPr="00A00858">
        <w:rPr>
          <w:szCs w:val="26"/>
        </w:rPr>
        <w:tab/>
      </w:r>
      <w:r w:rsidRPr="00A00858">
        <w:rPr>
          <w:szCs w:val="26"/>
        </w:rPr>
        <w:tab/>
      </w:r>
      <w:r w:rsidRPr="00A00858">
        <w:rPr>
          <w:szCs w:val="26"/>
        </w:rPr>
        <w:tab/>
      </w:r>
      <w:r w:rsidRPr="00A00858">
        <w:rPr>
          <w:szCs w:val="26"/>
        </w:rPr>
        <w:tab/>
      </w:r>
      <w:r w:rsidRPr="00A00858">
        <w:rPr>
          <w:szCs w:val="26"/>
        </w:rPr>
        <w:tab/>
      </w:r>
      <w:r w:rsidRPr="00A00858">
        <w:rPr>
          <w:szCs w:val="26"/>
        </w:rPr>
        <w:tab/>
      </w:r>
      <w:r w:rsidRPr="00A00858">
        <w:rPr>
          <w:szCs w:val="26"/>
        </w:rPr>
        <w:tab/>
        <w:t>General</w:t>
      </w:r>
      <w:bookmarkEnd w:id="16"/>
    </w:p>
    <w:p w14:paraId="4F7881B1" w14:textId="77777777" w:rsidR="00846C13" w:rsidRPr="00A00858" w:rsidRDefault="00846C13" w:rsidP="00846C13">
      <w:pPr>
        <w:spacing w:line="240" w:lineRule="auto"/>
        <w:rPr>
          <w:szCs w:val="26"/>
        </w:rPr>
      </w:pPr>
    </w:p>
    <w:p w14:paraId="5D143C9D" w14:textId="370087C0" w:rsidR="00846C13" w:rsidRPr="00A00858" w:rsidRDefault="00EB4BDA" w:rsidP="00846C13">
      <w:pPr>
        <w:spacing w:line="240" w:lineRule="auto"/>
        <w:rPr>
          <w:szCs w:val="26"/>
        </w:rPr>
      </w:pPr>
      <w:r w:rsidRPr="00A00858">
        <w:rPr>
          <w:szCs w:val="26"/>
        </w:rPr>
        <w:tab/>
      </w:r>
      <w:r w:rsidRPr="00A00858">
        <w:rPr>
          <w:szCs w:val="26"/>
        </w:rPr>
        <w:tab/>
      </w:r>
      <w:r w:rsidRPr="00A00858">
        <w:rPr>
          <w:szCs w:val="26"/>
        </w:rPr>
        <w:tab/>
      </w:r>
      <w:r w:rsidRPr="00A00858">
        <w:rPr>
          <w:szCs w:val="26"/>
        </w:rPr>
        <w:tab/>
      </w:r>
      <w:r w:rsidRPr="00A00858">
        <w:rPr>
          <w:szCs w:val="26"/>
        </w:rPr>
        <w:tab/>
      </w:r>
      <w:r w:rsidRPr="00A00858">
        <w:rPr>
          <w:szCs w:val="26"/>
        </w:rPr>
        <w:tab/>
      </w:r>
      <w:r w:rsidRPr="00A00858">
        <w:rPr>
          <w:szCs w:val="26"/>
        </w:rPr>
        <w:tab/>
      </w:r>
      <w:r w:rsidRPr="004C323E">
        <w:rPr>
          <w:color w:val="000000"/>
          <w:szCs w:val="26"/>
        </w:rPr>
        <w:t>Victoria Ratnikova</w:t>
      </w:r>
      <w:r>
        <w:rPr>
          <w:color w:val="000000"/>
          <w:szCs w:val="26"/>
        </w:rPr>
        <w:t>,</w:t>
      </w:r>
      <w:r w:rsidRPr="00A00858">
        <w:rPr>
          <w:szCs w:val="26"/>
        </w:rPr>
        <w:tab/>
      </w:r>
      <w:r w:rsidRPr="00A00858">
        <w:rPr>
          <w:szCs w:val="26"/>
        </w:rPr>
        <w:tab/>
      </w:r>
      <w:r>
        <w:rPr>
          <w:szCs w:val="26"/>
        </w:rPr>
        <w:tab/>
      </w:r>
      <w:r>
        <w:rPr>
          <w:szCs w:val="26"/>
        </w:rPr>
        <w:tab/>
      </w:r>
      <w:r>
        <w:rPr>
          <w:szCs w:val="26"/>
        </w:rPr>
        <w:tab/>
      </w:r>
      <w:r>
        <w:rPr>
          <w:szCs w:val="26"/>
        </w:rPr>
        <w:tab/>
      </w:r>
      <w:r>
        <w:rPr>
          <w:szCs w:val="26"/>
        </w:rPr>
        <w:tab/>
      </w:r>
      <w:r>
        <w:rPr>
          <w:szCs w:val="26"/>
        </w:rPr>
        <w:tab/>
      </w:r>
      <w:r>
        <w:rPr>
          <w:szCs w:val="26"/>
        </w:rPr>
        <w:tab/>
      </w:r>
      <w:r>
        <w:rPr>
          <w:szCs w:val="26"/>
        </w:rPr>
        <w:tab/>
      </w:r>
      <w:r w:rsidRPr="00A00858">
        <w:rPr>
          <w:szCs w:val="26"/>
        </w:rPr>
        <w:t>Deput</w:t>
      </w:r>
      <w:r w:rsidRPr="00A00858">
        <w:rPr>
          <w:szCs w:val="26"/>
        </w:rPr>
        <w:t>y Attorney General</w:t>
      </w:r>
    </w:p>
    <w:p w14:paraId="6C6640A7" w14:textId="77777777" w:rsidR="00846C13" w:rsidRDefault="00846C13" w:rsidP="00846C13">
      <w:pPr>
        <w:spacing w:line="240" w:lineRule="auto"/>
        <w:rPr>
          <w:szCs w:val="26"/>
        </w:rPr>
      </w:pPr>
    </w:p>
    <w:p w14:paraId="29CB3CE8" w14:textId="77777777" w:rsidR="00846C13" w:rsidRDefault="00846C13" w:rsidP="00846C13">
      <w:pPr>
        <w:spacing w:line="240" w:lineRule="auto"/>
        <w:rPr>
          <w:szCs w:val="26"/>
        </w:rPr>
      </w:pPr>
    </w:p>
    <w:p w14:paraId="74EC5C08" w14:textId="77777777" w:rsidR="00846C13" w:rsidRDefault="00846C13" w:rsidP="00846C13">
      <w:pPr>
        <w:spacing w:line="240" w:lineRule="auto"/>
        <w:rPr>
          <w:szCs w:val="26"/>
        </w:rPr>
      </w:pPr>
    </w:p>
    <w:p w14:paraId="2A939140" w14:textId="77777777" w:rsidR="00846C13" w:rsidRDefault="00846C13" w:rsidP="00846C13">
      <w:pPr>
        <w:spacing w:line="240" w:lineRule="auto"/>
        <w:rPr>
          <w:szCs w:val="26"/>
        </w:rPr>
      </w:pPr>
    </w:p>
    <w:p w14:paraId="7A37FEEA" w14:textId="77777777" w:rsidR="00846C13" w:rsidRDefault="00846C13" w:rsidP="00846C13">
      <w:pPr>
        <w:spacing w:line="240" w:lineRule="auto"/>
        <w:rPr>
          <w:szCs w:val="26"/>
        </w:rPr>
      </w:pPr>
    </w:p>
    <w:p w14:paraId="513B5FD3" w14:textId="77777777" w:rsidR="00846C13" w:rsidRDefault="00846C13" w:rsidP="00846C13">
      <w:pPr>
        <w:spacing w:line="240" w:lineRule="auto"/>
        <w:rPr>
          <w:szCs w:val="26"/>
        </w:rPr>
      </w:pPr>
    </w:p>
    <w:p w14:paraId="6DD81590" w14:textId="77777777" w:rsidR="00846C13" w:rsidRPr="00A00858" w:rsidRDefault="00846C13" w:rsidP="00846C13">
      <w:pPr>
        <w:spacing w:line="240" w:lineRule="auto"/>
        <w:rPr>
          <w:szCs w:val="26"/>
        </w:rPr>
      </w:pPr>
    </w:p>
    <w:bookmarkEnd w:id="12"/>
    <w:p w14:paraId="15C03571" w14:textId="72A56354" w:rsidR="00846C13" w:rsidRPr="00A00858" w:rsidRDefault="00EB4BDA" w:rsidP="00846C13">
      <w:pPr>
        <w:spacing w:line="240" w:lineRule="auto"/>
        <w:rPr>
          <w:rStyle w:val="Title1"/>
          <w:szCs w:val="26"/>
        </w:rPr>
      </w:pPr>
      <w:r w:rsidRPr="00A00858">
        <w:rPr>
          <w:rStyle w:val="Title1"/>
          <w:szCs w:val="26"/>
        </w:rPr>
        <w:t>H04</w:t>
      </w:r>
      <w:r>
        <w:rPr>
          <w:rStyle w:val="Title1"/>
          <w:szCs w:val="26"/>
        </w:rPr>
        <w:t>9</w:t>
      </w:r>
      <w:r w:rsidRPr="00A00858">
        <w:rPr>
          <w:rStyle w:val="Title1"/>
          <w:szCs w:val="26"/>
        </w:rPr>
        <w:t>1</w:t>
      </w:r>
      <w:r>
        <w:rPr>
          <w:rStyle w:val="Title1"/>
          <w:szCs w:val="26"/>
        </w:rPr>
        <w:t>29</w:t>
      </w:r>
    </w:p>
    <w:p w14:paraId="6743F3B8" w14:textId="2A64B1DC" w:rsidR="001C77F0" w:rsidRPr="00846C13" w:rsidRDefault="00EB4BDA" w:rsidP="00846C13">
      <w:pPr>
        <w:spacing w:line="240" w:lineRule="auto"/>
        <w:rPr>
          <w:bCs/>
          <w:iCs/>
          <w:szCs w:val="26"/>
        </w:rPr>
      </w:pPr>
      <w:r w:rsidRPr="00A00858">
        <w:rPr>
          <w:bCs/>
          <w:iCs/>
          <w:szCs w:val="26"/>
        </w:rPr>
        <w:t xml:space="preserve">People v. </w:t>
      </w:r>
      <w:bookmarkEnd w:id="13"/>
      <w:r>
        <w:rPr>
          <w:bCs/>
          <w:iCs/>
          <w:szCs w:val="26"/>
        </w:rPr>
        <w:t>Todd</w:t>
      </w:r>
    </w:p>
    <w:sectPr w:rsidR="001C77F0" w:rsidRPr="00846C13" w:rsidSect="0085548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F8C4B" w14:textId="77777777" w:rsidR="00000000" w:rsidRDefault="00EB4BDA">
      <w:pPr>
        <w:spacing w:line="240" w:lineRule="auto"/>
      </w:pPr>
      <w:r>
        <w:separator/>
      </w:r>
    </w:p>
  </w:endnote>
  <w:endnote w:type="continuationSeparator" w:id="0">
    <w:p w14:paraId="75FB68DA" w14:textId="77777777" w:rsidR="00000000" w:rsidRDefault="00EB4B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8A8EE" w14:textId="77777777" w:rsidR="003B572A" w:rsidRDefault="003B57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6175979"/>
      <w:docPartObj>
        <w:docPartGallery w:val="Page Numbers (Bottom of Page)"/>
        <w:docPartUnique/>
      </w:docPartObj>
    </w:sdtPr>
    <w:sdtEndPr>
      <w:rPr>
        <w:noProof/>
      </w:rPr>
    </w:sdtEndPr>
    <w:sdtContent>
      <w:p w14:paraId="2B75CD99" w14:textId="4CF6D506" w:rsidR="004A21D9" w:rsidRDefault="00EB4BD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9321AD" w14:textId="77777777" w:rsidR="004A21D9" w:rsidRDefault="004A21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73591" w14:textId="77777777" w:rsidR="003B572A" w:rsidRDefault="003B5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F30A8" w14:textId="77777777" w:rsidR="00873547" w:rsidRDefault="00EB4BDA" w:rsidP="009642B8">
      <w:pPr>
        <w:spacing w:line="240" w:lineRule="auto"/>
      </w:pPr>
      <w:r>
        <w:separator/>
      </w:r>
    </w:p>
  </w:footnote>
  <w:footnote w:type="continuationSeparator" w:id="0">
    <w:p w14:paraId="71093595" w14:textId="77777777" w:rsidR="00873547" w:rsidRDefault="00EB4BDA" w:rsidP="009642B8">
      <w:pPr>
        <w:spacing w:line="240" w:lineRule="auto"/>
      </w:pPr>
      <w:r>
        <w:continuationSeparator/>
      </w:r>
    </w:p>
  </w:footnote>
  <w:footnote w:id="1">
    <w:p w14:paraId="2B1E31E2" w14:textId="3DFDF37A" w:rsidR="00F7789A" w:rsidRDefault="00EB4BDA" w:rsidP="00A55E1E">
      <w:pPr>
        <w:pStyle w:val="Footnote"/>
      </w:pPr>
      <w:r>
        <w:tab/>
      </w:r>
      <w:r>
        <w:rPr>
          <w:rStyle w:val="FootnoteReference"/>
        </w:rPr>
        <w:footnoteRef/>
      </w:r>
      <w:r>
        <w:t xml:space="preserve"> Undesignated </w:t>
      </w:r>
      <w:r w:rsidRPr="00A55E1E">
        <w:t>statutory</w:t>
      </w:r>
      <w:r>
        <w:t xml:space="preserve"> references are to the Penal Code.</w:t>
      </w:r>
    </w:p>
  </w:footnote>
  <w:footnote w:id="2">
    <w:p w14:paraId="3DB643DE" w14:textId="3B36BADF" w:rsidR="00A55E1E" w:rsidRPr="00A55E1E" w:rsidRDefault="00EB4BDA" w:rsidP="00A55E1E">
      <w:pPr>
        <w:pStyle w:val="Footnote"/>
      </w:pPr>
      <w:r>
        <w:tab/>
      </w:r>
      <w:r w:rsidRPr="00A55E1E">
        <w:rPr>
          <w:rStyle w:val="FootnoteReference"/>
        </w:rPr>
        <w:footnoteRef/>
      </w:r>
      <w:r w:rsidRPr="00A55E1E">
        <w:t xml:space="preserve"> We </w:t>
      </w:r>
      <w:r>
        <w:t>have omitted the facts of the offense because they are not relevant to the analysis and disposition of this appeal.</w:t>
      </w:r>
    </w:p>
  </w:footnote>
  <w:footnote w:id="3">
    <w:p w14:paraId="318D8BF3" w14:textId="0ECB0656" w:rsidR="00C92451" w:rsidRDefault="00EB4BDA" w:rsidP="00C92451">
      <w:pPr>
        <w:pStyle w:val="Footnote"/>
      </w:pPr>
      <w:r>
        <w:tab/>
      </w:r>
      <w:r>
        <w:rPr>
          <w:rStyle w:val="FootnoteReference"/>
        </w:rPr>
        <w:footnoteRef/>
      </w:r>
      <w:r>
        <w:t xml:space="preserve"> </w:t>
      </w:r>
      <w:r w:rsidRPr="00C92451">
        <w:t xml:space="preserve">Because our Supreme Court granted review in </w:t>
      </w:r>
      <w:r w:rsidRPr="00C92451">
        <w:rPr>
          <w:i/>
          <w:iCs/>
        </w:rPr>
        <w:t>Mitchell</w:t>
      </w:r>
      <w:r w:rsidRPr="00C92451">
        <w:t>, we cite it “for its persuasive value.”  (See Standing Order Exercising Authority Under California Rules of Court, Rule 8.1115(e)(3), Upon Grant of Review or Transfer of a Matter with an Underlying Publi</w:t>
      </w:r>
      <w:r w:rsidRPr="00C92451">
        <w:t>shed Court of Appeal Opinion, Administrative Order 2021-04-21; Cal. Rules of Court, rule 8.115(e)(3) and corresponding Comment, par. 2.).</w:t>
      </w:r>
    </w:p>
  </w:footnote>
  <w:footnote w:id="4">
    <w:p w14:paraId="76A9FBC0" w14:textId="79487260" w:rsidR="001C64DB" w:rsidRDefault="00EB4BDA" w:rsidP="001C64DB">
      <w:pPr>
        <w:pStyle w:val="Footnote"/>
      </w:pPr>
      <w:r>
        <w:tab/>
      </w:r>
      <w:r>
        <w:rPr>
          <w:rStyle w:val="FootnoteReference"/>
        </w:rPr>
        <w:footnoteRef/>
      </w:r>
      <w:r>
        <w:t xml:space="preserve"> Because the judgment is reversed we do not address the parties’ argument</w:t>
      </w:r>
      <w:r w:rsidR="00BF74A9">
        <w:t>s</w:t>
      </w:r>
      <w:r>
        <w:t xml:space="preserve"> that</w:t>
      </w:r>
      <w:r w:rsidR="00815205">
        <w:t>:</w:t>
      </w:r>
      <w:r w:rsidR="00986B2D">
        <w:t xml:space="preserve"> </w:t>
      </w:r>
      <w:r>
        <w:t xml:space="preserve"> </w:t>
      </w:r>
      <w:r w:rsidR="00815205">
        <w:t xml:space="preserve">(1) </w:t>
      </w:r>
      <w:r w:rsidR="0090275C">
        <w:t xml:space="preserve">the sentence to the concurrent upper term </w:t>
      </w:r>
      <w:r w:rsidR="00B60815">
        <w:t>in count 8 is harmless</w:t>
      </w:r>
      <w:r w:rsidR="00815205">
        <w:t>; and (2)</w:t>
      </w:r>
      <w:r w:rsidR="00BF74A9">
        <w:t xml:space="preserve"> clerical errors in </w:t>
      </w:r>
      <w:r>
        <w:t xml:space="preserve">the abstract of judgment </w:t>
      </w:r>
      <w:r w:rsidR="00815205">
        <w:t>must</w:t>
      </w:r>
      <w:r>
        <w:t xml:space="preserve"> be corrected.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E1C48" w14:textId="77777777" w:rsidR="003B572A" w:rsidRDefault="003B57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5F7F1" w14:textId="77777777" w:rsidR="003B572A" w:rsidRDefault="003B57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9FD8A" w14:textId="77777777" w:rsidR="003B572A" w:rsidRDefault="003B57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CD56BD"/>
    <w:multiLevelType w:val="hybridMultilevel"/>
    <w:tmpl w:val="05DE6974"/>
    <w:lvl w:ilvl="0" w:tplc="E174A5C8">
      <w:start w:val="1"/>
      <w:numFmt w:val="upperLetter"/>
      <w:lvlText w:val="%1."/>
      <w:lvlJc w:val="left"/>
      <w:pPr>
        <w:ind w:left="1080" w:hanging="360"/>
      </w:pPr>
      <w:rPr>
        <w:rFonts w:hint="default"/>
      </w:rPr>
    </w:lvl>
    <w:lvl w:ilvl="1" w:tplc="99D85FC0" w:tentative="1">
      <w:start w:val="1"/>
      <w:numFmt w:val="lowerLetter"/>
      <w:lvlText w:val="%2."/>
      <w:lvlJc w:val="left"/>
      <w:pPr>
        <w:ind w:left="1800" w:hanging="360"/>
      </w:pPr>
    </w:lvl>
    <w:lvl w:ilvl="2" w:tplc="DFE85F58" w:tentative="1">
      <w:start w:val="1"/>
      <w:numFmt w:val="lowerRoman"/>
      <w:lvlText w:val="%3."/>
      <w:lvlJc w:val="right"/>
      <w:pPr>
        <w:ind w:left="2520" w:hanging="180"/>
      </w:pPr>
    </w:lvl>
    <w:lvl w:ilvl="3" w:tplc="3EF0F0BA" w:tentative="1">
      <w:start w:val="1"/>
      <w:numFmt w:val="decimal"/>
      <w:lvlText w:val="%4."/>
      <w:lvlJc w:val="left"/>
      <w:pPr>
        <w:ind w:left="3240" w:hanging="360"/>
      </w:pPr>
    </w:lvl>
    <w:lvl w:ilvl="4" w:tplc="AAA4EAC0" w:tentative="1">
      <w:start w:val="1"/>
      <w:numFmt w:val="lowerLetter"/>
      <w:lvlText w:val="%5."/>
      <w:lvlJc w:val="left"/>
      <w:pPr>
        <w:ind w:left="3960" w:hanging="360"/>
      </w:pPr>
    </w:lvl>
    <w:lvl w:ilvl="5" w:tplc="47923408" w:tentative="1">
      <w:start w:val="1"/>
      <w:numFmt w:val="lowerRoman"/>
      <w:lvlText w:val="%6."/>
      <w:lvlJc w:val="right"/>
      <w:pPr>
        <w:ind w:left="4680" w:hanging="180"/>
      </w:pPr>
    </w:lvl>
    <w:lvl w:ilvl="6" w:tplc="7F2AF8DC" w:tentative="1">
      <w:start w:val="1"/>
      <w:numFmt w:val="decimal"/>
      <w:lvlText w:val="%7."/>
      <w:lvlJc w:val="left"/>
      <w:pPr>
        <w:ind w:left="5400" w:hanging="360"/>
      </w:pPr>
    </w:lvl>
    <w:lvl w:ilvl="7" w:tplc="DB62CBF8" w:tentative="1">
      <w:start w:val="1"/>
      <w:numFmt w:val="lowerLetter"/>
      <w:lvlText w:val="%8."/>
      <w:lvlJc w:val="left"/>
      <w:pPr>
        <w:ind w:left="6120" w:hanging="360"/>
      </w:pPr>
    </w:lvl>
    <w:lvl w:ilvl="8" w:tplc="67CA1578" w:tentative="1">
      <w:start w:val="1"/>
      <w:numFmt w:val="lowerRoman"/>
      <w:lvlText w:val="%9."/>
      <w:lvlJc w:val="right"/>
      <w:pPr>
        <w:ind w:left="6840" w:hanging="180"/>
      </w:pPr>
    </w:lvl>
  </w:abstractNum>
  <w:num w:numId="1" w16cid:durableId="9600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7B"/>
    <w:rsid w:val="000018AA"/>
    <w:rsid w:val="00001F39"/>
    <w:rsid w:val="000052BD"/>
    <w:rsid w:val="00006995"/>
    <w:rsid w:val="000117CC"/>
    <w:rsid w:val="00011E74"/>
    <w:rsid w:val="00012550"/>
    <w:rsid w:val="0001292C"/>
    <w:rsid w:val="00012D45"/>
    <w:rsid w:val="00012F61"/>
    <w:rsid w:val="00012F71"/>
    <w:rsid w:val="00013334"/>
    <w:rsid w:val="000134D7"/>
    <w:rsid w:val="00014A8B"/>
    <w:rsid w:val="00014CA5"/>
    <w:rsid w:val="0001598F"/>
    <w:rsid w:val="0002045B"/>
    <w:rsid w:val="00020EFE"/>
    <w:rsid w:val="00021331"/>
    <w:rsid w:val="00022137"/>
    <w:rsid w:val="00022387"/>
    <w:rsid w:val="000228BE"/>
    <w:rsid w:val="00022B67"/>
    <w:rsid w:val="000246BA"/>
    <w:rsid w:val="00026138"/>
    <w:rsid w:val="000268A6"/>
    <w:rsid w:val="00031BF9"/>
    <w:rsid w:val="00031F13"/>
    <w:rsid w:val="00034103"/>
    <w:rsid w:val="00035662"/>
    <w:rsid w:val="000361B2"/>
    <w:rsid w:val="000440AD"/>
    <w:rsid w:val="00044292"/>
    <w:rsid w:val="00044ACA"/>
    <w:rsid w:val="000453B1"/>
    <w:rsid w:val="00046999"/>
    <w:rsid w:val="00047093"/>
    <w:rsid w:val="00047395"/>
    <w:rsid w:val="00047580"/>
    <w:rsid w:val="00047B57"/>
    <w:rsid w:val="00047FD8"/>
    <w:rsid w:val="00052A5C"/>
    <w:rsid w:val="00052EF5"/>
    <w:rsid w:val="00053BFB"/>
    <w:rsid w:val="00054657"/>
    <w:rsid w:val="0005504F"/>
    <w:rsid w:val="00056F36"/>
    <w:rsid w:val="00057D40"/>
    <w:rsid w:val="00060BFF"/>
    <w:rsid w:val="000616C4"/>
    <w:rsid w:val="0006463A"/>
    <w:rsid w:val="000660F4"/>
    <w:rsid w:val="00067DBC"/>
    <w:rsid w:val="000713B5"/>
    <w:rsid w:val="00072B73"/>
    <w:rsid w:val="000757DA"/>
    <w:rsid w:val="00075DF0"/>
    <w:rsid w:val="000769EC"/>
    <w:rsid w:val="0008082E"/>
    <w:rsid w:val="00083BCE"/>
    <w:rsid w:val="00084130"/>
    <w:rsid w:val="00084229"/>
    <w:rsid w:val="00084B64"/>
    <w:rsid w:val="00085827"/>
    <w:rsid w:val="0008706B"/>
    <w:rsid w:val="0008765B"/>
    <w:rsid w:val="00087C51"/>
    <w:rsid w:val="0009017A"/>
    <w:rsid w:val="000906C6"/>
    <w:rsid w:val="00090FAC"/>
    <w:rsid w:val="00091635"/>
    <w:rsid w:val="00091D07"/>
    <w:rsid w:val="00091D30"/>
    <w:rsid w:val="00096013"/>
    <w:rsid w:val="00096FA3"/>
    <w:rsid w:val="00097DC4"/>
    <w:rsid w:val="000A157D"/>
    <w:rsid w:val="000A45A2"/>
    <w:rsid w:val="000A543D"/>
    <w:rsid w:val="000A54B6"/>
    <w:rsid w:val="000A673E"/>
    <w:rsid w:val="000B12EB"/>
    <w:rsid w:val="000B19BA"/>
    <w:rsid w:val="000B2D65"/>
    <w:rsid w:val="000B4B75"/>
    <w:rsid w:val="000B506E"/>
    <w:rsid w:val="000B6D25"/>
    <w:rsid w:val="000B74B5"/>
    <w:rsid w:val="000C37DE"/>
    <w:rsid w:val="000C5802"/>
    <w:rsid w:val="000D1810"/>
    <w:rsid w:val="000D19AE"/>
    <w:rsid w:val="000D3DCB"/>
    <w:rsid w:val="000D449F"/>
    <w:rsid w:val="000D51E3"/>
    <w:rsid w:val="000D5292"/>
    <w:rsid w:val="000D5625"/>
    <w:rsid w:val="000D57E4"/>
    <w:rsid w:val="000E0E68"/>
    <w:rsid w:val="000E3173"/>
    <w:rsid w:val="000E39B4"/>
    <w:rsid w:val="000E4579"/>
    <w:rsid w:val="000E4ADA"/>
    <w:rsid w:val="000E5D04"/>
    <w:rsid w:val="000E7164"/>
    <w:rsid w:val="000F19E0"/>
    <w:rsid w:val="000F1DF5"/>
    <w:rsid w:val="000F22D8"/>
    <w:rsid w:val="000F3432"/>
    <w:rsid w:val="000F4536"/>
    <w:rsid w:val="000F4FA5"/>
    <w:rsid w:val="000F5BEA"/>
    <w:rsid w:val="000F6919"/>
    <w:rsid w:val="000F6CC5"/>
    <w:rsid w:val="00100BD6"/>
    <w:rsid w:val="00102C1A"/>
    <w:rsid w:val="001032B8"/>
    <w:rsid w:val="0010340B"/>
    <w:rsid w:val="00104BB1"/>
    <w:rsid w:val="00104EC0"/>
    <w:rsid w:val="001061D2"/>
    <w:rsid w:val="00107638"/>
    <w:rsid w:val="001119CD"/>
    <w:rsid w:val="00111BFB"/>
    <w:rsid w:val="00112830"/>
    <w:rsid w:val="00112DD9"/>
    <w:rsid w:val="001130A6"/>
    <w:rsid w:val="00115BDC"/>
    <w:rsid w:val="00116952"/>
    <w:rsid w:val="00117053"/>
    <w:rsid w:val="001170CE"/>
    <w:rsid w:val="001176C6"/>
    <w:rsid w:val="001206B6"/>
    <w:rsid w:val="00120770"/>
    <w:rsid w:val="00121172"/>
    <w:rsid w:val="00121BBD"/>
    <w:rsid w:val="001224D3"/>
    <w:rsid w:val="00122F81"/>
    <w:rsid w:val="00124590"/>
    <w:rsid w:val="0012798F"/>
    <w:rsid w:val="001317FD"/>
    <w:rsid w:val="0013252A"/>
    <w:rsid w:val="001327B1"/>
    <w:rsid w:val="0013296B"/>
    <w:rsid w:val="00133D16"/>
    <w:rsid w:val="001341D5"/>
    <w:rsid w:val="00134AC7"/>
    <w:rsid w:val="00134ED5"/>
    <w:rsid w:val="001363D1"/>
    <w:rsid w:val="001367BB"/>
    <w:rsid w:val="00136DB8"/>
    <w:rsid w:val="00142523"/>
    <w:rsid w:val="00142682"/>
    <w:rsid w:val="00143656"/>
    <w:rsid w:val="00143B04"/>
    <w:rsid w:val="00143BDF"/>
    <w:rsid w:val="00144836"/>
    <w:rsid w:val="001449C2"/>
    <w:rsid w:val="00144C56"/>
    <w:rsid w:val="00144C6B"/>
    <w:rsid w:val="001451A7"/>
    <w:rsid w:val="001455A3"/>
    <w:rsid w:val="00145BAF"/>
    <w:rsid w:val="00146752"/>
    <w:rsid w:val="00147438"/>
    <w:rsid w:val="00150149"/>
    <w:rsid w:val="001506A8"/>
    <w:rsid w:val="00151D47"/>
    <w:rsid w:val="0015453F"/>
    <w:rsid w:val="00155132"/>
    <w:rsid w:val="001575A1"/>
    <w:rsid w:val="001607F7"/>
    <w:rsid w:val="001615C2"/>
    <w:rsid w:val="0016275D"/>
    <w:rsid w:val="0016323C"/>
    <w:rsid w:val="00163287"/>
    <w:rsid w:val="00166F83"/>
    <w:rsid w:val="0017598D"/>
    <w:rsid w:val="00175BC4"/>
    <w:rsid w:val="00176045"/>
    <w:rsid w:val="00176BF0"/>
    <w:rsid w:val="00180916"/>
    <w:rsid w:val="0018351B"/>
    <w:rsid w:val="00183728"/>
    <w:rsid w:val="00183C9A"/>
    <w:rsid w:val="00185A79"/>
    <w:rsid w:val="00186971"/>
    <w:rsid w:val="001877B2"/>
    <w:rsid w:val="00187A4B"/>
    <w:rsid w:val="0019030F"/>
    <w:rsid w:val="0019037A"/>
    <w:rsid w:val="00190D25"/>
    <w:rsid w:val="0019298C"/>
    <w:rsid w:val="00192B18"/>
    <w:rsid w:val="00194126"/>
    <w:rsid w:val="001960D8"/>
    <w:rsid w:val="00196B3C"/>
    <w:rsid w:val="00196FDC"/>
    <w:rsid w:val="001A0DFC"/>
    <w:rsid w:val="001A1B63"/>
    <w:rsid w:val="001A1C01"/>
    <w:rsid w:val="001A3479"/>
    <w:rsid w:val="001A3C47"/>
    <w:rsid w:val="001A3D15"/>
    <w:rsid w:val="001A56A6"/>
    <w:rsid w:val="001A5D2B"/>
    <w:rsid w:val="001A740F"/>
    <w:rsid w:val="001B0CC4"/>
    <w:rsid w:val="001B1359"/>
    <w:rsid w:val="001B1ABE"/>
    <w:rsid w:val="001B1BD8"/>
    <w:rsid w:val="001B2AA5"/>
    <w:rsid w:val="001B388E"/>
    <w:rsid w:val="001B3CDE"/>
    <w:rsid w:val="001B3FBE"/>
    <w:rsid w:val="001B5947"/>
    <w:rsid w:val="001B6FEF"/>
    <w:rsid w:val="001C01D3"/>
    <w:rsid w:val="001C0FED"/>
    <w:rsid w:val="001C3143"/>
    <w:rsid w:val="001C369D"/>
    <w:rsid w:val="001C3925"/>
    <w:rsid w:val="001C4FC0"/>
    <w:rsid w:val="001C64DB"/>
    <w:rsid w:val="001C6803"/>
    <w:rsid w:val="001C68E2"/>
    <w:rsid w:val="001C6D62"/>
    <w:rsid w:val="001C77F0"/>
    <w:rsid w:val="001D06CB"/>
    <w:rsid w:val="001D08A0"/>
    <w:rsid w:val="001D1134"/>
    <w:rsid w:val="001D1A8C"/>
    <w:rsid w:val="001D2069"/>
    <w:rsid w:val="001D2077"/>
    <w:rsid w:val="001D26E6"/>
    <w:rsid w:val="001D29A3"/>
    <w:rsid w:val="001D36D0"/>
    <w:rsid w:val="001D388A"/>
    <w:rsid w:val="001D42EB"/>
    <w:rsid w:val="001D5B8F"/>
    <w:rsid w:val="001D6DF5"/>
    <w:rsid w:val="001E142D"/>
    <w:rsid w:val="001E39DA"/>
    <w:rsid w:val="001E519C"/>
    <w:rsid w:val="001E51EF"/>
    <w:rsid w:val="001E5477"/>
    <w:rsid w:val="001E5D3C"/>
    <w:rsid w:val="001E6057"/>
    <w:rsid w:val="001E65B2"/>
    <w:rsid w:val="001F0592"/>
    <w:rsid w:val="001F0598"/>
    <w:rsid w:val="001F130C"/>
    <w:rsid w:val="001F133F"/>
    <w:rsid w:val="001F7262"/>
    <w:rsid w:val="001F7805"/>
    <w:rsid w:val="001F7963"/>
    <w:rsid w:val="001F7C43"/>
    <w:rsid w:val="0020341D"/>
    <w:rsid w:val="0020628C"/>
    <w:rsid w:val="0020683E"/>
    <w:rsid w:val="00206947"/>
    <w:rsid w:val="00210C43"/>
    <w:rsid w:val="00211163"/>
    <w:rsid w:val="002112AA"/>
    <w:rsid w:val="00211330"/>
    <w:rsid w:val="00213FF0"/>
    <w:rsid w:val="00215A00"/>
    <w:rsid w:val="00216CA4"/>
    <w:rsid w:val="002171CE"/>
    <w:rsid w:val="002203BE"/>
    <w:rsid w:val="00221D7E"/>
    <w:rsid w:val="00222320"/>
    <w:rsid w:val="00222BAB"/>
    <w:rsid w:val="00224308"/>
    <w:rsid w:val="00225778"/>
    <w:rsid w:val="002265ED"/>
    <w:rsid w:val="00226960"/>
    <w:rsid w:val="0023068A"/>
    <w:rsid w:val="00230993"/>
    <w:rsid w:val="00230C7B"/>
    <w:rsid w:val="00231E56"/>
    <w:rsid w:val="00234119"/>
    <w:rsid w:val="002368F2"/>
    <w:rsid w:val="00237C6C"/>
    <w:rsid w:val="00241E99"/>
    <w:rsid w:val="00241F7B"/>
    <w:rsid w:val="00242A7E"/>
    <w:rsid w:val="00242F7C"/>
    <w:rsid w:val="0025180D"/>
    <w:rsid w:val="00252637"/>
    <w:rsid w:val="00254012"/>
    <w:rsid w:val="002541A4"/>
    <w:rsid w:val="00254C89"/>
    <w:rsid w:val="0025506F"/>
    <w:rsid w:val="00255FF2"/>
    <w:rsid w:val="002579D2"/>
    <w:rsid w:val="002623FC"/>
    <w:rsid w:val="00262597"/>
    <w:rsid w:val="00263C9E"/>
    <w:rsid w:val="00263CDB"/>
    <w:rsid w:val="00266911"/>
    <w:rsid w:val="00267D8D"/>
    <w:rsid w:val="00270A48"/>
    <w:rsid w:val="00271942"/>
    <w:rsid w:val="00271F49"/>
    <w:rsid w:val="0027215A"/>
    <w:rsid w:val="00273934"/>
    <w:rsid w:val="00275421"/>
    <w:rsid w:val="00275DE7"/>
    <w:rsid w:val="00277712"/>
    <w:rsid w:val="00280109"/>
    <w:rsid w:val="00281540"/>
    <w:rsid w:val="00281646"/>
    <w:rsid w:val="002835C7"/>
    <w:rsid w:val="002835E1"/>
    <w:rsid w:val="0028403A"/>
    <w:rsid w:val="00284EC0"/>
    <w:rsid w:val="00285540"/>
    <w:rsid w:val="00290895"/>
    <w:rsid w:val="002929EF"/>
    <w:rsid w:val="00292F6A"/>
    <w:rsid w:val="002A11B2"/>
    <w:rsid w:val="002A2A1A"/>
    <w:rsid w:val="002A2B2B"/>
    <w:rsid w:val="002A3366"/>
    <w:rsid w:val="002A617B"/>
    <w:rsid w:val="002A7D41"/>
    <w:rsid w:val="002B0025"/>
    <w:rsid w:val="002B09F4"/>
    <w:rsid w:val="002B695C"/>
    <w:rsid w:val="002B712E"/>
    <w:rsid w:val="002C0367"/>
    <w:rsid w:val="002C14F1"/>
    <w:rsid w:val="002C393F"/>
    <w:rsid w:val="002C4471"/>
    <w:rsid w:val="002C52B3"/>
    <w:rsid w:val="002C5D4B"/>
    <w:rsid w:val="002C6484"/>
    <w:rsid w:val="002C7176"/>
    <w:rsid w:val="002D1028"/>
    <w:rsid w:val="002D27BE"/>
    <w:rsid w:val="002D48FD"/>
    <w:rsid w:val="002D706D"/>
    <w:rsid w:val="002E2BD0"/>
    <w:rsid w:val="002E3C4F"/>
    <w:rsid w:val="002E437B"/>
    <w:rsid w:val="002E63A6"/>
    <w:rsid w:val="002E725D"/>
    <w:rsid w:val="002E75D9"/>
    <w:rsid w:val="002F03E0"/>
    <w:rsid w:val="002F1DB1"/>
    <w:rsid w:val="002F1DC4"/>
    <w:rsid w:val="002F1EE0"/>
    <w:rsid w:val="002F443A"/>
    <w:rsid w:val="002F52E8"/>
    <w:rsid w:val="002F7FC8"/>
    <w:rsid w:val="003012FF"/>
    <w:rsid w:val="00302A02"/>
    <w:rsid w:val="00304114"/>
    <w:rsid w:val="00305CA0"/>
    <w:rsid w:val="003075E2"/>
    <w:rsid w:val="00311937"/>
    <w:rsid w:val="00312B40"/>
    <w:rsid w:val="00314F83"/>
    <w:rsid w:val="003153E0"/>
    <w:rsid w:val="003153F5"/>
    <w:rsid w:val="0031621A"/>
    <w:rsid w:val="0032169A"/>
    <w:rsid w:val="00321D6C"/>
    <w:rsid w:val="003221E7"/>
    <w:rsid w:val="0032249F"/>
    <w:rsid w:val="003226AC"/>
    <w:rsid w:val="003242C5"/>
    <w:rsid w:val="003243F8"/>
    <w:rsid w:val="003257D6"/>
    <w:rsid w:val="00327369"/>
    <w:rsid w:val="00331931"/>
    <w:rsid w:val="00333E05"/>
    <w:rsid w:val="00334CCD"/>
    <w:rsid w:val="00334FC3"/>
    <w:rsid w:val="00336337"/>
    <w:rsid w:val="00340803"/>
    <w:rsid w:val="00340BB2"/>
    <w:rsid w:val="003447AD"/>
    <w:rsid w:val="00344BD1"/>
    <w:rsid w:val="00346D94"/>
    <w:rsid w:val="00351B77"/>
    <w:rsid w:val="003527D8"/>
    <w:rsid w:val="00352CEC"/>
    <w:rsid w:val="003550CC"/>
    <w:rsid w:val="003568C5"/>
    <w:rsid w:val="00360DF1"/>
    <w:rsid w:val="00362A84"/>
    <w:rsid w:val="00363D9F"/>
    <w:rsid w:val="00365F4C"/>
    <w:rsid w:val="00366ECE"/>
    <w:rsid w:val="00367336"/>
    <w:rsid w:val="0036798A"/>
    <w:rsid w:val="00371979"/>
    <w:rsid w:val="0037341F"/>
    <w:rsid w:val="00374514"/>
    <w:rsid w:val="00374A89"/>
    <w:rsid w:val="00375FDC"/>
    <w:rsid w:val="00376655"/>
    <w:rsid w:val="003811DF"/>
    <w:rsid w:val="00381360"/>
    <w:rsid w:val="0038351D"/>
    <w:rsid w:val="00383FCB"/>
    <w:rsid w:val="0038500D"/>
    <w:rsid w:val="003856BA"/>
    <w:rsid w:val="003856CE"/>
    <w:rsid w:val="00385932"/>
    <w:rsid w:val="00387928"/>
    <w:rsid w:val="00387A4F"/>
    <w:rsid w:val="003945F7"/>
    <w:rsid w:val="003957DB"/>
    <w:rsid w:val="00395ADA"/>
    <w:rsid w:val="00397557"/>
    <w:rsid w:val="003A179D"/>
    <w:rsid w:val="003A208E"/>
    <w:rsid w:val="003A44C5"/>
    <w:rsid w:val="003A5525"/>
    <w:rsid w:val="003B0A48"/>
    <w:rsid w:val="003B149F"/>
    <w:rsid w:val="003B3CC1"/>
    <w:rsid w:val="003B52B1"/>
    <w:rsid w:val="003B572A"/>
    <w:rsid w:val="003B5ECF"/>
    <w:rsid w:val="003B77BB"/>
    <w:rsid w:val="003C08FB"/>
    <w:rsid w:val="003C1DC8"/>
    <w:rsid w:val="003C29B2"/>
    <w:rsid w:val="003C49A9"/>
    <w:rsid w:val="003C694D"/>
    <w:rsid w:val="003D4043"/>
    <w:rsid w:val="003D60FA"/>
    <w:rsid w:val="003D6388"/>
    <w:rsid w:val="003D6D06"/>
    <w:rsid w:val="003E12E9"/>
    <w:rsid w:val="003E2E53"/>
    <w:rsid w:val="003E595D"/>
    <w:rsid w:val="003E5A57"/>
    <w:rsid w:val="003E5D4D"/>
    <w:rsid w:val="003E605C"/>
    <w:rsid w:val="003E75BD"/>
    <w:rsid w:val="003F0575"/>
    <w:rsid w:val="003F072D"/>
    <w:rsid w:val="003F213C"/>
    <w:rsid w:val="003F21E9"/>
    <w:rsid w:val="003F2D4D"/>
    <w:rsid w:val="003F478F"/>
    <w:rsid w:val="003F61E9"/>
    <w:rsid w:val="003F7B7B"/>
    <w:rsid w:val="004005EC"/>
    <w:rsid w:val="0040140B"/>
    <w:rsid w:val="0040373E"/>
    <w:rsid w:val="0040423E"/>
    <w:rsid w:val="004051FF"/>
    <w:rsid w:val="00406493"/>
    <w:rsid w:val="004072C8"/>
    <w:rsid w:val="00407469"/>
    <w:rsid w:val="004075F5"/>
    <w:rsid w:val="00411E2A"/>
    <w:rsid w:val="00412A21"/>
    <w:rsid w:val="0041479A"/>
    <w:rsid w:val="00414A0F"/>
    <w:rsid w:val="00415A9E"/>
    <w:rsid w:val="00415BA3"/>
    <w:rsid w:val="0042020B"/>
    <w:rsid w:val="00420B94"/>
    <w:rsid w:val="00420C78"/>
    <w:rsid w:val="00421538"/>
    <w:rsid w:val="00421A6A"/>
    <w:rsid w:val="004225A5"/>
    <w:rsid w:val="004244AE"/>
    <w:rsid w:val="004250BA"/>
    <w:rsid w:val="004254F1"/>
    <w:rsid w:val="00425592"/>
    <w:rsid w:val="004267E7"/>
    <w:rsid w:val="00427929"/>
    <w:rsid w:val="0043051A"/>
    <w:rsid w:val="00431023"/>
    <w:rsid w:val="00431C3D"/>
    <w:rsid w:val="0043277E"/>
    <w:rsid w:val="0043350F"/>
    <w:rsid w:val="00434E5B"/>
    <w:rsid w:val="00434FAD"/>
    <w:rsid w:val="00437E27"/>
    <w:rsid w:val="0044082F"/>
    <w:rsid w:val="00441C1D"/>
    <w:rsid w:val="0044284C"/>
    <w:rsid w:val="0044290E"/>
    <w:rsid w:val="00445D54"/>
    <w:rsid w:val="00445DC8"/>
    <w:rsid w:val="00446492"/>
    <w:rsid w:val="00446C28"/>
    <w:rsid w:val="004477BB"/>
    <w:rsid w:val="00447B0B"/>
    <w:rsid w:val="00452E39"/>
    <w:rsid w:val="00453275"/>
    <w:rsid w:val="00453E96"/>
    <w:rsid w:val="00454935"/>
    <w:rsid w:val="0045497E"/>
    <w:rsid w:val="00454A97"/>
    <w:rsid w:val="00455535"/>
    <w:rsid w:val="004559BE"/>
    <w:rsid w:val="00457876"/>
    <w:rsid w:val="00460384"/>
    <w:rsid w:val="0046182C"/>
    <w:rsid w:val="00461DCC"/>
    <w:rsid w:val="00464852"/>
    <w:rsid w:val="004657E6"/>
    <w:rsid w:val="00465FB1"/>
    <w:rsid w:val="00466163"/>
    <w:rsid w:val="004665F7"/>
    <w:rsid w:val="00472BB5"/>
    <w:rsid w:val="00472C1B"/>
    <w:rsid w:val="00475036"/>
    <w:rsid w:val="00475C0C"/>
    <w:rsid w:val="0047751F"/>
    <w:rsid w:val="00480EE8"/>
    <w:rsid w:val="004815F2"/>
    <w:rsid w:val="00483B4C"/>
    <w:rsid w:val="004857F1"/>
    <w:rsid w:val="00485D89"/>
    <w:rsid w:val="0048645C"/>
    <w:rsid w:val="00486986"/>
    <w:rsid w:val="00487A98"/>
    <w:rsid w:val="00487E8C"/>
    <w:rsid w:val="00490465"/>
    <w:rsid w:val="00491DF7"/>
    <w:rsid w:val="00494EAF"/>
    <w:rsid w:val="00495C84"/>
    <w:rsid w:val="00496750"/>
    <w:rsid w:val="00496B46"/>
    <w:rsid w:val="00497590"/>
    <w:rsid w:val="004A04C6"/>
    <w:rsid w:val="004A1746"/>
    <w:rsid w:val="004A20CB"/>
    <w:rsid w:val="004A21D9"/>
    <w:rsid w:val="004A2641"/>
    <w:rsid w:val="004A4602"/>
    <w:rsid w:val="004A4A80"/>
    <w:rsid w:val="004A67D0"/>
    <w:rsid w:val="004A70CE"/>
    <w:rsid w:val="004B126E"/>
    <w:rsid w:val="004B14AE"/>
    <w:rsid w:val="004B3582"/>
    <w:rsid w:val="004B37D5"/>
    <w:rsid w:val="004B3BBF"/>
    <w:rsid w:val="004B46B5"/>
    <w:rsid w:val="004B5638"/>
    <w:rsid w:val="004B5D93"/>
    <w:rsid w:val="004B7032"/>
    <w:rsid w:val="004B7235"/>
    <w:rsid w:val="004C0878"/>
    <w:rsid w:val="004C323E"/>
    <w:rsid w:val="004C50DE"/>
    <w:rsid w:val="004C6A17"/>
    <w:rsid w:val="004C7C6C"/>
    <w:rsid w:val="004D2B44"/>
    <w:rsid w:val="004D2F4F"/>
    <w:rsid w:val="004D4287"/>
    <w:rsid w:val="004D62AE"/>
    <w:rsid w:val="004D6860"/>
    <w:rsid w:val="004D7791"/>
    <w:rsid w:val="004D7B86"/>
    <w:rsid w:val="004E15A9"/>
    <w:rsid w:val="004E17D3"/>
    <w:rsid w:val="004E1ACA"/>
    <w:rsid w:val="004E2D28"/>
    <w:rsid w:val="004E31AC"/>
    <w:rsid w:val="004E44A1"/>
    <w:rsid w:val="004E65AD"/>
    <w:rsid w:val="004E705D"/>
    <w:rsid w:val="004F04EC"/>
    <w:rsid w:val="004F1C44"/>
    <w:rsid w:val="004F2574"/>
    <w:rsid w:val="004F3B7E"/>
    <w:rsid w:val="004F3CC6"/>
    <w:rsid w:val="004F3DAE"/>
    <w:rsid w:val="004F6238"/>
    <w:rsid w:val="00503876"/>
    <w:rsid w:val="00507393"/>
    <w:rsid w:val="005122DC"/>
    <w:rsid w:val="00512C97"/>
    <w:rsid w:val="00512DCA"/>
    <w:rsid w:val="00513597"/>
    <w:rsid w:val="0051696D"/>
    <w:rsid w:val="00516CCB"/>
    <w:rsid w:val="00516D3F"/>
    <w:rsid w:val="0051724A"/>
    <w:rsid w:val="00520189"/>
    <w:rsid w:val="00520900"/>
    <w:rsid w:val="00521E5B"/>
    <w:rsid w:val="005222ED"/>
    <w:rsid w:val="00522662"/>
    <w:rsid w:val="00524045"/>
    <w:rsid w:val="00527DFE"/>
    <w:rsid w:val="00530872"/>
    <w:rsid w:val="0053191B"/>
    <w:rsid w:val="00531D8D"/>
    <w:rsid w:val="0053215A"/>
    <w:rsid w:val="005336B6"/>
    <w:rsid w:val="005369A5"/>
    <w:rsid w:val="0053777D"/>
    <w:rsid w:val="00537926"/>
    <w:rsid w:val="005412BF"/>
    <w:rsid w:val="00542BDE"/>
    <w:rsid w:val="00544B7F"/>
    <w:rsid w:val="00546D87"/>
    <w:rsid w:val="0055245D"/>
    <w:rsid w:val="005544A9"/>
    <w:rsid w:val="00554D87"/>
    <w:rsid w:val="00555CBE"/>
    <w:rsid w:val="00555DC4"/>
    <w:rsid w:val="005564B3"/>
    <w:rsid w:val="005615A2"/>
    <w:rsid w:val="00562AED"/>
    <w:rsid w:val="00563570"/>
    <w:rsid w:val="005648CC"/>
    <w:rsid w:val="005671BB"/>
    <w:rsid w:val="00567D2A"/>
    <w:rsid w:val="00567F87"/>
    <w:rsid w:val="005723B0"/>
    <w:rsid w:val="00572CF4"/>
    <w:rsid w:val="0057335A"/>
    <w:rsid w:val="005736E1"/>
    <w:rsid w:val="00573EB1"/>
    <w:rsid w:val="0057502C"/>
    <w:rsid w:val="005757AE"/>
    <w:rsid w:val="005758AC"/>
    <w:rsid w:val="00577143"/>
    <w:rsid w:val="00581456"/>
    <w:rsid w:val="005825C9"/>
    <w:rsid w:val="00582ADE"/>
    <w:rsid w:val="00582E62"/>
    <w:rsid w:val="00583EB5"/>
    <w:rsid w:val="00584229"/>
    <w:rsid w:val="00584953"/>
    <w:rsid w:val="005856E8"/>
    <w:rsid w:val="00585C16"/>
    <w:rsid w:val="00586BD9"/>
    <w:rsid w:val="00591493"/>
    <w:rsid w:val="00592014"/>
    <w:rsid w:val="00592A17"/>
    <w:rsid w:val="005963A3"/>
    <w:rsid w:val="00597DD7"/>
    <w:rsid w:val="00597F0B"/>
    <w:rsid w:val="00597FB5"/>
    <w:rsid w:val="005A11EC"/>
    <w:rsid w:val="005A356F"/>
    <w:rsid w:val="005A37DB"/>
    <w:rsid w:val="005A3AF2"/>
    <w:rsid w:val="005A469C"/>
    <w:rsid w:val="005B063B"/>
    <w:rsid w:val="005B094D"/>
    <w:rsid w:val="005B28EC"/>
    <w:rsid w:val="005B360D"/>
    <w:rsid w:val="005B3907"/>
    <w:rsid w:val="005B7176"/>
    <w:rsid w:val="005B74A2"/>
    <w:rsid w:val="005B74A6"/>
    <w:rsid w:val="005C0506"/>
    <w:rsid w:val="005C0A3B"/>
    <w:rsid w:val="005C1E41"/>
    <w:rsid w:val="005C3161"/>
    <w:rsid w:val="005C316C"/>
    <w:rsid w:val="005C717F"/>
    <w:rsid w:val="005D0247"/>
    <w:rsid w:val="005D12B3"/>
    <w:rsid w:val="005D1C4F"/>
    <w:rsid w:val="005D2690"/>
    <w:rsid w:val="005D2D5A"/>
    <w:rsid w:val="005D30F9"/>
    <w:rsid w:val="005D3522"/>
    <w:rsid w:val="005D4BCA"/>
    <w:rsid w:val="005D5BDD"/>
    <w:rsid w:val="005D67B4"/>
    <w:rsid w:val="005E0185"/>
    <w:rsid w:val="005E29E5"/>
    <w:rsid w:val="005E2A2E"/>
    <w:rsid w:val="005E35AD"/>
    <w:rsid w:val="005E5A40"/>
    <w:rsid w:val="005F04EA"/>
    <w:rsid w:val="005F4A30"/>
    <w:rsid w:val="005F5BCA"/>
    <w:rsid w:val="0060043D"/>
    <w:rsid w:val="00601BE8"/>
    <w:rsid w:val="00601E6E"/>
    <w:rsid w:val="0060207C"/>
    <w:rsid w:val="00602460"/>
    <w:rsid w:val="00603E46"/>
    <w:rsid w:val="00604888"/>
    <w:rsid w:val="00605BAF"/>
    <w:rsid w:val="00606799"/>
    <w:rsid w:val="00607A4A"/>
    <w:rsid w:val="00610023"/>
    <w:rsid w:val="00610667"/>
    <w:rsid w:val="00610D73"/>
    <w:rsid w:val="0061197B"/>
    <w:rsid w:val="00612028"/>
    <w:rsid w:val="006126C7"/>
    <w:rsid w:val="00612C87"/>
    <w:rsid w:val="0061531E"/>
    <w:rsid w:val="00615AA6"/>
    <w:rsid w:val="00615CAA"/>
    <w:rsid w:val="00615CD6"/>
    <w:rsid w:val="00616AC8"/>
    <w:rsid w:val="00616BF7"/>
    <w:rsid w:val="0061753B"/>
    <w:rsid w:val="006177A0"/>
    <w:rsid w:val="00622538"/>
    <w:rsid w:val="006235FC"/>
    <w:rsid w:val="00623D12"/>
    <w:rsid w:val="00623EAE"/>
    <w:rsid w:val="00624C0A"/>
    <w:rsid w:val="00625D84"/>
    <w:rsid w:val="00631382"/>
    <w:rsid w:val="00631C23"/>
    <w:rsid w:val="0063309D"/>
    <w:rsid w:val="006332C8"/>
    <w:rsid w:val="00634BF7"/>
    <w:rsid w:val="0063535E"/>
    <w:rsid w:val="00635C07"/>
    <w:rsid w:val="00635E4C"/>
    <w:rsid w:val="00640771"/>
    <w:rsid w:val="00640F54"/>
    <w:rsid w:val="006418EB"/>
    <w:rsid w:val="00642589"/>
    <w:rsid w:val="00642B5E"/>
    <w:rsid w:val="00642C6C"/>
    <w:rsid w:val="00643A1E"/>
    <w:rsid w:val="006444FA"/>
    <w:rsid w:val="00644EBB"/>
    <w:rsid w:val="00645906"/>
    <w:rsid w:val="00646A04"/>
    <w:rsid w:val="0065054C"/>
    <w:rsid w:val="00651376"/>
    <w:rsid w:val="00651DFB"/>
    <w:rsid w:val="00652F5A"/>
    <w:rsid w:val="00654F84"/>
    <w:rsid w:val="006572F1"/>
    <w:rsid w:val="00661515"/>
    <w:rsid w:val="00661A4F"/>
    <w:rsid w:val="00661D82"/>
    <w:rsid w:val="00662D89"/>
    <w:rsid w:val="006639A4"/>
    <w:rsid w:val="00665F1E"/>
    <w:rsid w:val="0066666C"/>
    <w:rsid w:val="0066713C"/>
    <w:rsid w:val="00667662"/>
    <w:rsid w:val="00667FDE"/>
    <w:rsid w:val="00671BA8"/>
    <w:rsid w:val="0067328A"/>
    <w:rsid w:val="006739B2"/>
    <w:rsid w:val="006741A5"/>
    <w:rsid w:val="00674577"/>
    <w:rsid w:val="00674A68"/>
    <w:rsid w:val="00675EF9"/>
    <w:rsid w:val="00676D08"/>
    <w:rsid w:val="006801BA"/>
    <w:rsid w:val="00681E98"/>
    <w:rsid w:val="0068237D"/>
    <w:rsid w:val="0068276D"/>
    <w:rsid w:val="006847DE"/>
    <w:rsid w:val="00685F46"/>
    <w:rsid w:val="00686CF9"/>
    <w:rsid w:val="006875CD"/>
    <w:rsid w:val="0069021D"/>
    <w:rsid w:val="0069064B"/>
    <w:rsid w:val="006913B6"/>
    <w:rsid w:val="00691BC2"/>
    <w:rsid w:val="006975EE"/>
    <w:rsid w:val="00697A99"/>
    <w:rsid w:val="006A0D43"/>
    <w:rsid w:val="006A106E"/>
    <w:rsid w:val="006A3BB1"/>
    <w:rsid w:val="006A4B92"/>
    <w:rsid w:val="006A4F83"/>
    <w:rsid w:val="006A6A4A"/>
    <w:rsid w:val="006A74C7"/>
    <w:rsid w:val="006B012E"/>
    <w:rsid w:val="006B047D"/>
    <w:rsid w:val="006B13E1"/>
    <w:rsid w:val="006B3CFC"/>
    <w:rsid w:val="006B4644"/>
    <w:rsid w:val="006B54C5"/>
    <w:rsid w:val="006B5C1B"/>
    <w:rsid w:val="006B68DD"/>
    <w:rsid w:val="006B6C57"/>
    <w:rsid w:val="006B6F1A"/>
    <w:rsid w:val="006B7007"/>
    <w:rsid w:val="006C2734"/>
    <w:rsid w:val="006C3AD3"/>
    <w:rsid w:val="006C3AE2"/>
    <w:rsid w:val="006C6D39"/>
    <w:rsid w:val="006D0256"/>
    <w:rsid w:val="006D1404"/>
    <w:rsid w:val="006D1CD4"/>
    <w:rsid w:val="006D368D"/>
    <w:rsid w:val="006D3F3F"/>
    <w:rsid w:val="006D4C35"/>
    <w:rsid w:val="006D5043"/>
    <w:rsid w:val="006D659A"/>
    <w:rsid w:val="006D65F6"/>
    <w:rsid w:val="006E27E9"/>
    <w:rsid w:val="006E3168"/>
    <w:rsid w:val="006E48E3"/>
    <w:rsid w:val="006E4AFC"/>
    <w:rsid w:val="006E66A7"/>
    <w:rsid w:val="006F0689"/>
    <w:rsid w:val="006F06B6"/>
    <w:rsid w:val="006F4569"/>
    <w:rsid w:val="006F5C17"/>
    <w:rsid w:val="006F782D"/>
    <w:rsid w:val="007046E0"/>
    <w:rsid w:val="007055B9"/>
    <w:rsid w:val="00710A2A"/>
    <w:rsid w:val="007124CE"/>
    <w:rsid w:val="00713224"/>
    <w:rsid w:val="007145B4"/>
    <w:rsid w:val="00714CF6"/>
    <w:rsid w:val="00716516"/>
    <w:rsid w:val="007168AA"/>
    <w:rsid w:val="007172DD"/>
    <w:rsid w:val="00721168"/>
    <w:rsid w:val="00721BDC"/>
    <w:rsid w:val="0072370F"/>
    <w:rsid w:val="00726A78"/>
    <w:rsid w:val="007275F5"/>
    <w:rsid w:val="0072776C"/>
    <w:rsid w:val="007278BF"/>
    <w:rsid w:val="00727AD7"/>
    <w:rsid w:val="00727CDF"/>
    <w:rsid w:val="00730EC4"/>
    <w:rsid w:val="00731153"/>
    <w:rsid w:val="00731E62"/>
    <w:rsid w:val="007325A5"/>
    <w:rsid w:val="007331C0"/>
    <w:rsid w:val="0073387E"/>
    <w:rsid w:val="0073541E"/>
    <w:rsid w:val="007363AB"/>
    <w:rsid w:val="0073791E"/>
    <w:rsid w:val="0074793B"/>
    <w:rsid w:val="00754317"/>
    <w:rsid w:val="007543D1"/>
    <w:rsid w:val="007546B4"/>
    <w:rsid w:val="00755087"/>
    <w:rsid w:val="0075546A"/>
    <w:rsid w:val="00760ABB"/>
    <w:rsid w:val="00762ED9"/>
    <w:rsid w:val="007632BC"/>
    <w:rsid w:val="00764833"/>
    <w:rsid w:val="00767713"/>
    <w:rsid w:val="00767BF8"/>
    <w:rsid w:val="0077120B"/>
    <w:rsid w:val="00772E8E"/>
    <w:rsid w:val="007733F1"/>
    <w:rsid w:val="0077472C"/>
    <w:rsid w:val="00775027"/>
    <w:rsid w:val="00776C7D"/>
    <w:rsid w:val="00777232"/>
    <w:rsid w:val="00780E91"/>
    <w:rsid w:val="00782160"/>
    <w:rsid w:val="007851C1"/>
    <w:rsid w:val="0078609D"/>
    <w:rsid w:val="00786D4F"/>
    <w:rsid w:val="00790146"/>
    <w:rsid w:val="007908BD"/>
    <w:rsid w:val="00792358"/>
    <w:rsid w:val="0079278E"/>
    <w:rsid w:val="0079338F"/>
    <w:rsid w:val="007940F6"/>
    <w:rsid w:val="00794EAB"/>
    <w:rsid w:val="00796091"/>
    <w:rsid w:val="00797905"/>
    <w:rsid w:val="007A1654"/>
    <w:rsid w:val="007A3362"/>
    <w:rsid w:val="007A3508"/>
    <w:rsid w:val="007A4B95"/>
    <w:rsid w:val="007A6A91"/>
    <w:rsid w:val="007B0592"/>
    <w:rsid w:val="007B4F23"/>
    <w:rsid w:val="007B6265"/>
    <w:rsid w:val="007B78FB"/>
    <w:rsid w:val="007C1FCB"/>
    <w:rsid w:val="007C2A44"/>
    <w:rsid w:val="007C3247"/>
    <w:rsid w:val="007C327D"/>
    <w:rsid w:val="007C63BD"/>
    <w:rsid w:val="007D0053"/>
    <w:rsid w:val="007D0B62"/>
    <w:rsid w:val="007D22D1"/>
    <w:rsid w:val="007D2833"/>
    <w:rsid w:val="007D3081"/>
    <w:rsid w:val="007D43D9"/>
    <w:rsid w:val="007D600F"/>
    <w:rsid w:val="007D6AA5"/>
    <w:rsid w:val="007D7BF8"/>
    <w:rsid w:val="007E17CB"/>
    <w:rsid w:val="007E292A"/>
    <w:rsid w:val="007E2A8C"/>
    <w:rsid w:val="007E42F0"/>
    <w:rsid w:val="007E563D"/>
    <w:rsid w:val="007E6506"/>
    <w:rsid w:val="007F01B9"/>
    <w:rsid w:val="007F2801"/>
    <w:rsid w:val="007F2D6F"/>
    <w:rsid w:val="007F322A"/>
    <w:rsid w:val="007F4A34"/>
    <w:rsid w:val="007F74A8"/>
    <w:rsid w:val="008007BC"/>
    <w:rsid w:val="008015C1"/>
    <w:rsid w:val="0080192D"/>
    <w:rsid w:val="008020DF"/>
    <w:rsid w:val="0080303A"/>
    <w:rsid w:val="0080365D"/>
    <w:rsid w:val="00805F73"/>
    <w:rsid w:val="008067E9"/>
    <w:rsid w:val="00806AA5"/>
    <w:rsid w:val="0081356F"/>
    <w:rsid w:val="00813DDD"/>
    <w:rsid w:val="00815205"/>
    <w:rsid w:val="00817687"/>
    <w:rsid w:val="00817ED9"/>
    <w:rsid w:val="008213B1"/>
    <w:rsid w:val="00822AA6"/>
    <w:rsid w:val="00823B39"/>
    <w:rsid w:val="008258E3"/>
    <w:rsid w:val="00825AC9"/>
    <w:rsid w:val="00830A7A"/>
    <w:rsid w:val="00834481"/>
    <w:rsid w:val="00834A30"/>
    <w:rsid w:val="00835145"/>
    <w:rsid w:val="008363DC"/>
    <w:rsid w:val="00836E2B"/>
    <w:rsid w:val="00836FF4"/>
    <w:rsid w:val="0084226A"/>
    <w:rsid w:val="008434DE"/>
    <w:rsid w:val="00846B50"/>
    <w:rsid w:val="00846C13"/>
    <w:rsid w:val="00846C56"/>
    <w:rsid w:val="00846F42"/>
    <w:rsid w:val="008530BF"/>
    <w:rsid w:val="0085420E"/>
    <w:rsid w:val="00855599"/>
    <w:rsid w:val="00855CF4"/>
    <w:rsid w:val="00860AF6"/>
    <w:rsid w:val="0086117E"/>
    <w:rsid w:val="008611FD"/>
    <w:rsid w:val="0086336C"/>
    <w:rsid w:val="00864724"/>
    <w:rsid w:val="00864BE4"/>
    <w:rsid w:val="008664A3"/>
    <w:rsid w:val="00867D74"/>
    <w:rsid w:val="00872692"/>
    <w:rsid w:val="00873547"/>
    <w:rsid w:val="008741B1"/>
    <w:rsid w:val="00875B0F"/>
    <w:rsid w:val="00880B60"/>
    <w:rsid w:val="008810A7"/>
    <w:rsid w:val="008817F1"/>
    <w:rsid w:val="00881C2E"/>
    <w:rsid w:val="00885ADF"/>
    <w:rsid w:val="00886019"/>
    <w:rsid w:val="00891149"/>
    <w:rsid w:val="00891E3B"/>
    <w:rsid w:val="00893FBB"/>
    <w:rsid w:val="00894533"/>
    <w:rsid w:val="00894D15"/>
    <w:rsid w:val="00895875"/>
    <w:rsid w:val="00895DFE"/>
    <w:rsid w:val="008967A5"/>
    <w:rsid w:val="008A0F97"/>
    <w:rsid w:val="008A1B98"/>
    <w:rsid w:val="008A1DDE"/>
    <w:rsid w:val="008A2288"/>
    <w:rsid w:val="008A2A8E"/>
    <w:rsid w:val="008A3409"/>
    <w:rsid w:val="008B044D"/>
    <w:rsid w:val="008B0A10"/>
    <w:rsid w:val="008B0D1C"/>
    <w:rsid w:val="008B25B5"/>
    <w:rsid w:val="008B308A"/>
    <w:rsid w:val="008B3248"/>
    <w:rsid w:val="008B4AAB"/>
    <w:rsid w:val="008B565C"/>
    <w:rsid w:val="008B60BE"/>
    <w:rsid w:val="008C0405"/>
    <w:rsid w:val="008C10B1"/>
    <w:rsid w:val="008C1756"/>
    <w:rsid w:val="008C2145"/>
    <w:rsid w:val="008D0611"/>
    <w:rsid w:val="008D087B"/>
    <w:rsid w:val="008D17DF"/>
    <w:rsid w:val="008D2EB5"/>
    <w:rsid w:val="008D37A7"/>
    <w:rsid w:val="008D551B"/>
    <w:rsid w:val="008D5BDE"/>
    <w:rsid w:val="008D5D67"/>
    <w:rsid w:val="008D5FBE"/>
    <w:rsid w:val="008D685D"/>
    <w:rsid w:val="008D6ACE"/>
    <w:rsid w:val="008E08F5"/>
    <w:rsid w:val="008E1226"/>
    <w:rsid w:val="008E5460"/>
    <w:rsid w:val="008E5E33"/>
    <w:rsid w:val="008E6257"/>
    <w:rsid w:val="008E6DD2"/>
    <w:rsid w:val="008E6E1C"/>
    <w:rsid w:val="008E6FAD"/>
    <w:rsid w:val="008F03D1"/>
    <w:rsid w:val="008F0823"/>
    <w:rsid w:val="008F2098"/>
    <w:rsid w:val="008F3963"/>
    <w:rsid w:val="008F3FF5"/>
    <w:rsid w:val="0090120E"/>
    <w:rsid w:val="00901A7F"/>
    <w:rsid w:val="0090275C"/>
    <w:rsid w:val="00903B36"/>
    <w:rsid w:val="00904799"/>
    <w:rsid w:val="00904869"/>
    <w:rsid w:val="009049AA"/>
    <w:rsid w:val="00904CC9"/>
    <w:rsid w:val="00905D18"/>
    <w:rsid w:val="00905F23"/>
    <w:rsid w:val="00906BAA"/>
    <w:rsid w:val="00906FD3"/>
    <w:rsid w:val="00916B2D"/>
    <w:rsid w:val="00917A5A"/>
    <w:rsid w:val="00920038"/>
    <w:rsid w:val="009201AE"/>
    <w:rsid w:val="00923810"/>
    <w:rsid w:val="009247E2"/>
    <w:rsid w:val="009260FD"/>
    <w:rsid w:val="0092693B"/>
    <w:rsid w:val="00930333"/>
    <w:rsid w:val="0093311B"/>
    <w:rsid w:val="0093467B"/>
    <w:rsid w:val="0093478F"/>
    <w:rsid w:val="00936B7A"/>
    <w:rsid w:val="00937072"/>
    <w:rsid w:val="009406C7"/>
    <w:rsid w:val="00943C99"/>
    <w:rsid w:val="00945448"/>
    <w:rsid w:val="00951FBC"/>
    <w:rsid w:val="009524AE"/>
    <w:rsid w:val="009529F3"/>
    <w:rsid w:val="00953A18"/>
    <w:rsid w:val="00953B2D"/>
    <w:rsid w:val="00954002"/>
    <w:rsid w:val="009541FC"/>
    <w:rsid w:val="00954288"/>
    <w:rsid w:val="00955451"/>
    <w:rsid w:val="00955E3E"/>
    <w:rsid w:val="009579C7"/>
    <w:rsid w:val="009605CD"/>
    <w:rsid w:val="00961E74"/>
    <w:rsid w:val="00961E89"/>
    <w:rsid w:val="009642B8"/>
    <w:rsid w:val="00964636"/>
    <w:rsid w:val="00965E57"/>
    <w:rsid w:val="0097045E"/>
    <w:rsid w:val="009716AE"/>
    <w:rsid w:val="00977270"/>
    <w:rsid w:val="009776EA"/>
    <w:rsid w:val="00980B2A"/>
    <w:rsid w:val="0098213D"/>
    <w:rsid w:val="00982EEF"/>
    <w:rsid w:val="009835C1"/>
    <w:rsid w:val="00983B8C"/>
    <w:rsid w:val="00986B2D"/>
    <w:rsid w:val="00987D17"/>
    <w:rsid w:val="00992FCA"/>
    <w:rsid w:val="009937A7"/>
    <w:rsid w:val="00997633"/>
    <w:rsid w:val="009A0DF4"/>
    <w:rsid w:val="009A0E9B"/>
    <w:rsid w:val="009A26B5"/>
    <w:rsid w:val="009A2926"/>
    <w:rsid w:val="009A38A9"/>
    <w:rsid w:val="009A44C3"/>
    <w:rsid w:val="009A453E"/>
    <w:rsid w:val="009A64A0"/>
    <w:rsid w:val="009A66A8"/>
    <w:rsid w:val="009B0868"/>
    <w:rsid w:val="009B0B14"/>
    <w:rsid w:val="009B0D5F"/>
    <w:rsid w:val="009B1279"/>
    <w:rsid w:val="009B16E1"/>
    <w:rsid w:val="009B3AA9"/>
    <w:rsid w:val="009B3EA1"/>
    <w:rsid w:val="009B44E2"/>
    <w:rsid w:val="009B4A13"/>
    <w:rsid w:val="009B5610"/>
    <w:rsid w:val="009B6722"/>
    <w:rsid w:val="009B6AF8"/>
    <w:rsid w:val="009B6E1D"/>
    <w:rsid w:val="009B6F88"/>
    <w:rsid w:val="009B7959"/>
    <w:rsid w:val="009C1437"/>
    <w:rsid w:val="009C15BE"/>
    <w:rsid w:val="009C1690"/>
    <w:rsid w:val="009C50B6"/>
    <w:rsid w:val="009C548A"/>
    <w:rsid w:val="009C702F"/>
    <w:rsid w:val="009C7347"/>
    <w:rsid w:val="009D10FE"/>
    <w:rsid w:val="009D2642"/>
    <w:rsid w:val="009D4639"/>
    <w:rsid w:val="009D55E2"/>
    <w:rsid w:val="009D6EB7"/>
    <w:rsid w:val="009E0916"/>
    <w:rsid w:val="009E1893"/>
    <w:rsid w:val="009E1F34"/>
    <w:rsid w:val="009E2D80"/>
    <w:rsid w:val="009E313B"/>
    <w:rsid w:val="009E3572"/>
    <w:rsid w:val="009E45F3"/>
    <w:rsid w:val="009E45F8"/>
    <w:rsid w:val="009E61B3"/>
    <w:rsid w:val="009E61CB"/>
    <w:rsid w:val="009E65B7"/>
    <w:rsid w:val="009F1C77"/>
    <w:rsid w:val="009F36A6"/>
    <w:rsid w:val="009F3CEA"/>
    <w:rsid w:val="00A00766"/>
    <w:rsid w:val="00A00858"/>
    <w:rsid w:val="00A01702"/>
    <w:rsid w:val="00A03C44"/>
    <w:rsid w:val="00A05FB0"/>
    <w:rsid w:val="00A05FF5"/>
    <w:rsid w:val="00A108FC"/>
    <w:rsid w:val="00A114D4"/>
    <w:rsid w:val="00A145D3"/>
    <w:rsid w:val="00A15351"/>
    <w:rsid w:val="00A153AC"/>
    <w:rsid w:val="00A20140"/>
    <w:rsid w:val="00A235C8"/>
    <w:rsid w:val="00A26E17"/>
    <w:rsid w:val="00A2701C"/>
    <w:rsid w:val="00A2750D"/>
    <w:rsid w:val="00A30C4B"/>
    <w:rsid w:val="00A30EA6"/>
    <w:rsid w:val="00A33995"/>
    <w:rsid w:val="00A3525D"/>
    <w:rsid w:val="00A36860"/>
    <w:rsid w:val="00A40BE0"/>
    <w:rsid w:val="00A40D10"/>
    <w:rsid w:val="00A43187"/>
    <w:rsid w:val="00A43563"/>
    <w:rsid w:val="00A454DE"/>
    <w:rsid w:val="00A45EF4"/>
    <w:rsid w:val="00A4656D"/>
    <w:rsid w:val="00A47E76"/>
    <w:rsid w:val="00A5110E"/>
    <w:rsid w:val="00A53A5A"/>
    <w:rsid w:val="00A54F59"/>
    <w:rsid w:val="00A55E03"/>
    <w:rsid w:val="00A55E1E"/>
    <w:rsid w:val="00A55E27"/>
    <w:rsid w:val="00A573A6"/>
    <w:rsid w:val="00A57C94"/>
    <w:rsid w:val="00A6533F"/>
    <w:rsid w:val="00A65893"/>
    <w:rsid w:val="00A65ED7"/>
    <w:rsid w:val="00A6741E"/>
    <w:rsid w:val="00A70EC9"/>
    <w:rsid w:val="00A71E8A"/>
    <w:rsid w:val="00A748FA"/>
    <w:rsid w:val="00A76FB0"/>
    <w:rsid w:val="00A77576"/>
    <w:rsid w:val="00A779D0"/>
    <w:rsid w:val="00A77B3C"/>
    <w:rsid w:val="00A80207"/>
    <w:rsid w:val="00A812CE"/>
    <w:rsid w:val="00A827E7"/>
    <w:rsid w:val="00A844D7"/>
    <w:rsid w:val="00A86F78"/>
    <w:rsid w:val="00A90B41"/>
    <w:rsid w:val="00A94216"/>
    <w:rsid w:val="00A949E9"/>
    <w:rsid w:val="00A95819"/>
    <w:rsid w:val="00A962C6"/>
    <w:rsid w:val="00A968D4"/>
    <w:rsid w:val="00AA069C"/>
    <w:rsid w:val="00AA39ED"/>
    <w:rsid w:val="00AA3F9E"/>
    <w:rsid w:val="00AA4518"/>
    <w:rsid w:val="00AA4A1D"/>
    <w:rsid w:val="00AA5B35"/>
    <w:rsid w:val="00AA6A89"/>
    <w:rsid w:val="00AA73A6"/>
    <w:rsid w:val="00AA74D6"/>
    <w:rsid w:val="00AB08BD"/>
    <w:rsid w:val="00AB2A4B"/>
    <w:rsid w:val="00AB3056"/>
    <w:rsid w:val="00AB408B"/>
    <w:rsid w:val="00AB4586"/>
    <w:rsid w:val="00AB4BD1"/>
    <w:rsid w:val="00AB78B7"/>
    <w:rsid w:val="00AC02B2"/>
    <w:rsid w:val="00AC14E5"/>
    <w:rsid w:val="00AC1AFB"/>
    <w:rsid w:val="00AC3D0E"/>
    <w:rsid w:val="00AC5D9F"/>
    <w:rsid w:val="00AC6B74"/>
    <w:rsid w:val="00AC78D3"/>
    <w:rsid w:val="00AD0B1E"/>
    <w:rsid w:val="00AD0CC0"/>
    <w:rsid w:val="00AD30B4"/>
    <w:rsid w:val="00AD3DD8"/>
    <w:rsid w:val="00AD6575"/>
    <w:rsid w:val="00AD7DB8"/>
    <w:rsid w:val="00AD7E36"/>
    <w:rsid w:val="00AE0C9C"/>
    <w:rsid w:val="00AE0D83"/>
    <w:rsid w:val="00AE3584"/>
    <w:rsid w:val="00AE6918"/>
    <w:rsid w:val="00AE7548"/>
    <w:rsid w:val="00AF10B1"/>
    <w:rsid w:val="00AF23AF"/>
    <w:rsid w:val="00AF37F9"/>
    <w:rsid w:val="00AF504F"/>
    <w:rsid w:val="00AF6327"/>
    <w:rsid w:val="00AF7C1A"/>
    <w:rsid w:val="00B00F09"/>
    <w:rsid w:val="00B01BFC"/>
    <w:rsid w:val="00B029FC"/>
    <w:rsid w:val="00B0394D"/>
    <w:rsid w:val="00B042C8"/>
    <w:rsid w:val="00B04F8A"/>
    <w:rsid w:val="00B05064"/>
    <w:rsid w:val="00B0543B"/>
    <w:rsid w:val="00B06AA7"/>
    <w:rsid w:val="00B07B3E"/>
    <w:rsid w:val="00B10EF9"/>
    <w:rsid w:val="00B1137E"/>
    <w:rsid w:val="00B16C64"/>
    <w:rsid w:val="00B2173F"/>
    <w:rsid w:val="00B2212C"/>
    <w:rsid w:val="00B23B89"/>
    <w:rsid w:val="00B25756"/>
    <w:rsid w:val="00B275CC"/>
    <w:rsid w:val="00B31858"/>
    <w:rsid w:val="00B31B9E"/>
    <w:rsid w:val="00B3212B"/>
    <w:rsid w:val="00B32850"/>
    <w:rsid w:val="00B32E5B"/>
    <w:rsid w:val="00B32FBB"/>
    <w:rsid w:val="00B33372"/>
    <w:rsid w:val="00B35882"/>
    <w:rsid w:val="00B36E1A"/>
    <w:rsid w:val="00B3708F"/>
    <w:rsid w:val="00B41BA4"/>
    <w:rsid w:val="00B4337E"/>
    <w:rsid w:val="00B4406B"/>
    <w:rsid w:val="00B44AD3"/>
    <w:rsid w:val="00B45553"/>
    <w:rsid w:val="00B455C5"/>
    <w:rsid w:val="00B46CAE"/>
    <w:rsid w:val="00B46D0C"/>
    <w:rsid w:val="00B471D9"/>
    <w:rsid w:val="00B5050E"/>
    <w:rsid w:val="00B509B8"/>
    <w:rsid w:val="00B5152F"/>
    <w:rsid w:val="00B5426F"/>
    <w:rsid w:val="00B55F73"/>
    <w:rsid w:val="00B56484"/>
    <w:rsid w:val="00B57493"/>
    <w:rsid w:val="00B6014F"/>
    <w:rsid w:val="00B60523"/>
    <w:rsid w:val="00B60815"/>
    <w:rsid w:val="00B616E9"/>
    <w:rsid w:val="00B6189D"/>
    <w:rsid w:val="00B636E7"/>
    <w:rsid w:val="00B65D83"/>
    <w:rsid w:val="00B6718F"/>
    <w:rsid w:val="00B679E0"/>
    <w:rsid w:val="00B72723"/>
    <w:rsid w:val="00B72AF1"/>
    <w:rsid w:val="00B733BD"/>
    <w:rsid w:val="00B753CC"/>
    <w:rsid w:val="00B8229D"/>
    <w:rsid w:val="00B84B0C"/>
    <w:rsid w:val="00B878E6"/>
    <w:rsid w:val="00B90550"/>
    <w:rsid w:val="00B92308"/>
    <w:rsid w:val="00B9289B"/>
    <w:rsid w:val="00B92F17"/>
    <w:rsid w:val="00B94C1A"/>
    <w:rsid w:val="00B94DF8"/>
    <w:rsid w:val="00B96096"/>
    <w:rsid w:val="00B965E3"/>
    <w:rsid w:val="00B9687E"/>
    <w:rsid w:val="00B97F20"/>
    <w:rsid w:val="00BA0BF4"/>
    <w:rsid w:val="00BA155A"/>
    <w:rsid w:val="00BA1BF4"/>
    <w:rsid w:val="00BA21B2"/>
    <w:rsid w:val="00BA7EAC"/>
    <w:rsid w:val="00BB0921"/>
    <w:rsid w:val="00BB211B"/>
    <w:rsid w:val="00BB21BF"/>
    <w:rsid w:val="00BB4442"/>
    <w:rsid w:val="00BB475E"/>
    <w:rsid w:val="00BB5430"/>
    <w:rsid w:val="00BB740C"/>
    <w:rsid w:val="00BB744D"/>
    <w:rsid w:val="00BC2D2B"/>
    <w:rsid w:val="00BC2DB6"/>
    <w:rsid w:val="00BC645B"/>
    <w:rsid w:val="00BC727B"/>
    <w:rsid w:val="00BD0520"/>
    <w:rsid w:val="00BD0A2D"/>
    <w:rsid w:val="00BD1D14"/>
    <w:rsid w:val="00BD5079"/>
    <w:rsid w:val="00BD53C7"/>
    <w:rsid w:val="00BD78B6"/>
    <w:rsid w:val="00BE09FA"/>
    <w:rsid w:val="00BE0D59"/>
    <w:rsid w:val="00BE307A"/>
    <w:rsid w:val="00BE30B1"/>
    <w:rsid w:val="00BE5716"/>
    <w:rsid w:val="00BE5E00"/>
    <w:rsid w:val="00BE7D58"/>
    <w:rsid w:val="00BF11C7"/>
    <w:rsid w:val="00BF23C2"/>
    <w:rsid w:val="00BF242E"/>
    <w:rsid w:val="00BF25DA"/>
    <w:rsid w:val="00BF2CA5"/>
    <w:rsid w:val="00BF396D"/>
    <w:rsid w:val="00BF5EE0"/>
    <w:rsid w:val="00BF74A9"/>
    <w:rsid w:val="00C07FB9"/>
    <w:rsid w:val="00C105E7"/>
    <w:rsid w:val="00C11FDE"/>
    <w:rsid w:val="00C137C4"/>
    <w:rsid w:val="00C166C6"/>
    <w:rsid w:val="00C22930"/>
    <w:rsid w:val="00C22F6F"/>
    <w:rsid w:val="00C230DD"/>
    <w:rsid w:val="00C235E5"/>
    <w:rsid w:val="00C23933"/>
    <w:rsid w:val="00C2404E"/>
    <w:rsid w:val="00C2470A"/>
    <w:rsid w:val="00C24D41"/>
    <w:rsid w:val="00C2728B"/>
    <w:rsid w:val="00C27EF6"/>
    <w:rsid w:val="00C322CB"/>
    <w:rsid w:val="00C326CE"/>
    <w:rsid w:val="00C3497A"/>
    <w:rsid w:val="00C34E2D"/>
    <w:rsid w:val="00C367FE"/>
    <w:rsid w:val="00C36856"/>
    <w:rsid w:val="00C37533"/>
    <w:rsid w:val="00C378F0"/>
    <w:rsid w:val="00C37F3D"/>
    <w:rsid w:val="00C40528"/>
    <w:rsid w:val="00C40E19"/>
    <w:rsid w:val="00C415D8"/>
    <w:rsid w:val="00C4168A"/>
    <w:rsid w:val="00C42027"/>
    <w:rsid w:val="00C429AD"/>
    <w:rsid w:val="00C43E42"/>
    <w:rsid w:val="00C441C4"/>
    <w:rsid w:val="00C44666"/>
    <w:rsid w:val="00C449EF"/>
    <w:rsid w:val="00C47E12"/>
    <w:rsid w:val="00C51405"/>
    <w:rsid w:val="00C517C1"/>
    <w:rsid w:val="00C51A3E"/>
    <w:rsid w:val="00C51F46"/>
    <w:rsid w:val="00C52526"/>
    <w:rsid w:val="00C55996"/>
    <w:rsid w:val="00C55E3C"/>
    <w:rsid w:val="00C5781A"/>
    <w:rsid w:val="00C60F2D"/>
    <w:rsid w:val="00C62484"/>
    <w:rsid w:val="00C631CC"/>
    <w:rsid w:val="00C63DC3"/>
    <w:rsid w:val="00C64907"/>
    <w:rsid w:val="00C65253"/>
    <w:rsid w:val="00C6602D"/>
    <w:rsid w:val="00C668AC"/>
    <w:rsid w:val="00C71CE1"/>
    <w:rsid w:val="00C73584"/>
    <w:rsid w:val="00C745F3"/>
    <w:rsid w:val="00C754A8"/>
    <w:rsid w:val="00C772AE"/>
    <w:rsid w:val="00C773B3"/>
    <w:rsid w:val="00C77F09"/>
    <w:rsid w:val="00C806D2"/>
    <w:rsid w:val="00C8263A"/>
    <w:rsid w:val="00C8367D"/>
    <w:rsid w:val="00C83B63"/>
    <w:rsid w:val="00C84C88"/>
    <w:rsid w:val="00C859C7"/>
    <w:rsid w:val="00C90C8F"/>
    <w:rsid w:val="00C914B6"/>
    <w:rsid w:val="00C91E2B"/>
    <w:rsid w:val="00C92451"/>
    <w:rsid w:val="00C92FCF"/>
    <w:rsid w:val="00C93C59"/>
    <w:rsid w:val="00C94000"/>
    <w:rsid w:val="00C95151"/>
    <w:rsid w:val="00C97D1D"/>
    <w:rsid w:val="00CA0C3E"/>
    <w:rsid w:val="00CA1C40"/>
    <w:rsid w:val="00CA2753"/>
    <w:rsid w:val="00CA2AAC"/>
    <w:rsid w:val="00CA3094"/>
    <w:rsid w:val="00CA3342"/>
    <w:rsid w:val="00CA44C6"/>
    <w:rsid w:val="00CA4830"/>
    <w:rsid w:val="00CA562A"/>
    <w:rsid w:val="00CA5D9E"/>
    <w:rsid w:val="00CB0606"/>
    <w:rsid w:val="00CB08C8"/>
    <w:rsid w:val="00CB17C9"/>
    <w:rsid w:val="00CB22F8"/>
    <w:rsid w:val="00CB508A"/>
    <w:rsid w:val="00CC2BE1"/>
    <w:rsid w:val="00CC47E5"/>
    <w:rsid w:val="00CC6216"/>
    <w:rsid w:val="00CC682D"/>
    <w:rsid w:val="00CD1427"/>
    <w:rsid w:val="00CD1477"/>
    <w:rsid w:val="00CD2A92"/>
    <w:rsid w:val="00CD3EFE"/>
    <w:rsid w:val="00CD4109"/>
    <w:rsid w:val="00CD414D"/>
    <w:rsid w:val="00CD6D8D"/>
    <w:rsid w:val="00CD7124"/>
    <w:rsid w:val="00CE022C"/>
    <w:rsid w:val="00CE19DF"/>
    <w:rsid w:val="00CE2AA3"/>
    <w:rsid w:val="00CE367A"/>
    <w:rsid w:val="00CE48E1"/>
    <w:rsid w:val="00CE6B96"/>
    <w:rsid w:val="00CE709E"/>
    <w:rsid w:val="00CE7C43"/>
    <w:rsid w:val="00CE7E02"/>
    <w:rsid w:val="00CF0951"/>
    <w:rsid w:val="00CF0F13"/>
    <w:rsid w:val="00CF39D7"/>
    <w:rsid w:val="00CF5813"/>
    <w:rsid w:val="00CF5A7F"/>
    <w:rsid w:val="00CF5D93"/>
    <w:rsid w:val="00CF6F2D"/>
    <w:rsid w:val="00CF707C"/>
    <w:rsid w:val="00CF76C9"/>
    <w:rsid w:val="00CF7C7B"/>
    <w:rsid w:val="00D01B08"/>
    <w:rsid w:val="00D03618"/>
    <w:rsid w:val="00D04587"/>
    <w:rsid w:val="00D06D0C"/>
    <w:rsid w:val="00D07609"/>
    <w:rsid w:val="00D1013D"/>
    <w:rsid w:val="00D102E2"/>
    <w:rsid w:val="00D11F25"/>
    <w:rsid w:val="00D13BDE"/>
    <w:rsid w:val="00D16A76"/>
    <w:rsid w:val="00D20344"/>
    <w:rsid w:val="00D21C7F"/>
    <w:rsid w:val="00D2249B"/>
    <w:rsid w:val="00D23BDD"/>
    <w:rsid w:val="00D257BC"/>
    <w:rsid w:val="00D25AB7"/>
    <w:rsid w:val="00D2709A"/>
    <w:rsid w:val="00D27D9F"/>
    <w:rsid w:val="00D304A6"/>
    <w:rsid w:val="00D304E7"/>
    <w:rsid w:val="00D3098B"/>
    <w:rsid w:val="00D313EE"/>
    <w:rsid w:val="00D31D9B"/>
    <w:rsid w:val="00D31F73"/>
    <w:rsid w:val="00D333CE"/>
    <w:rsid w:val="00D3452F"/>
    <w:rsid w:val="00D351E3"/>
    <w:rsid w:val="00D37CE4"/>
    <w:rsid w:val="00D402E3"/>
    <w:rsid w:val="00D4075D"/>
    <w:rsid w:val="00D413D5"/>
    <w:rsid w:val="00D413DD"/>
    <w:rsid w:val="00D4160B"/>
    <w:rsid w:val="00D42349"/>
    <w:rsid w:val="00D42D51"/>
    <w:rsid w:val="00D43E63"/>
    <w:rsid w:val="00D46D13"/>
    <w:rsid w:val="00D4764F"/>
    <w:rsid w:val="00D47D29"/>
    <w:rsid w:val="00D50223"/>
    <w:rsid w:val="00D50359"/>
    <w:rsid w:val="00D50692"/>
    <w:rsid w:val="00D50B14"/>
    <w:rsid w:val="00D52996"/>
    <w:rsid w:val="00D53C4A"/>
    <w:rsid w:val="00D54802"/>
    <w:rsid w:val="00D570F2"/>
    <w:rsid w:val="00D57F56"/>
    <w:rsid w:val="00D60238"/>
    <w:rsid w:val="00D6264A"/>
    <w:rsid w:val="00D63B9C"/>
    <w:rsid w:val="00D65290"/>
    <w:rsid w:val="00D66F46"/>
    <w:rsid w:val="00D67EDD"/>
    <w:rsid w:val="00D71927"/>
    <w:rsid w:val="00D73A53"/>
    <w:rsid w:val="00D75E33"/>
    <w:rsid w:val="00D763BD"/>
    <w:rsid w:val="00D76453"/>
    <w:rsid w:val="00D76693"/>
    <w:rsid w:val="00D80971"/>
    <w:rsid w:val="00D809AA"/>
    <w:rsid w:val="00D83C59"/>
    <w:rsid w:val="00D8446D"/>
    <w:rsid w:val="00D869F2"/>
    <w:rsid w:val="00D86D81"/>
    <w:rsid w:val="00D86FDC"/>
    <w:rsid w:val="00D87A17"/>
    <w:rsid w:val="00D87B47"/>
    <w:rsid w:val="00D87CEB"/>
    <w:rsid w:val="00D90A50"/>
    <w:rsid w:val="00D93479"/>
    <w:rsid w:val="00D94CA6"/>
    <w:rsid w:val="00D95AA8"/>
    <w:rsid w:val="00D9755B"/>
    <w:rsid w:val="00DA0385"/>
    <w:rsid w:val="00DA2734"/>
    <w:rsid w:val="00DA338C"/>
    <w:rsid w:val="00DA5375"/>
    <w:rsid w:val="00DA6573"/>
    <w:rsid w:val="00DB2164"/>
    <w:rsid w:val="00DB27D3"/>
    <w:rsid w:val="00DB342D"/>
    <w:rsid w:val="00DB51C2"/>
    <w:rsid w:val="00DC0944"/>
    <w:rsid w:val="00DC3879"/>
    <w:rsid w:val="00DC3E27"/>
    <w:rsid w:val="00DC5695"/>
    <w:rsid w:val="00DC5826"/>
    <w:rsid w:val="00DC6589"/>
    <w:rsid w:val="00DC70A1"/>
    <w:rsid w:val="00DC7145"/>
    <w:rsid w:val="00DC79C7"/>
    <w:rsid w:val="00DD14BC"/>
    <w:rsid w:val="00DD18A9"/>
    <w:rsid w:val="00DD3970"/>
    <w:rsid w:val="00DD3A0F"/>
    <w:rsid w:val="00DD5CA6"/>
    <w:rsid w:val="00DD6342"/>
    <w:rsid w:val="00DD6AB3"/>
    <w:rsid w:val="00DE0F0E"/>
    <w:rsid w:val="00DE24D6"/>
    <w:rsid w:val="00DE2BF5"/>
    <w:rsid w:val="00DE6000"/>
    <w:rsid w:val="00DE7471"/>
    <w:rsid w:val="00DE7489"/>
    <w:rsid w:val="00DE79CF"/>
    <w:rsid w:val="00DF0553"/>
    <w:rsid w:val="00DF5EA5"/>
    <w:rsid w:val="00DF6319"/>
    <w:rsid w:val="00DF6D23"/>
    <w:rsid w:val="00DF70C7"/>
    <w:rsid w:val="00DF77E8"/>
    <w:rsid w:val="00E01F89"/>
    <w:rsid w:val="00E0226E"/>
    <w:rsid w:val="00E02EDE"/>
    <w:rsid w:val="00E06169"/>
    <w:rsid w:val="00E064C3"/>
    <w:rsid w:val="00E06CAA"/>
    <w:rsid w:val="00E07142"/>
    <w:rsid w:val="00E11EC0"/>
    <w:rsid w:val="00E12B6E"/>
    <w:rsid w:val="00E143DF"/>
    <w:rsid w:val="00E15F06"/>
    <w:rsid w:val="00E16301"/>
    <w:rsid w:val="00E16958"/>
    <w:rsid w:val="00E17F37"/>
    <w:rsid w:val="00E219AA"/>
    <w:rsid w:val="00E23F04"/>
    <w:rsid w:val="00E26076"/>
    <w:rsid w:val="00E278C5"/>
    <w:rsid w:val="00E30CC9"/>
    <w:rsid w:val="00E31229"/>
    <w:rsid w:val="00E33FE3"/>
    <w:rsid w:val="00E34073"/>
    <w:rsid w:val="00E34269"/>
    <w:rsid w:val="00E3469F"/>
    <w:rsid w:val="00E34929"/>
    <w:rsid w:val="00E350D1"/>
    <w:rsid w:val="00E35EA8"/>
    <w:rsid w:val="00E37E08"/>
    <w:rsid w:val="00E423AA"/>
    <w:rsid w:val="00E4501A"/>
    <w:rsid w:val="00E45605"/>
    <w:rsid w:val="00E457C5"/>
    <w:rsid w:val="00E50960"/>
    <w:rsid w:val="00E52444"/>
    <w:rsid w:val="00E54DA8"/>
    <w:rsid w:val="00E5528F"/>
    <w:rsid w:val="00E57C69"/>
    <w:rsid w:val="00E57C72"/>
    <w:rsid w:val="00E60EF3"/>
    <w:rsid w:val="00E611A6"/>
    <w:rsid w:val="00E6209A"/>
    <w:rsid w:val="00E622F8"/>
    <w:rsid w:val="00E62F8E"/>
    <w:rsid w:val="00E64760"/>
    <w:rsid w:val="00E657F3"/>
    <w:rsid w:val="00E6767C"/>
    <w:rsid w:val="00E70969"/>
    <w:rsid w:val="00E73B83"/>
    <w:rsid w:val="00E74AE2"/>
    <w:rsid w:val="00E75894"/>
    <w:rsid w:val="00E77BF4"/>
    <w:rsid w:val="00E77CD9"/>
    <w:rsid w:val="00E80637"/>
    <w:rsid w:val="00E835B7"/>
    <w:rsid w:val="00E846E7"/>
    <w:rsid w:val="00E8498D"/>
    <w:rsid w:val="00E85D14"/>
    <w:rsid w:val="00E91FA3"/>
    <w:rsid w:val="00E926F7"/>
    <w:rsid w:val="00E93985"/>
    <w:rsid w:val="00E95E21"/>
    <w:rsid w:val="00E97001"/>
    <w:rsid w:val="00EA0225"/>
    <w:rsid w:val="00EA0B30"/>
    <w:rsid w:val="00EA18DB"/>
    <w:rsid w:val="00EA4EE7"/>
    <w:rsid w:val="00EA63FA"/>
    <w:rsid w:val="00EB06E0"/>
    <w:rsid w:val="00EB092C"/>
    <w:rsid w:val="00EB0B26"/>
    <w:rsid w:val="00EB2747"/>
    <w:rsid w:val="00EB400A"/>
    <w:rsid w:val="00EB4077"/>
    <w:rsid w:val="00EB4BDA"/>
    <w:rsid w:val="00EB4F0A"/>
    <w:rsid w:val="00EB5803"/>
    <w:rsid w:val="00EB5923"/>
    <w:rsid w:val="00EB6338"/>
    <w:rsid w:val="00EB6570"/>
    <w:rsid w:val="00EC20E0"/>
    <w:rsid w:val="00EC2A5D"/>
    <w:rsid w:val="00EC2C91"/>
    <w:rsid w:val="00EC5446"/>
    <w:rsid w:val="00EC59F3"/>
    <w:rsid w:val="00ED1D5D"/>
    <w:rsid w:val="00ED2300"/>
    <w:rsid w:val="00ED425F"/>
    <w:rsid w:val="00ED5B2B"/>
    <w:rsid w:val="00EE2244"/>
    <w:rsid w:val="00EE316D"/>
    <w:rsid w:val="00EE39C3"/>
    <w:rsid w:val="00EE3B7E"/>
    <w:rsid w:val="00EE3F2B"/>
    <w:rsid w:val="00EE401F"/>
    <w:rsid w:val="00EE539C"/>
    <w:rsid w:val="00EE56BE"/>
    <w:rsid w:val="00EE5B9E"/>
    <w:rsid w:val="00EE5EC9"/>
    <w:rsid w:val="00EE6F21"/>
    <w:rsid w:val="00EF0313"/>
    <w:rsid w:val="00EF0399"/>
    <w:rsid w:val="00EF0A40"/>
    <w:rsid w:val="00EF16DE"/>
    <w:rsid w:val="00EF2215"/>
    <w:rsid w:val="00EF23CD"/>
    <w:rsid w:val="00EF2E07"/>
    <w:rsid w:val="00EF460D"/>
    <w:rsid w:val="00EF5062"/>
    <w:rsid w:val="00EF5158"/>
    <w:rsid w:val="00EF5BFC"/>
    <w:rsid w:val="00EF66B6"/>
    <w:rsid w:val="00EF74FC"/>
    <w:rsid w:val="00F014F0"/>
    <w:rsid w:val="00F015A2"/>
    <w:rsid w:val="00F04EE3"/>
    <w:rsid w:val="00F05BB2"/>
    <w:rsid w:val="00F06570"/>
    <w:rsid w:val="00F06FC2"/>
    <w:rsid w:val="00F07767"/>
    <w:rsid w:val="00F07F38"/>
    <w:rsid w:val="00F1030E"/>
    <w:rsid w:val="00F108F8"/>
    <w:rsid w:val="00F1257D"/>
    <w:rsid w:val="00F125A9"/>
    <w:rsid w:val="00F125F3"/>
    <w:rsid w:val="00F133FA"/>
    <w:rsid w:val="00F13F29"/>
    <w:rsid w:val="00F16CF9"/>
    <w:rsid w:val="00F17240"/>
    <w:rsid w:val="00F17E93"/>
    <w:rsid w:val="00F204E3"/>
    <w:rsid w:val="00F22289"/>
    <w:rsid w:val="00F230DA"/>
    <w:rsid w:val="00F2550E"/>
    <w:rsid w:val="00F25A2B"/>
    <w:rsid w:val="00F25C8C"/>
    <w:rsid w:val="00F26F3F"/>
    <w:rsid w:val="00F271C8"/>
    <w:rsid w:val="00F30CD1"/>
    <w:rsid w:val="00F31717"/>
    <w:rsid w:val="00F31B0D"/>
    <w:rsid w:val="00F333CF"/>
    <w:rsid w:val="00F3512E"/>
    <w:rsid w:val="00F35A8A"/>
    <w:rsid w:val="00F36D48"/>
    <w:rsid w:val="00F37BC3"/>
    <w:rsid w:val="00F44521"/>
    <w:rsid w:val="00F463E7"/>
    <w:rsid w:val="00F475CB"/>
    <w:rsid w:val="00F52012"/>
    <w:rsid w:val="00F52918"/>
    <w:rsid w:val="00F57242"/>
    <w:rsid w:val="00F60040"/>
    <w:rsid w:val="00F60E3C"/>
    <w:rsid w:val="00F60F88"/>
    <w:rsid w:val="00F613D2"/>
    <w:rsid w:val="00F62AB5"/>
    <w:rsid w:val="00F63823"/>
    <w:rsid w:val="00F638F0"/>
    <w:rsid w:val="00F641F8"/>
    <w:rsid w:val="00F64517"/>
    <w:rsid w:val="00F64E92"/>
    <w:rsid w:val="00F657D4"/>
    <w:rsid w:val="00F66695"/>
    <w:rsid w:val="00F73EE5"/>
    <w:rsid w:val="00F75D8B"/>
    <w:rsid w:val="00F772E7"/>
    <w:rsid w:val="00F7789A"/>
    <w:rsid w:val="00F82C4E"/>
    <w:rsid w:val="00F82CF7"/>
    <w:rsid w:val="00F87BCA"/>
    <w:rsid w:val="00F91D7D"/>
    <w:rsid w:val="00F95217"/>
    <w:rsid w:val="00F95B6A"/>
    <w:rsid w:val="00F97BD3"/>
    <w:rsid w:val="00FA34B0"/>
    <w:rsid w:val="00FA39F1"/>
    <w:rsid w:val="00FA4D90"/>
    <w:rsid w:val="00FA4FB9"/>
    <w:rsid w:val="00FA544F"/>
    <w:rsid w:val="00FA5DF3"/>
    <w:rsid w:val="00FA5E0A"/>
    <w:rsid w:val="00FA71AC"/>
    <w:rsid w:val="00FA726D"/>
    <w:rsid w:val="00FB0032"/>
    <w:rsid w:val="00FB193A"/>
    <w:rsid w:val="00FB2459"/>
    <w:rsid w:val="00FB2F5C"/>
    <w:rsid w:val="00FB39CE"/>
    <w:rsid w:val="00FB3C3D"/>
    <w:rsid w:val="00FB3C67"/>
    <w:rsid w:val="00FB4A01"/>
    <w:rsid w:val="00FB5091"/>
    <w:rsid w:val="00FB5AF6"/>
    <w:rsid w:val="00FB7ABC"/>
    <w:rsid w:val="00FB7FEF"/>
    <w:rsid w:val="00FC0FA6"/>
    <w:rsid w:val="00FC12D5"/>
    <w:rsid w:val="00FC53FA"/>
    <w:rsid w:val="00FD0936"/>
    <w:rsid w:val="00FD0A47"/>
    <w:rsid w:val="00FD0A62"/>
    <w:rsid w:val="00FD44CE"/>
    <w:rsid w:val="00FD4AD9"/>
    <w:rsid w:val="00FD5223"/>
    <w:rsid w:val="00FD779C"/>
    <w:rsid w:val="00FE024F"/>
    <w:rsid w:val="00FE394E"/>
    <w:rsid w:val="00FF0569"/>
    <w:rsid w:val="00FF0BC9"/>
    <w:rsid w:val="00FF100C"/>
    <w:rsid w:val="00FF10BC"/>
    <w:rsid w:val="00FF2ACD"/>
    <w:rsid w:val="00FF5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262"/>
    <w:pPr>
      <w:tabs>
        <w:tab w:val="left" w:pos="720"/>
      </w:tabs>
      <w:spacing w:line="480" w:lineRule="atLeast"/>
    </w:pPr>
    <w:rPr>
      <w:rFonts w:ascii="Times New Roman" w:hAnsi="Times New Roman"/>
      <w:szCs w:val="24"/>
    </w:rPr>
  </w:style>
  <w:style w:type="paragraph" w:styleId="Heading1">
    <w:name w:val="heading 1"/>
    <w:basedOn w:val="Normal"/>
    <w:next w:val="Normal"/>
    <w:link w:val="Heading1Char"/>
    <w:uiPriority w:val="9"/>
    <w:qFormat/>
    <w:rsid w:val="001F726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1F726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1F7262"/>
    <w:pPr>
      <w:keepNext/>
      <w:spacing w:before="240" w:after="60"/>
      <w:outlineLvl w:val="2"/>
    </w:pPr>
    <w:rPr>
      <w:rFonts w:asciiTheme="majorHAnsi" w:eastAsiaTheme="majorEastAsia" w:hAnsiTheme="majorHAnsi"/>
      <w:b/>
      <w:bCs/>
      <w:szCs w:val="26"/>
    </w:rPr>
  </w:style>
  <w:style w:type="paragraph" w:styleId="Heading6">
    <w:name w:val="heading 6"/>
    <w:basedOn w:val="Normal"/>
    <w:next w:val="Normal"/>
    <w:link w:val="Heading6Char"/>
    <w:uiPriority w:val="9"/>
    <w:semiHidden/>
    <w:unhideWhenUsed/>
    <w:qFormat/>
    <w:rsid w:val="001F7262"/>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1F7262"/>
    <w:pPr>
      <w:spacing w:before="240" w:after="60"/>
      <w:outlineLvl w:val="6"/>
    </w:pPr>
    <w:rPr>
      <w:sz w:val="24"/>
    </w:rPr>
  </w:style>
  <w:style w:type="paragraph" w:styleId="Heading8">
    <w:name w:val="heading 8"/>
    <w:basedOn w:val="Normal"/>
    <w:next w:val="Normal"/>
    <w:link w:val="Heading8Char"/>
    <w:uiPriority w:val="9"/>
    <w:semiHidden/>
    <w:unhideWhenUsed/>
    <w:qFormat/>
    <w:rsid w:val="001F7262"/>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1F7262"/>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726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1F726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1F7262"/>
    <w:rPr>
      <w:rFonts w:asciiTheme="majorHAnsi" w:eastAsiaTheme="majorEastAsia" w:hAnsiTheme="majorHAnsi"/>
      <w:b/>
      <w:bCs/>
    </w:rPr>
  </w:style>
  <w:style w:type="character" w:customStyle="1" w:styleId="Heading6Char">
    <w:name w:val="Heading 6 Char"/>
    <w:basedOn w:val="DefaultParagraphFont"/>
    <w:link w:val="Heading6"/>
    <w:uiPriority w:val="9"/>
    <w:semiHidden/>
    <w:rsid w:val="001F7262"/>
    <w:rPr>
      <w:b/>
      <w:bCs/>
    </w:rPr>
  </w:style>
  <w:style w:type="character" w:customStyle="1" w:styleId="Heading7Char">
    <w:name w:val="Heading 7 Char"/>
    <w:basedOn w:val="DefaultParagraphFont"/>
    <w:link w:val="Heading7"/>
    <w:uiPriority w:val="9"/>
    <w:semiHidden/>
    <w:rsid w:val="001F7262"/>
    <w:rPr>
      <w:sz w:val="24"/>
      <w:szCs w:val="24"/>
    </w:rPr>
  </w:style>
  <w:style w:type="character" w:customStyle="1" w:styleId="Heading8Char">
    <w:name w:val="Heading 8 Char"/>
    <w:basedOn w:val="DefaultParagraphFont"/>
    <w:link w:val="Heading8"/>
    <w:uiPriority w:val="9"/>
    <w:semiHidden/>
    <w:rsid w:val="001F7262"/>
    <w:rPr>
      <w:i/>
      <w:iCs/>
      <w:sz w:val="24"/>
      <w:szCs w:val="24"/>
    </w:rPr>
  </w:style>
  <w:style w:type="character" w:customStyle="1" w:styleId="Heading9Char">
    <w:name w:val="Heading 9 Char"/>
    <w:basedOn w:val="DefaultParagraphFont"/>
    <w:link w:val="Heading9"/>
    <w:uiPriority w:val="9"/>
    <w:semiHidden/>
    <w:rsid w:val="001F7262"/>
    <w:rPr>
      <w:rFonts w:asciiTheme="majorHAnsi" w:eastAsiaTheme="majorEastAsia" w:hAnsiTheme="majorHAnsi"/>
    </w:rPr>
  </w:style>
  <w:style w:type="paragraph" w:styleId="Title">
    <w:name w:val="Title"/>
    <w:basedOn w:val="Normal"/>
    <w:next w:val="Normal"/>
    <w:link w:val="TitleChar"/>
    <w:uiPriority w:val="10"/>
    <w:qFormat/>
    <w:rsid w:val="001F726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F726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F7262"/>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1F7262"/>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1F7262"/>
    <w:pPr>
      <w:outlineLvl w:val="9"/>
    </w:pPr>
  </w:style>
  <w:style w:type="paragraph" w:styleId="FootnoteText">
    <w:name w:val="footnote text"/>
    <w:basedOn w:val="Normal"/>
    <w:link w:val="FootnoteTextChar"/>
    <w:uiPriority w:val="99"/>
    <w:unhideWhenUsed/>
    <w:rsid w:val="000A673E"/>
    <w:rPr>
      <w:szCs w:val="20"/>
    </w:rPr>
  </w:style>
  <w:style w:type="character" w:customStyle="1" w:styleId="FootnoteTextChar">
    <w:name w:val="Footnote Text Char"/>
    <w:basedOn w:val="DefaultParagraphFont"/>
    <w:link w:val="FootnoteText"/>
    <w:uiPriority w:val="99"/>
    <w:rsid w:val="000A673E"/>
    <w:rPr>
      <w:rFonts w:ascii="Times New Roman" w:hAnsi="Times New Roman"/>
      <w:szCs w:val="20"/>
    </w:rPr>
  </w:style>
  <w:style w:type="character" w:styleId="FootnoteReference">
    <w:name w:val="footnote reference"/>
    <w:basedOn w:val="DefaultParagraphFont"/>
    <w:uiPriority w:val="99"/>
    <w:semiHidden/>
    <w:unhideWhenUsed/>
    <w:rsid w:val="009642B8"/>
    <w:rPr>
      <w:vertAlign w:val="superscript"/>
    </w:rPr>
  </w:style>
  <w:style w:type="paragraph" w:styleId="Header">
    <w:name w:val="header"/>
    <w:basedOn w:val="Normal"/>
    <w:link w:val="HeaderChar"/>
    <w:uiPriority w:val="99"/>
    <w:unhideWhenUsed/>
    <w:rsid w:val="004A21D9"/>
    <w:pPr>
      <w:tabs>
        <w:tab w:val="clear" w:pos="720"/>
        <w:tab w:val="center" w:pos="4680"/>
        <w:tab w:val="right" w:pos="9360"/>
      </w:tabs>
      <w:spacing w:line="240" w:lineRule="auto"/>
    </w:pPr>
  </w:style>
  <w:style w:type="paragraph" w:customStyle="1" w:styleId="Footnote">
    <w:name w:val="Footnote"/>
    <w:basedOn w:val="FootnoteText"/>
    <w:link w:val="FootnoteChar"/>
    <w:qFormat/>
    <w:rsid w:val="00DC3879"/>
    <w:pPr>
      <w:spacing w:line="240" w:lineRule="auto"/>
    </w:pPr>
  </w:style>
  <w:style w:type="character" w:customStyle="1" w:styleId="FootnoteChar">
    <w:name w:val="Footnote Char"/>
    <w:basedOn w:val="FootnoteTextChar"/>
    <w:link w:val="Footnote"/>
    <w:rsid w:val="00DC3879"/>
    <w:rPr>
      <w:rFonts w:ascii="Times New Roman" w:hAnsi="Times New Roman"/>
      <w:szCs w:val="20"/>
    </w:rPr>
  </w:style>
  <w:style w:type="character" w:customStyle="1" w:styleId="HeaderChar">
    <w:name w:val="Header Char"/>
    <w:basedOn w:val="DefaultParagraphFont"/>
    <w:link w:val="Header"/>
    <w:uiPriority w:val="99"/>
    <w:rsid w:val="004A21D9"/>
    <w:rPr>
      <w:rFonts w:ascii="Times New Roman" w:hAnsi="Times New Roman"/>
      <w:szCs w:val="24"/>
    </w:rPr>
  </w:style>
  <w:style w:type="paragraph" w:styleId="Footer">
    <w:name w:val="footer"/>
    <w:basedOn w:val="Normal"/>
    <w:link w:val="FooterChar"/>
    <w:uiPriority w:val="99"/>
    <w:unhideWhenUsed/>
    <w:rsid w:val="004A21D9"/>
    <w:pPr>
      <w:tabs>
        <w:tab w:val="clear" w:pos="720"/>
        <w:tab w:val="center" w:pos="4680"/>
        <w:tab w:val="right" w:pos="9360"/>
      </w:tabs>
      <w:spacing w:line="240" w:lineRule="auto"/>
    </w:pPr>
  </w:style>
  <w:style w:type="character" w:customStyle="1" w:styleId="FooterChar">
    <w:name w:val="Footer Char"/>
    <w:basedOn w:val="DefaultParagraphFont"/>
    <w:link w:val="Footer"/>
    <w:uiPriority w:val="99"/>
    <w:rsid w:val="004A21D9"/>
    <w:rPr>
      <w:rFonts w:ascii="Times New Roman" w:hAnsi="Times New Roman"/>
      <w:szCs w:val="24"/>
    </w:rPr>
  </w:style>
  <w:style w:type="character" w:styleId="CommentReference">
    <w:name w:val="annotation reference"/>
    <w:basedOn w:val="DefaultParagraphFont"/>
    <w:uiPriority w:val="99"/>
    <w:semiHidden/>
    <w:unhideWhenUsed/>
    <w:rsid w:val="00083BCE"/>
    <w:rPr>
      <w:sz w:val="16"/>
      <w:szCs w:val="16"/>
    </w:rPr>
  </w:style>
  <w:style w:type="paragraph" w:styleId="CommentText">
    <w:name w:val="annotation text"/>
    <w:basedOn w:val="Normal"/>
    <w:link w:val="CommentTextChar"/>
    <w:uiPriority w:val="99"/>
    <w:semiHidden/>
    <w:unhideWhenUsed/>
    <w:rsid w:val="00083BCE"/>
    <w:pPr>
      <w:spacing w:line="240" w:lineRule="auto"/>
    </w:pPr>
    <w:rPr>
      <w:sz w:val="20"/>
      <w:szCs w:val="20"/>
    </w:rPr>
  </w:style>
  <w:style w:type="character" w:customStyle="1" w:styleId="CommentTextChar">
    <w:name w:val="Comment Text Char"/>
    <w:basedOn w:val="DefaultParagraphFont"/>
    <w:link w:val="CommentText"/>
    <w:uiPriority w:val="99"/>
    <w:semiHidden/>
    <w:rsid w:val="00083BC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83BCE"/>
    <w:rPr>
      <w:b/>
      <w:bCs/>
    </w:rPr>
  </w:style>
  <w:style w:type="character" w:customStyle="1" w:styleId="CommentSubjectChar">
    <w:name w:val="Comment Subject Char"/>
    <w:basedOn w:val="CommentTextChar"/>
    <w:link w:val="CommentSubject"/>
    <w:uiPriority w:val="99"/>
    <w:semiHidden/>
    <w:rsid w:val="00083BCE"/>
    <w:rPr>
      <w:rFonts w:ascii="Times New Roman" w:hAnsi="Times New Roman"/>
      <w:b/>
      <w:bCs/>
      <w:sz w:val="20"/>
      <w:szCs w:val="20"/>
    </w:rPr>
  </w:style>
  <w:style w:type="paragraph" w:styleId="Revision">
    <w:name w:val="Revision"/>
    <w:hidden/>
    <w:uiPriority w:val="99"/>
    <w:semiHidden/>
    <w:rsid w:val="00CA2753"/>
    <w:rPr>
      <w:rFonts w:ascii="Times New Roman" w:hAnsi="Times New Roman"/>
      <w:szCs w:val="24"/>
    </w:rPr>
  </w:style>
  <w:style w:type="paragraph" w:styleId="ListParagraph">
    <w:name w:val="List Paragraph"/>
    <w:basedOn w:val="Normal"/>
    <w:uiPriority w:val="34"/>
    <w:rsid w:val="00334CCD"/>
    <w:pPr>
      <w:ind w:left="720"/>
      <w:contextualSpacing/>
    </w:pPr>
  </w:style>
  <w:style w:type="character" w:styleId="Hyperlink">
    <w:name w:val="Hyperlink"/>
    <w:basedOn w:val="DefaultParagraphFont"/>
    <w:uiPriority w:val="99"/>
    <w:unhideWhenUsed/>
    <w:rsid w:val="00FE394E"/>
    <w:rPr>
      <w:color w:val="0000FF" w:themeColor="hyperlink"/>
      <w:u w:val="single"/>
    </w:rPr>
  </w:style>
  <w:style w:type="character" w:customStyle="1" w:styleId="UnresolvedMention1">
    <w:name w:val="Unresolved Mention1"/>
    <w:basedOn w:val="DefaultParagraphFont"/>
    <w:uiPriority w:val="99"/>
    <w:semiHidden/>
    <w:unhideWhenUsed/>
    <w:rsid w:val="00FE394E"/>
    <w:rPr>
      <w:color w:val="605E5C"/>
      <w:shd w:val="clear" w:color="auto" w:fill="E1DFDD"/>
    </w:rPr>
  </w:style>
  <w:style w:type="character" w:styleId="FollowedHyperlink">
    <w:name w:val="FollowedHyperlink"/>
    <w:basedOn w:val="DefaultParagraphFont"/>
    <w:uiPriority w:val="99"/>
    <w:semiHidden/>
    <w:unhideWhenUsed/>
    <w:rsid w:val="006E48E3"/>
    <w:rPr>
      <w:color w:val="800080" w:themeColor="followedHyperlink"/>
      <w:u w:val="single"/>
    </w:rPr>
  </w:style>
  <w:style w:type="character" w:customStyle="1" w:styleId="right">
    <w:name w:val="right"/>
    <w:basedOn w:val="DefaultParagraphFont"/>
    <w:rsid w:val="00846C13"/>
  </w:style>
  <w:style w:type="character" w:customStyle="1" w:styleId="Title1">
    <w:name w:val="Title1"/>
    <w:basedOn w:val="DefaultParagraphFont"/>
    <w:rsid w:val="00846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17669-8E10-48C1-8546-F5196EFDF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2908</Words>
  <Characters>15453</Characters>
  <Application>Microsoft Office Word</Application>
  <DocSecurity>0</DocSecurity>
  <Lines>318</Lines>
  <Paragraphs>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18573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2023-05-12T16:00:00Z</dcterms:created>
  <dcterms:modified xsi:type="dcterms:W3CDTF">2023-05-12T16:00:00Z</dcterms:modified>
  <cp:category/>
</cp:coreProperties>
</file>