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C16FE" w14:textId="454C30A2" w:rsidR="009E1110" w:rsidRPr="002831AB" w:rsidRDefault="00B35429" w:rsidP="00021998">
      <w:pPr>
        <w:spacing w:line="240" w:lineRule="auto"/>
        <w:ind w:firstLine="0"/>
        <w:jc w:val="center"/>
        <w:rPr>
          <w:sz w:val="20"/>
          <w:szCs w:val="20"/>
        </w:rPr>
      </w:pPr>
      <w:r>
        <w:rPr>
          <w:sz w:val="20"/>
          <w:szCs w:val="20"/>
        </w:rPr>
        <w:t>Filed 12/13/23</w:t>
      </w:r>
      <w:r w:rsidR="00021998" w:rsidRPr="00021998">
        <w:rPr>
          <w:sz w:val="20"/>
          <w:szCs w:val="20"/>
        </w:rPr>
        <w:t>; REVIEW GRANTED.  See Cal. Rules of Court, rules 8.1105 and 8.1115 (and corresponding Comment, par. 2, concerning rule 8.1115(e)(3)).</w:t>
      </w:r>
    </w:p>
    <w:p w14:paraId="7C2AD8E6" w14:textId="77777777" w:rsidR="009E1110" w:rsidRDefault="009E1110" w:rsidP="009E1110">
      <w:pPr>
        <w:pStyle w:val="Heading1"/>
      </w:pPr>
      <w:r w:rsidRPr="00E042AF">
        <w:t>CERTIFIED FOR PUBLICATION</w:t>
      </w:r>
    </w:p>
    <w:p w14:paraId="5FCC3A9D" w14:textId="77777777" w:rsidR="00004477" w:rsidRDefault="00004477" w:rsidP="00752E03">
      <w:pPr>
        <w:spacing w:line="240" w:lineRule="auto"/>
        <w:ind w:firstLine="0"/>
      </w:pPr>
    </w:p>
    <w:p w14:paraId="38F19245" w14:textId="77777777" w:rsidR="00004477" w:rsidRDefault="00004477" w:rsidP="00752E03">
      <w:pPr>
        <w:spacing w:line="240" w:lineRule="auto"/>
        <w:ind w:firstLine="0"/>
        <w:jc w:val="center"/>
      </w:pPr>
      <w:r>
        <w:t>IN THE COURT OF APPEAL OF THE STATE OF CALIFORNIA</w:t>
      </w:r>
    </w:p>
    <w:p w14:paraId="268536DC" w14:textId="77777777" w:rsidR="00004477" w:rsidRDefault="00004477" w:rsidP="00752E03">
      <w:pPr>
        <w:spacing w:line="240" w:lineRule="auto"/>
        <w:ind w:firstLine="0"/>
        <w:jc w:val="center"/>
      </w:pPr>
    </w:p>
    <w:p w14:paraId="5F966EEF" w14:textId="77777777" w:rsidR="00004477" w:rsidRDefault="00004477" w:rsidP="00752E03">
      <w:pPr>
        <w:spacing w:line="240" w:lineRule="auto"/>
        <w:ind w:firstLine="0"/>
        <w:jc w:val="center"/>
      </w:pPr>
      <w:r>
        <w:t>SIXTH APPELLATE DISTRICT</w:t>
      </w:r>
    </w:p>
    <w:p w14:paraId="292ABEF0" w14:textId="77777777" w:rsidR="00004477" w:rsidRDefault="00004477" w:rsidP="00752E03">
      <w:pPr>
        <w:spacing w:line="240" w:lineRule="auto"/>
        <w:ind w:firstLine="0"/>
        <w:jc w:val="center"/>
      </w:pPr>
    </w:p>
    <w:p w14:paraId="67EBB72E" w14:textId="77777777" w:rsidR="00004477" w:rsidRDefault="00004477" w:rsidP="00752E03">
      <w:pPr>
        <w:spacing w:line="240" w:lineRule="auto"/>
        <w:ind w:firstLine="0"/>
        <w:jc w:val="center"/>
      </w:pPr>
    </w:p>
    <w:tbl>
      <w:tblPr>
        <w:tblW w:w="0" w:type="auto"/>
        <w:tblLayout w:type="fixed"/>
        <w:tblLook w:val="0000" w:firstRow="0" w:lastRow="0" w:firstColumn="0" w:lastColumn="0" w:noHBand="0" w:noVBand="0"/>
      </w:tblPr>
      <w:tblGrid>
        <w:gridCol w:w="4680"/>
        <w:gridCol w:w="4680"/>
      </w:tblGrid>
      <w:tr w:rsidR="00004477" w14:paraId="43D9264B" w14:textId="77777777" w:rsidTr="00004477">
        <w:tc>
          <w:tcPr>
            <w:tcW w:w="4680" w:type="dxa"/>
            <w:tcBorders>
              <w:bottom w:val="single" w:sz="4" w:space="0" w:color="auto"/>
              <w:right w:val="single" w:sz="4" w:space="0" w:color="auto"/>
            </w:tcBorders>
            <w:shd w:val="clear" w:color="auto" w:fill="auto"/>
          </w:tcPr>
          <w:p w14:paraId="3C4D46D6" w14:textId="77777777" w:rsidR="00820394" w:rsidRDefault="00820394" w:rsidP="00820394">
            <w:pPr>
              <w:spacing w:line="240" w:lineRule="auto"/>
              <w:ind w:firstLine="0"/>
            </w:pPr>
            <w:r w:rsidRPr="00B856F1">
              <w:t>THE PEOPLE</w:t>
            </w:r>
            <w:r>
              <w:t>,</w:t>
            </w:r>
          </w:p>
          <w:p w14:paraId="7BA359F4" w14:textId="77777777" w:rsidR="00820394" w:rsidRDefault="00820394" w:rsidP="00820394">
            <w:pPr>
              <w:spacing w:line="240" w:lineRule="auto"/>
              <w:ind w:firstLine="0"/>
            </w:pPr>
          </w:p>
          <w:p w14:paraId="44BEDA27" w14:textId="77777777" w:rsidR="00820394" w:rsidRDefault="00820394" w:rsidP="00820394">
            <w:pPr>
              <w:spacing w:line="240" w:lineRule="auto"/>
              <w:ind w:left="720" w:firstLine="0"/>
            </w:pPr>
            <w:r w:rsidRPr="00B856F1">
              <w:t>Plaintiff and Respondent</w:t>
            </w:r>
            <w:r>
              <w:t>,</w:t>
            </w:r>
          </w:p>
          <w:p w14:paraId="68C3F563" w14:textId="77777777" w:rsidR="00820394" w:rsidRDefault="00820394" w:rsidP="00820394">
            <w:pPr>
              <w:spacing w:line="240" w:lineRule="auto"/>
              <w:ind w:left="720" w:firstLine="0"/>
            </w:pPr>
          </w:p>
          <w:p w14:paraId="40A9D465" w14:textId="77777777" w:rsidR="00820394" w:rsidRPr="002D669B" w:rsidRDefault="00820394" w:rsidP="00820394">
            <w:pPr>
              <w:spacing w:line="240" w:lineRule="auto"/>
              <w:ind w:left="720" w:firstLine="0"/>
            </w:pPr>
            <w:r w:rsidRPr="002D669B">
              <w:t>v.</w:t>
            </w:r>
          </w:p>
          <w:p w14:paraId="4E460314" w14:textId="77777777" w:rsidR="00820394" w:rsidRPr="002D669B" w:rsidRDefault="00820394" w:rsidP="00820394">
            <w:pPr>
              <w:spacing w:line="240" w:lineRule="auto"/>
              <w:ind w:firstLine="0"/>
            </w:pPr>
          </w:p>
          <w:p w14:paraId="6EF0EEAE" w14:textId="075402E2" w:rsidR="00820394" w:rsidRPr="002D669B" w:rsidRDefault="00820394" w:rsidP="00820394">
            <w:pPr>
              <w:spacing w:line="240" w:lineRule="auto"/>
              <w:ind w:firstLine="0"/>
            </w:pPr>
            <w:r>
              <w:t xml:space="preserve">MARIANO </w:t>
            </w:r>
            <w:r w:rsidR="00B96F1A" w:rsidRPr="00B96F1A">
              <w:t>A</w:t>
            </w:r>
            <w:r w:rsidR="00B96F1A">
              <w:t xml:space="preserve">LEJANDRO </w:t>
            </w:r>
            <w:r>
              <w:t>D</w:t>
            </w:r>
            <w:r w:rsidR="00B96F1A" w:rsidRPr="00B96F1A">
              <w:rPr>
                <w:smallCaps/>
              </w:rPr>
              <w:t>e</w:t>
            </w:r>
            <w:r w:rsidR="00057D58">
              <w:rPr>
                <w:smallCaps/>
              </w:rPr>
              <w:t xml:space="preserve"> </w:t>
            </w:r>
            <w:r>
              <w:t>L</w:t>
            </w:r>
            <w:r w:rsidR="00B96F1A" w:rsidRPr="00B96F1A">
              <w:rPr>
                <w:smallCaps/>
              </w:rPr>
              <w:t>a</w:t>
            </w:r>
            <w:r w:rsidR="00057D58">
              <w:rPr>
                <w:smallCaps/>
              </w:rPr>
              <w:t xml:space="preserve"> </w:t>
            </w:r>
            <w:r>
              <w:t xml:space="preserve">ROSA </w:t>
            </w:r>
            <w:proofErr w:type="spellStart"/>
            <w:r>
              <w:t>BURGARA</w:t>
            </w:r>
            <w:proofErr w:type="spellEnd"/>
            <w:r w:rsidRPr="002D669B">
              <w:t>,</w:t>
            </w:r>
          </w:p>
          <w:p w14:paraId="2C016FF0" w14:textId="77777777" w:rsidR="00820394" w:rsidRPr="002D669B" w:rsidRDefault="00820394" w:rsidP="00820394">
            <w:pPr>
              <w:spacing w:line="240" w:lineRule="auto"/>
              <w:ind w:firstLine="0"/>
            </w:pPr>
          </w:p>
          <w:p w14:paraId="7F50D141" w14:textId="4E30253A" w:rsidR="00004477" w:rsidRPr="002D669B" w:rsidRDefault="00820394" w:rsidP="00820394">
            <w:pPr>
              <w:spacing w:line="240" w:lineRule="auto"/>
              <w:ind w:left="720" w:firstLine="0"/>
            </w:pPr>
            <w:r w:rsidRPr="00B856F1">
              <w:t>Defendant and Appellant</w:t>
            </w:r>
            <w:r w:rsidR="00004477" w:rsidRPr="002D669B">
              <w:t>.</w:t>
            </w:r>
          </w:p>
          <w:p w14:paraId="5A78A784" w14:textId="77777777" w:rsidR="00004477" w:rsidRPr="002D669B" w:rsidRDefault="00004477" w:rsidP="00752E03">
            <w:pPr>
              <w:spacing w:line="240" w:lineRule="auto"/>
              <w:ind w:firstLine="0"/>
            </w:pPr>
          </w:p>
        </w:tc>
        <w:tc>
          <w:tcPr>
            <w:tcW w:w="4680" w:type="dxa"/>
            <w:tcBorders>
              <w:left w:val="single" w:sz="4" w:space="0" w:color="auto"/>
            </w:tcBorders>
            <w:shd w:val="clear" w:color="auto" w:fill="auto"/>
          </w:tcPr>
          <w:p w14:paraId="61BF6B5C" w14:textId="2D9AC495" w:rsidR="00004477" w:rsidRDefault="00004477" w:rsidP="00752E03">
            <w:pPr>
              <w:spacing w:line="240" w:lineRule="auto"/>
              <w:ind w:firstLine="0"/>
            </w:pPr>
            <w:r w:rsidRPr="002D669B">
              <w:t xml:space="preserve">      </w:t>
            </w:r>
            <w:bookmarkStart w:id="0" w:name="_Hlk149566948"/>
            <w:r>
              <w:t>H0</w:t>
            </w:r>
            <w:r w:rsidR="00820394" w:rsidRPr="00820394">
              <w:t>49363</w:t>
            </w:r>
            <w:bookmarkEnd w:id="0"/>
          </w:p>
          <w:p w14:paraId="0786A4A8" w14:textId="7817DF30" w:rsidR="00004477" w:rsidRDefault="00004477" w:rsidP="00752E03">
            <w:pPr>
              <w:spacing w:line="240" w:lineRule="auto"/>
              <w:ind w:firstLine="0"/>
            </w:pPr>
            <w:r>
              <w:t xml:space="preserve">     (</w:t>
            </w:r>
            <w:r w:rsidR="00820394">
              <w:t>Santa Clara</w:t>
            </w:r>
            <w:r>
              <w:t xml:space="preserve"> County</w:t>
            </w:r>
          </w:p>
          <w:p w14:paraId="53677AA6" w14:textId="11A97BFD" w:rsidR="00004477" w:rsidRDefault="00004477" w:rsidP="00752E03">
            <w:pPr>
              <w:spacing w:line="240" w:lineRule="auto"/>
              <w:ind w:firstLine="0"/>
            </w:pPr>
            <w:r>
              <w:t xml:space="preserve">      Super. Ct. No. </w:t>
            </w:r>
            <w:r w:rsidR="00820394" w:rsidRPr="00820394">
              <w:t>B1902295</w:t>
            </w:r>
            <w:r>
              <w:t>)</w:t>
            </w:r>
          </w:p>
        </w:tc>
      </w:tr>
    </w:tbl>
    <w:p w14:paraId="7C9EEBFA" w14:textId="77777777" w:rsidR="007F6EC6" w:rsidRDefault="007F6EC6" w:rsidP="00004477"/>
    <w:p w14:paraId="5A2E77E0" w14:textId="1C4D0C9C" w:rsidR="00B93460" w:rsidRPr="00CB0502" w:rsidRDefault="00B93460" w:rsidP="003561E8">
      <w:r>
        <w:t xml:space="preserve">In this appeal, we agree with other courts that have decided that </w:t>
      </w:r>
      <w:r w:rsidR="001F23C1">
        <w:t xml:space="preserve">we are bound by recent precedent from the California Supreme Court to conclude that </w:t>
      </w:r>
      <w:r>
        <w:t>changes made by Senate Bill</w:t>
      </w:r>
      <w:r w:rsidR="0034611E">
        <w:t xml:space="preserve"> No.</w:t>
      </w:r>
      <w:r>
        <w:t xml:space="preserve"> </w:t>
      </w:r>
      <w:r w:rsidRPr="00CB0502">
        <w:t xml:space="preserve">567 </w:t>
      </w:r>
      <w:r w:rsidR="0034611E" w:rsidRPr="00CB0502">
        <w:t xml:space="preserve">(2021-2022 Reg. Sess.) (Senate Bill 567) </w:t>
      </w:r>
      <w:r w:rsidRPr="00CB0502">
        <w:t>to Penal Code section 1170, subdivision (b)</w:t>
      </w:r>
      <w:r w:rsidR="0034611E" w:rsidRPr="00CB0502">
        <w:rPr>
          <w:rStyle w:val="FootnoteReference"/>
          <w:b/>
        </w:rPr>
        <w:footnoteReference w:id="2"/>
      </w:r>
      <w:r w:rsidRPr="00CB0502">
        <w:t xml:space="preserve"> </w:t>
      </w:r>
      <w:r w:rsidR="001F23C1" w:rsidRPr="00CB0502">
        <w:t>apply retroactively to convictions reached by plea</w:t>
      </w:r>
      <w:r w:rsidR="001F23C1">
        <w:t xml:space="preserve"> agreements providing for a stipulated sentence.  We also agree with those courts that we must follow the California Supreme Court’s decision in </w:t>
      </w:r>
      <w:r w:rsidR="001F23C1" w:rsidRPr="000F03CA">
        <w:rPr>
          <w:i/>
          <w:iCs/>
        </w:rPr>
        <w:t>People v. Stamps</w:t>
      </w:r>
      <w:r w:rsidR="001F23C1" w:rsidRPr="000F03CA">
        <w:t xml:space="preserve"> (2020) 9 Cal.5th 685</w:t>
      </w:r>
      <w:r w:rsidR="001F23C1">
        <w:t xml:space="preserve"> (</w:t>
      </w:r>
      <w:r w:rsidR="001F23C1" w:rsidRPr="000F03CA">
        <w:rPr>
          <w:i/>
          <w:iCs/>
        </w:rPr>
        <w:t>Stamps</w:t>
      </w:r>
      <w:r w:rsidR="001F23C1">
        <w:t xml:space="preserve">) to determine the applicable remedy.  Nevertheless, we observe that </w:t>
      </w:r>
      <w:r w:rsidR="003B2944">
        <w:t xml:space="preserve">in practice </w:t>
      </w:r>
      <w:r w:rsidR="001F23C1">
        <w:t xml:space="preserve">this seemingly simple remedy calls for a complex </w:t>
      </w:r>
      <w:r w:rsidR="006A2C4B">
        <w:t xml:space="preserve">and burdensome </w:t>
      </w:r>
      <w:r w:rsidR="001F23C1">
        <w:t>series of decisions</w:t>
      </w:r>
      <w:r w:rsidR="006A2C4B">
        <w:t xml:space="preserve"> </w:t>
      </w:r>
      <w:r w:rsidR="001F23C1">
        <w:t xml:space="preserve">by the parties and the trial court.  To assist </w:t>
      </w:r>
      <w:r w:rsidR="006C7CD9">
        <w:t>them</w:t>
      </w:r>
      <w:r w:rsidR="001F23C1">
        <w:t xml:space="preserve">, we set out our understanding of the necessary steps </w:t>
      </w:r>
      <w:r w:rsidR="006C7CD9">
        <w:t>following remand.</w:t>
      </w:r>
    </w:p>
    <w:p w14:paraId="3BD186CE" w14:textId="1706AB33" w:rsidR="00C1496B" w:rsidRDefault="0028566E" w:rsidP="003561E8">
      <w:r>
        <w:t>F</w:t>
      </w:r>
      <w:r w:rsidR="003561E8">
        <w:t xml:space="preserve">acing charges that included </w:t>
      </w:r>
      <w:r w:rsidR="009A39BC" w:rsidRPr="009A39BC">
        <w:t>willful, deliberate, and premeditated</w:t>
      </w:r>
      <w:r w:rsidR="009A39BC">
        <w:t xml:space="preserve"> attempted murder</w:t>
      </w:r>
      <w:r w:rsidR="00355F1B">
        <w:t xml:space="preserve"> and </w:t>
      </w:r>
      <w:r w:rsidR="003B2944">
        <w:t>carried</w:t>
      </w:r>
      <w:r w:rsidR="00355F1B">
        <w:t xml:space="preserve"> a life sentence</w:t>
      </w:r>
      <w:r w:rsidR="009A39BC">
        <w:t xml:space="preserve">, </w:t>
      </w:r>
      <w:r w:rsidR="003561E8">
        <w:t xml:space="preserve">defendant </w:t>
      </w:r>
      <w:bookmarkStart w:id="1" w:name="_Hlk149566830"/>
      <w:r w:rsidR="009A39BC">
        <w:t xml:space="preserve">Mariano </w:t>
      </w:r>
      <w:r w:rsidR="00CE5AEB">
        <w:t xml:space="preserve">Alejandro </w:t>
      </w:r>
      <w:r w:rsidR="009A39BC">
        <w:t>De</w:t>
      </w:r>
      <w:r w:rsidR="00B96F1A">
        <w:t xml:space="preserve"> L</w:t>
      </w:r>
      <w:r w:rsidR="009A39BC">
        <w:t>a</w:t>
      </w:r>
      <w:r w:rsidR="00B96F1A">
        <w:t xml:space="preserve"> R</w:t>
      </w:r>
      <w:r w:rsidR="009A39BC">
        <w:t xml:space="preserve">osa </w:t>
      </w:r>
      <w:proofErr w:type="spellStart"/>
      <w:r w:rsidR="009A39BC">
        <w:t>Burgara</w:t>
      </w:r>
      <w:proofErr w:type="spellEnd"/>
      <w:r w:rsidR="009A39BC">
        <w:t xml:space="preserve"> </w:t>
      </w:r>
      <w:r w:rsidR="009A39BC">
        <w:lastRenderedPageBreak/>
        <w:t>(</w:t>
      </w:r>
      <w:r w:rsidR="00151F11">
        <w:t>De La Rosa</w:t>
      </w:r>
      <w:r w:rsidR="00CE5AEB" w:rsidRPr="00CE5AEB">
        <w:rPr>
          <w:rStyle w:val="FootnoteReference"/>
          <w:b/>
          <w:bCs/>
        </w:rPr>
        <w:footnoteReference w:id="3"/>
      </w:r>
      <w:r w:rsidR="009A39BC">
        <w:t>)</w:t>
      </w:r>
      <w:bookmarkEnd w:id="1"/>
      <w:r w:rsidR="009A39BC">
        <w:t xml:space="preserve"> </w:t>
      </w:r>
      <w:r w:rsidR="003561E8">
        <w:t>pleaded no contest to two charges</w:t>
      </w:r>
      <w:r w:rsidR="00F60C75">
        <w:t>:</w:t>
      </w:r>
      <w:bookmarkStart w:id="2" w:name="_Hlk149568342"/>
      <w:r w:rsidR="00F60C75">
        <w:t xml:space="preserve">  </w:t>
      </w:r>
      <w:r w:rsidR="00182ABC">
        <w:t>A</w:t>
      </w:r>
      <w:r w:rsidR="009A39BC" w:rsidRPr="009A39BC">
        <w:t>ssault with a deadly weapon (§</w:t>
      </w:r>
      <w:r w:rsidR="009A39BC">
        <w:t> </w:t>
      </w:r>
      <w:r w:rsidR="009A39BC" w:rsidRPr="009A39BC">
        <w:t>245, subd. (a)(1)) and hit</w:t>
      </w:r>
      <w:r w:rsidR="006208EB">
        <w:t>-</w:t>
      </w:r>
      <w:r w:rsidR="009A39BC" w:rsidRPr="009A39BC">
        <w:t>and</w:t>
      </w:r>
      <w:r w:rsidR="006208EB">
        <w:t>-</w:t>
      </w:r>
      <w:r w:rsidR="009A39BC" w:rsidRPr="009A39BC">
        <w:t xml:space="preserve">run </w:t>
      </w:r>
      <w:r w:rsidR="006208EB">
        <w:t xml:space="preserve">driving </w:t>
      </w:r>
      <w:r w:rsidR="009A39BC" w:rsidRPr="009A39BC">
        <w:t>resulting in permanent</w:t>
      </w:r>
      <w:r w:rsidR="00F06B02">
        <w:t>,</w:t>
      </w:r>
      <w:r w:rsidR="009A39BC" w:rsidRPr="009A39BC">
        <w:t xml:space="preserve"> serious injury (</w:t>
      </w:r>
      <w:proofErr w:type="spellStart"/>
      <w:r w:rsidR="009A39BC" w:rsidRPr="009A39BC">
        <w:t>Veh</w:t>
      </w:r>
      <w:proofErr w:type="spellEnd"/>
      <w:r w:rsidR="009A39BC" w:rsidRPr="009A39BC">
        <w:t>. Code, §</w:t>
      </w:r>
      <w:r w:rsidR="006E04BB">
        <w:t> </w:t>
      </w:r>
      <w:r w:rsidR="009A39BC" w:rsidRPr="009A39BC">
        <w:t>20001, subd. (</w:t>
      </w:r>
      <w:r w:rsidR="009A39BC">
        <w:t>b</w:t>
      </w:r>
      <w:r w:rsidR="009A39BC" w:rsidRPr="009A39BC">
        <w:t>)</w:t>
      </w:r>
      <w:r w:rsidR="009A39BC">
        <w:t>(2)</w:t>
      </w:r>
      <w:r w:rsidR="009A39BC" w:rsidRPr="009A39BC">
        <w:t>)</w:t>
      </w:r>
      <w:bookmarkEnd w:id="2"/>
      <w:r w:rsidR="009A39BC" w:rsidRPr="009A39BC">
        <w:t>.</w:t>
      </w:r>
      <w:r w:rsidR="00D46A25">
        <w:t xml:space="preserve">  He also admitted </w:t>
      </w:r>
      <w:r w:rsidR="00747D64">
        <w:t xml:space="preserve">that </w:t>
      </w:r>
      <w:r w:rsidR="006208EB" w:rsidRPr="006208EB">
        <w:t xml:space="preserve">he personally inflicted great bodily injury on the victim </w:t>
      </w:r>
      <w:r w:rsidR="006208EB">
        <w:t>(</w:t>
      </w:r>
      <w:proofErr w:type="spellStart"/>
      <w:r w:rsidR="006208EB">
        <w:t>GBI</w:t>
      </w:r>
      <w:proofErr w:type="spellEnd"/>
      <w:r w:rsidR="006208EB">
        <w:t xml:space="preserve"> enhancement)</w:t>
      </w:r>
      <w:r w:rsidR="00150500">
        <w:t xml:space="preserve"> </w:t>
      </w:r>
      <w:r w:rsidR="00150500" w:rsidRPr="006208EB">
        <w:t>(§ 12022.7, subd. (a))</w:t>
      </w:r>
      <w:r w:rsidR="006208EB">
        <w:t>.</w:t>
      </w:r>
      <w:r w:rsidR="009A39BC">
        <w:t xml:space="preserve"> </w:t>
      </w:r>
      <w:r w:rsidR="006E04BB">
        <w:t xml:space="preserve"> </w:t>
      </w:r>
    </w:p>
    <w:p w14:paraId="1CBBF3CA" w14:textId="79DCFFE2" w:rsidR="003561E8" w:rsidRDefault="008A22C0" w:rsidP="003561E8">
      <w:r>
        <w:t>In October 2020, i</w:t>
      </w:r>
      <w:r w:rsidR="003561E8">
        <w:t xml:space="preserve">n accordance with </w:t>
      </w:r>
      <w:r w:rsidR="00985DEC">
        <w:t>De La Rosa</w:t>
      </w:r>
      <w:r w:rsidR="006E04BB">
        <w:t>’</w:t>
      </w:r>
      <w:r w:rsidR="003561E8">
        <w:t xml:space="preserve">s </w:t>
      </w:r>
      <w:r w:rsidR="006E04BB">
        <w:t xml:space="preserve">negotiated </w:t>
      </w:r>
      <w:r w:rsidR="003561E8">
        <w:t>plea agreement, the trial court sentenced him to a</w:t>
      </w:r>
      <w:r w:rsidR="000D4757">
        <w:t>n aggregate</w:t>
      </w:r>
      <w:r w:rsidR="0033157B">
        <w:t xml:space="preserve"> stipulated</w:t>
      </w:r>
      <w:r w:rsidR="003561E8">
        <w:t xml:space="preserve"> </w:t>
      </w:r>
      <w:r w:rsidR="00946A7F">
        <w:t>sentence</w:t>
      </w:r>
      <w:r w:rsidR="003561E8">
        <w:t xml:space="preserve"> of </w:t>
      </w:r>
      <w:r w:rsidR="003D2EF3">
        <w:t>eight</w:t>
      </w:r>
      <w:r w:rsidR="006E04BB">
        <w:t xml:space="preserve"> </w:t>
      </w:r>
      <w:r w:rsidR="003561E8">
        <w:t xml:space="preserve">years </w:t>
      </w:r>
      <w:r w:rsidR="00946A7F">
        <w:t>in prison</w:t>
      </w:r>
      <w:r w:rsidR="006208EB">
        <w:t xml:space="preserve">, </w:t>
      </w:r>
      <w:r w:rsidR="000D4757">
        <w:t>which included</w:t>
      </w:r>
      <w:r w:rsidR="006208EB">
        <w:t xml:space="preserve"> a four-year upper term for </w:t>
      </w:r>
      <w:r w:rsidR="006232A9">
        <w:t xml:space="preserve">his conviction </w:t>
      </w:r>
      <w:r w:rsidR="00F60C75">
        <w:t>for</w:t>
      </w:r>
      <w:r w:rsidR="006208EB">
        <w:t xml:space="preserve"> assault with a deadly weapon</w:t>
      </w:r>
      <w:r w:rsidR="009D1D1E">
        <w:t xml:space="preserve">.  </w:t>
      </w:r>
      <w:r w:rsidR="00F60C75">
        <w:t>Pursuant to the plea agreement, t</w:t>
      </w:r>
      <w:r w:rsidR="009D1D1E">
        <w:t xml:space="preserve">he court </w:t>
      </w:r>
      <w:r w:rsidR="00946A7F">
        <w:t xml:space="preserve">also </w:t>
      </w:r>
      <w:r w:rsidR="003561E8">
        <w:t xml:space="preserve">dismissed the </w:t>
      </w:r>
      <w:r w:rsidR="00F60C75">
        <w:t xml:space="preserve">charges for </w:t>
      </w:r>
      <w:r w:rsidR="009D1D1E">
        <w:t xml:space="preserve">conspiracy to commit murder </w:t>
      </w:r>
      <w:r w:rsidR="00F60C75">
        <w:t xml:space="preserve">and </w:t>
      </w:r>
      <w:r w:rsidR="009D1D1E" w:rsidRPr="009A39BC">
        <w:t>willful, deliberate, and premeditated</w:t>
      </w:r>
      <w:r w:rsidR="009D1D1E">
        <w:t xml:space="preserve"> attempted murder</w:t>
      </w:r>
      <w:r w:rsidR="003561E8">
        <w:t>.</w:t>
      </w:r>
    </w:p>
    <w:p w14:paraId="0FDC9B74" w14:textId="5B3F1089" w:rsidR="00A4248E" w:rsidRDefault="003561E8" w:rsidP="003561E8">
      <w:r>
        <w:t xml:space="preserve">On appeal, </w:t>
      </w:r>
      <w:r w:rsidR="00985DEC">
        <w:t>De La Rosa</w:t>
      </w:r>
      <w:r w:rsidR="009D1D1E">
        <w:t xml:space="preserve"> contends </w:t>
      </w:r>
      <w:r w:rsidR="00A4248E">
        <w:t>t</w:t>
      </w:r>
      <w:r w:rsidR="00A4248E" w:rsidRPr="00A4248E">
        <w:t xml:space="preserve">he </w:t>
      </w:r>
      <w:proofErr w:type="spellStart"/>
      <w:r w:rsidR="0097444A">
        <w:t>postsentencing</w:t>
      </w:r>
      <w:proofErr w:type="spellEnd"/>
      <w:r w:rsidR="0097444A">
        <w:t xml:space="preserve"> </w:t>
      </w:r>
      <w:r w:rsidR="00A4248E" w:rsidRPr="00A4248E">
        <w:t xml:space="preserve">enactment of Senate Bill 567, which </w:t>
      </w:r>
      <w:r w:rsidR="0097444A">
        <w:t>a</w:t>
      </w:r>
      <w:r w:rsidR="0097444A" w:rsidRPr="0097444A">
        <w:t>ltered the requirements for imposition of an upper term</w:t>
      </w:r>
      <w:r w:rsidR="0097444A">
        <w:t xml:space="preserve"> under </w:t>
      </w:r>
      <w:r w:rsidR="0097444A" w:rsidRPr="00A4248E">
        <w:t>section 1170, subdivision (b)</w:t>
      </w:r>
      <w:r w:rsidR="00E121C2">
        <w:t xml:space="preserve"> (section 1170(b))</w:t>
      </w:r>
      <w:r w:rsidR="0097444A">
        <w:t>,</w:t>
      </w:r>
      <w:r w:rsidR="0097444A" w:rsidRPr="0097444A">
        <w:t xml:space="preserve"> </w:t>
      </w:r>
      <w:r w:rsidR="000D4757">
        <w:t xml:space="preserve">necessitates a </w:t>
      </w:r>
      <w:r w:rsidR="00A4248E" w:rsidRPr="00A4248E">
        <w:t>remand for resentencing.</w:t>
      </w:r>
      <w:r w:rsidR="008A22C0">
        <w:t xml:space="preserve">  The Attorney General concedes that Senate Bill 567 applies </w:t>
      </w:r>
      <w:r w:rsidR="000D4757">
        <w:t xml:space="preserve">retroactively </w:t>
      </w:r>
      <w:r w:rsidR="008A22C0">
        <w:t xml:space="preserve">to </w:t>
      </w:r>
      <w:r w:rsidR="00985DEC">
        <w:t>De La Rosa</w:t>
      </w:r>
      <w:r w:rsidR="001E2451">
        <w:t xml:space="preserve">’s </w:t>
      </w:r>
      <w:r w:rsidR="008A22C0">
        <w:t>nonfinal judgment</w:t>
      </w:r>
      <w:r w:rsidR="00070AA5">
        <w:t xml:space="preserve">.  </w:t>
      </w:r>
      <w:r w:rsidR="001E2451">
        <w:t>Nevertheless</w:t>
      </w:r>
      <w:r w:rsidR="00070AA5">
        <w:t xml:space="preserve">, the Attorney General </w:t>
      </w:r>
      <w:r w:rsidR="00CB199C">
        <w:t>maintains</w:t>
      </w:r>
      <w:r w:rsidR="008A22C0">
        <w:t xml:space="preserve"> the changes to section 1170(b) are inapplicable</w:t>
      </w:r>
      <w:r w:rsidR="001E2451">
        <w:t xml:space="preserve"> to this case</w:t>
      </w:r>
      <w:r w:rsidR="008A22C0">
        <w:t xml:space="preserve"> because </w:t>
      </w:r>
      <w:r w:rsidR="00A05377">
        <w:t>De La Rosa</w:t>
      </w:r>
      <w:r w:rsidR="008A22C0">
        <w:t xml:space="preserve"> entered into a plea agreement </w:t>
      </w:r>
      <w:r w:rsidR="00C83BB9">
        <w:t>with a s</w:t>
      </w:r>
      <w:r w:rsidR="00070AA5">
        <w:t xml:space="preserve">tipulated sentence </w:t>
      </w:r>
      <w:r w:rsidR="00C83BB9">
        <w:t xml:space="preserve">that </w:t>
      </w:r>
      <w:r w:rsidR="00070AA5">
        <w:t>include</w:t>
      </w:r>
      <w:r w:rsidR="00C83BB9">
        <w:t>d</w:t>
      </w:r>
      <w:r w:rsidR="00070AA5">
        <w:t xml:space="preserve"> </w:t>
      </w:r>
      <w:r w:rsidR="008A22C0">
        <w:t>an upper term</w:t>
      </w:r>
      <w:r w:rsidR="0097444A">
        <w:t>.</w:t>
      </w:r>
    </w:p>
    <w:p w14:paraId="75F80E5D" w14:textId="53D0F67F" w:rsidR="001764AD" w:rsidRDefault="001764AD" w:rsidP="00394410">
      <w:r>
        <w:t xml:space="preserve">The California Courts of Appeal are split on whether a defendant like </w:t>
      </w:r>
      <w:r w:rsidR="00A05377">
        <w:t>De La Rosa</w:t>
      </w:r>
      <w:r>
        <w:t xml:space="preserve">, who received </w:t>
      </w:r>
      <w:r w:rsidR="00443B31">
        <w:t>an</w:t>
      </w:r>
      <w:r>
        <w:t xml:space="preserve"> upper term </w:t>
      </w:r>
      <w:r w:rsidR="00576080">
        <w:t>pursuant to</w:t>
      </w:r>
      <w:r>
        <w:t xml:space="preserve"> a plea agreement </w:t>
      </w:r>
      <w:r w:rsidR="00C61B31">
        <w:t>that include</w:t>
      </w:r>
      <w:r w:rsidR="00576080">
        <w:t>d</w:t>
      </w:r>
      <w:r w:rsidR="00C61B31">
        <w:t xml:space="preserve"> </w:t>
      </w:r>
      <w:r>
        <w:t>a stipulated sentence</w:t>
      </w:r>
      <w:r w:rsidR="00E5751E">
        <w:t>,</w:t>
      </w:r>
      <w:r>
        <w:t xml:space="preserve"> is entitled to a remand under Senate Bill 567</w:t>
      </w:r>
      <w:r w:rsidR="00355F1B">
        <w:t>.  T</w:t>
      </w:r>
      <w:r>
        <w:t xml:space="preserve">he issue is pending before </w:t>
      </w:r>
      <w:r w:rsidR="00C61B31">
        <w:t>our</w:t>
      </w:r>
      <w:r>
        <w:t xml:space="preserve"> Supreme Court.</w:t>
      </w:r>
      <w:r w:rsidR="00394410">
        <w:t xml:space="preserve">  (</w:t>
      </w:r>
      <w:r w:rsidR="00092CBA">
        <w:t>Compare</w:t>
      </w:r>
      <w:r w:rsidR="00394410">
        <w:t xml:space="preserve"> </w:t>
      </w:r>
      <w:r w:rsidR="00394410" w:rsidRPr="00394410">
        <w:rPr>
          <w:i/>
          <w:iCs/>
        </w:rPr>
        <w:t>People v. Todd</w:t>
      </w:r>
      <w:r w:rsidR="00394410">
        <w:t xml:space="preserve"> (2023) 88 Cal.App.5th 373, 381–382 (</w:t>
      </w:r>
      <w:r w:rsidR="00394410" w:rsidRPr="00394410">
        <w:rPr>
          <w:i/>
          <w:iCs/>
        </w:rPr>
        <w:t>Todd</w:t>
      </w:r>
      <w:r w:rsidR="00394410">
        <w:t xml:space="preserve">), </w:t>
      </w:r>
      <w:r w:rsidR="00394410" w:rsidRPr="00394410">
        <w:t>review granted Apr. 26, 2023, S279154</w:t>
      </w:r>
      <w:r w:rsidR="0099305D">
        <w:t xml:space="preserve"> </w:t>
      </w:r>
      <w:r w:rsidR="0099305D" w:rsidRPr="0099305D">
        <w:t>[defendant entitled to remand]</w:t>
      </w:r>
      <w:r w:rsidR="00092CBA">
        <w:t xml:space="preserve"> and </w:t>
      </w:r>
      <w:r w:rsidR="00092CBA" w:rsidRPr="009F1A4F">
        <w:rPr>
          <w:i/>
          <w:iCs/>
        </w:rPr>
        <w:t>People v. Fox</w:t>
      </w:r>
      <w:r w:rsidR="00092CBA">
        <w:t xml:space="preserve"> (2023) 90 Cal.App.5th 826, 831 (</w:t>
      </w:r>
      <w:r w:rsidR="00092CBA" w:rsidRPr="0099578D">
        <w:rPr>
          <w:i/>
          <w:iCs/>
        </w:rPr>
        <w:t>Fox</w:t>
      </w:r>
      <w:r w:rsidR="00092CBA">
        <w:t>)</w:t>
      </w:r>
      <w:r w:rsidR="000276C8">
        <w:t xml:space="preserve"> [same]</w:t>
      </w:r>
      <w:r w:rsidR="00092CBA">
        <w:t xml:space="preserve"> with</w:t>
      </w:r>
      <w:r w:rsidR="0099305D">
        <w:t xml:space="preserve"> </w:t>
      </w:r>
      <w:r w:rsidR="00394410" w:rsidRPr="00394410">
        <w:rPr>
          <w:i/>
          <w:iCs/>
        </w:rPr>
        <w:t>People v. Mitchell</w:t>
      </w:r>
      <w:r w:rsidR="00394410">
        <w:t xml:space="preserve"> (2022) 83 </w:t>
      </w:r>
      <w:r w:rsidR="00394410">
        <w:lastRenderedPageBreak/>
        <w:t>Cal.App.5th 1051, 1057–1059 (</w:t>
      </w:r>
      <w:r w:rsidR="00394410" w:rsidRPr="00011524">
        <w:rPr>
          <w:i/>
          <w:iCs/>
        </w:rPr>
        <w:t>Mitchell</w:t>
      </w:r>
      <w:r w:rsidR="00394410">
        <w:t>), review granted Dec. 14, 2022, S277314</w:t>
      </w:r>
      <w:r w:rsidR="00461587" w:rsidRPr="00461587">
        <w:rPr>
          <w:rStyle w:val="FootnoteReference"/>
          <w:b/>
          <w:bCs/>
        </w:rPr>
        <w:footnoteReference w:id="4"/>
      </w:r>
      <w:r w:rsidR="0099305D">
        <w:t xml:space="preserve"> </w:t>
      </w:r>
      <w:r w:rsidR="0099305D" w:rsidRPr="0099305D">
        <w:t>[defendant not entitled to remand]</w:t>
      </w:r>
      <w:r w:rsidR="00092CBA">
        <w:t xml:space="preserve">; </w:t>
      </w:r>
      <w:r w:rsidR="00092CBA" w:rsidRPr="00092CBA">
        <w:rPr>
          <w:i/>
          <w:iCs/>
        </w:rPr>
        <w:t xml:space="preserve">People v. </w:t>
      </w:r>
      <w:proofErr w:type="spellStart"/>
      <w:r w:rsidR="00092CBA" w:rsidRPr="00092CBA">
        <w:rPr>
          <w:i/>
          <w:iCs/>
        </w:rPr>
        <w:t>Sallee</w:t>
      </w:r>
      <w:proofErr w:type="spellEnd"/>
      <w:r w:rsidR="00092CBA" w:rsidRPr="00092CBA">
        <w:t xml:space="preserve"> (2023) 88 Cal.App.5th 330, 333–334 (</w:t>
      </w:r>
      <w:proofErr w:type="spellStart"/>
      <w:r w:rsidR="00092CBA" w:rsidRPr="00092CBA">
        <w:rPr>
          <w:i/>
          <w:iCs/>
        </w:rPr>
        <w:t>Sallee</w:t>
      </w:r>
      <w:proofErr w:type="spellEnd"/>
      <w:r w:rsidR="00092CBA" w:rsidRPr="00092CBA">
        <w:t>), review granted Apr. 26, 2023, S278690</w:t>
      </w:r>
      <w:r w:rsidR="00092CBA">
        <w:t xml:space="preserve"> [same]</w:t>
      </w:r>
      <w:r w:rsidR="00394410">
        <w:t>.)</w:t>
      </w:r>
    </w:p>
    <w:p w14:paraId="77CFC2C3" w14:textId="2FC755E5" w:rsidR="00004477" w:rsidRDefault="003561E8" w:rsidP="000E6EB8">
      <w:r>
        <w:t xml:space="preserve">For the reasons explained below, we </w:t>
      </w:r>
      <w:r w:rsidR="0028362A">
        <w:t xml:space="preserve">agree with the courts in </w:t>
      </w:r>
      <w:r w:rsidR="0028362A" w:rsidRPr="0028362A">
        <w:rPr>
          <w:i/>
          <w:iCs/>
        </w:rPr>
        <w:t>Todd</w:t>
      </w:r>
      <w:r w:rsidR="0028362A">
        <w:t xml:space="preserve"> and </w:t>
      </w:r>
      <w:r w:rsidR="0028362A" w:rsidRPr="0028362A">
        <w:rPr>
          <w:i/>
          <w:iCs/>
        </w:rPr>
        <w:t>Fox</w:t>
      </w:r>
      <w:r w:rsidR="0028362A">
        <w:t xml:space="preserve"> that a defendant who </w:t>
      </w:r>
      <w:r w:rsidR="00652FEE">
        <w:t>stipulated</w:t>
      </w:r>
      <w:r w:rsidR="0028362A">
        <w:t xml:space="preserve"> to an upper term as part of a negotiated plea agreement is entitled to a remand </w:t>
      </w:r>
      <w:r w:rsidR="00AB67BA">
        <w:t>under Senate Bill 567.  We thus reverse the judgment and remand for further proceeding</w:t>
      </w:r>
      <w:r w:rsidR="00652FEE">
        <w:t>s</w:t>
      </w:r>
      <w:r w:rsidR="00AB67BA">
        <w:t xml:space="preserve"> under </w:t>
      </w:r>
      <w:r w:rsidR="00652FEE">
        <w:t>amended</w:t>
      </w:r>
      <w:r w:rsidR="00AB67BA">
        <w:t xml:space="preserve"> section 1170(b)</w:t>
      </w:r>
      <w:r>
        <w:t>.</w:t>
      </w:r>
    </w:p>
    <w:p w14:paraId="786FB73C" w14:textId="77777777" w:rsidR="00004477" w:rsidRDefault="00004477" w:rsidP="00752E03">
      <w:pPr>
        <w:pStyle w:val="Heading1"/>
      </w:pPr>
      <w:r>
        <w:t>I.  Facts and procedural background</w:t>
      </w:r>
    </w:p>
    <w:p w14:paraId="10F49CD8" w14:textId="6FB96D11" w:rsidR="00E001D9" w:rsidRDefault="00582D6B" w:rsidP="00E001D9">
      <w:pPr>
        <w:pStyle w:val="Heading2"/>
      </w:pPr>
      <w:r>
        <w:rPr>
          <w:i w:val="0"/>
          <w:iCs w:val="0"/>
        </w:rPr>
        <w:t xml:space="preserve">A.  </w:t>
      </w:r>
      <w:r w:rsidR="00AB075F">
        <w:t>Preliminary Hearing Evidence</w:t>
      </w:r>
    </w:p>
    <w:p w14:paraId="1D1F6E6B" w14:textId="600DA46A" w:rsidR="00B831D6" w:rsidRDefault="00A22FC4" w:rsidP="00004477">
      <w:r w:rsidRPr="00BD1E64">
        <w:t>A</w:t>
      </w:r>
      <w:r w:rsidR="00182ABC">
        <w:t>bout</w:t>
      </w:r>
      <w:r w:rsidRPr="00BD1E64">
        <w:t xml:space="preserve"> 11:00 p.m.</w:t>
      </w:r>
      <w:r>
        <w:t xml:space="preserve"> on</w:t>
      </w:r>
      <w:r w:rsidR="00B22BC8">
        <w:t xml:space="preserve"> March 27, 2019, Vanessa G. </w:t>
      </w:r>
      <w:r w:rsidR="00071F3A">
        <w:t>and</w:t>
      </w:r>
      <w:r w:rsidR="00652FEE">
        <w:t xml:space="preserve"> her boyfriend, </w:t>
      </w:r>
      <w:bookmarkStart w:id="3" w:name="_Hlk149567040"/>
      <w:bookmarkStart w:id="4" w:name="_Hlk149568602"/>
      <w:r w:rsidR="00652FEE">
        <w:t xml:space="preserve">Francisco </w:t>
      </w:r>
      <w:bookmarkEnd w:id="3"/>
      <w:r w:rsidR="00652FEE" w:rsidRPr="00BD1E64">
        <w:t>Urias-</w:t>
      </w:r>
      <w:proofErr w:type="spellStart"/>
      <w:r w:rsidR="00652FEE" w:rsidRPr="00BD1E64">
        <w:t>Burgara</w:t>
      </w:r>
      <w:bookmarkEnd w:id="4"/>
      <w:proofErr w:type="spellEnd"/>
      <w:r w:rsidR="00652FEE">
        <w:t xml:space="preserve">, </w:t>
      </w:r>
      <w:r w:rsidR="00071F3A">
        <w:t xml:space="preserve">drove </w:t>
      </w:r>
      <w:r w:rsidR="00652FEE">
        <w:t xml:space="preserve">in </w:t>
      </w:r>
      <w:r w:rsidR="00071F3A">
        <w:t>Vanessa’s</w:t>
      </w:r>
      <w:r w:rsidR="000C3BD0">
        <w:t xml:space="preserve"> black Nissan</w:t>
      </w:r>
      <w:r w:rsidR="00652FEE">
        <w:t xml:space="preserve"> to a 7-Eleven store in Sunnyvale</w:t>
      </w:r>
      <w:r w:rsidR="00B22BC8">
        <w:t>.</w:t>
      </w:r>
      <w:r w:rsidR="005B54A9" w:rsidRPr="00BC6FB4">
        <w:rPr>
          <w:rStyle w:val="FootnoteReference"/>
          <w:b/>
          <w:bCs/>
        </w:rPr>
        <w:footnoteReference w:id="5"/>
      </w:r>
      <w:r w:rsidR="00B22BC8">
        <w:t xml:space="preserve"> </w:t>
      </w:r>
      <w:r w:rsidR="00BD1E64" w:rsidRPr="00BD1E64">
        <w:t xml:space="preserve"> </w:t>
      </w:r>
      <w:r>
        <w:t>Vanessa entered the store</w:t>
      </w:r>
      <w:r w:rsidR="00071F3A">
        <w:t>, and</w:t>
      </w:r>
      <w:r>
        <w:t xml:space="preserve"> Urias-</w:t>
      </w:r>
      <w:proofErr w:type="spellStart"/>
      <w:r>
        <w:t>Burgara</w:t>
      </w:r>
      <w:proofErr w:type="spellEnd"/>
      <w:r>
        <w:t xml:space="preserve"> stayed outside </w:t>
      </w:r>
      <w:r w:rsidR="00355F1B">
        <w:t xml:space="preserve">to smoke </w:t>
      </w:r>
      <w:r>
        <w:t xml:space="preserve">a cigarette.  </w:t>
      </w:r>
      <w:r w:rsidR="00355F1B">
        <w:t xml:space="preserve">Victim </w:t>
      </w:r>
      <w:r w:rsidR="00BD1E64" w:rsidRPr="00BD1E64">
        <w:t>S</w:t>
      </w:r>
      <w:r w:rsidR="00BC6FB4">
        <w:t xml:space="preserve">pencer </w:t>
      </w:r>
      <w:r w:rsidR="00BD1E64" w:rsidRPr="00BD1E64">
        <w:t>D. approached Urias-</w:t>
      </w:r>
      <w:proofErr w:type="spellStart"/>
      <w:r w:rsidR="00BD1E64" w:rsidRPr="00BD1E64">
        <w:t>Burgara</w:t>
      </w:r>
      <w:proofErr w:type="spellEnd"/>
      <w:r w:rsidR="00301316">
        <w:t xml:space="preserve"> and</w:t>
      </w:r>
      <w:r w:rsidR="00BD1E64" w:rsidRPr="00BD1E64">
        <w:t xml:space="preserve"> asked </w:t>
      </w:r>
      <w:r w:rsidR="00301316">
        <w:t>him</w:t>
      </w:r>
      <w:r w:rsidR="00BD1E64" w:rsidRPr="00BD1E64">
        <w:t xml:space="preserve"> for money</w:t>
      </w:r>
      <w:r w:rsidR="00BC6FB4">
        <w:t xml:space="preserve"> or a lighter</w:t>
      </w:r>
      <w:r w:rsidR="00B22BC8">
        <w:t>.  A</w:t>
      </w:r>
      <w:r w:rsidR="00CF6E4B">
        <w:t xml:space="preserve"> physical altercation ensued</w:t>
      </w:r>
      <w:r w:rsidR="00C8359C">
        <w:t>,</w:t>
      </w:r>
      <w:r w:rsidR="00B22BC8">
        <w:t xml:space="preserve"> with Spencer striking </w:t>
      </w:r>
      <w:r w:rsidR="00B22BC8" w:rsidRPr="00BD1E64">
        <w:t>Urias-</w:t>
      </w:r>
      <w:proofErr w:type="spellStart"/>
      <w:r w:rsidR="00B22BC8" w:rsidRPr="00BD1E64">
        <w:t>Burgara</w:t>
      </w:r>
      <w:proofErr w:type="spellEnd"/>
      <w:r w:rsidR="00B22BC8">
        <w:t xml:space="preserve"> first</w:t>
      </w:r>
      <w:r w:rsidR="00BD1E64" w:rsidRPr="00BD1E64">
        <w:t xml:space="preserve">.  Vanessa </w:t>
      </w:r>
      <w:r w:rsidR="00301316">
        <w:t>exited the store and saw Spencer and Urias-</w:t>
      </w:r>
      <w:proofErr w:type="spellStart"/>
      <w:r w:rsidR="00301316">
        <w:t>Burgara</w:t>
      </w:r>
      <w:proofErr w:type="spellEnd"/>
      <w:r w:rsidR="00301316">
        <w:t xml:space="preserve"> fighting.  </w:t>
      </w:r>
      <w:r w:rsidR="000C3BD0">
        <w:t>She</w:t>
      </w:r>
      <w:r w:rsidR="00C078F3">
        <w:t xml:space="preserve"> did not see any weapon</w:t>
      </w:r>
      <w:r w:rsidR="00906485">
        <w:t xml:space="preserve">. </w:t>
      </w:r>
      <w:r w:rsidR="00C5636C">
        <w:t xml:space="preserve"> </w:t>
      </w:r>
      <w:r w:rsidR="00071F3A">
        <w:t>A</w:t>
      </w:r>
      <w:r w:rsidR="00906485">
        <w:t>ccording to Vanessa,</w:t>
      </w:r>
      <w:r w:rsidR="00C078F3">
        <w:t xml:space="preserve"> </w:t>
      </w:r>
      <w:r w:rsidR="00C5636C">
        <w:t xml:space="preserve">Spencer “threatened to kill </w:t>
      </w:r>
      <w:r w:rsidR="00C078F3">
        <w:t>[</w:t>
      </w:r>
      <w:r w:rsidR="00906485">
        <w:t>her</w:t>
      </w:r>
      <w:r w:rsidR="00C078F3">
        <w:t xml:space="preserve"> and Urias-</w:t>
      </w:r>
      <w:proofErr w:type="spellStart"/>
      <w:r w:rsidR="00C078F3">
        <w:t>Burgara</w:t>
      </w:r>
      <w:proofErr w:type="spellEnd"/>
      <w:r w:rsidR="00C078F3">
        <w:t>]</w:t>
      </w:r>
      <w:r w:rsidR="00C5636C">
        <w:t xml:space="preserve"> and then reached behind his back.” </w:t>
      </w:r>
      <w:r w:rsidR="00906485">
        <w:t xml:space="preserve"> Spencer walked away</w:t>
      </w:r>
      <w:r w:rsidR="00651FAA">
        <w:t xml:space="preserve"> from the store</w:t>
      </w:r>
      <w:r w:rsidR="00873E8C">
        <w:t xml:space="preserve"> after the fight</w:t>
      </w:r>
      <w:r w:rsidR="00906485">
        <w:t xml:space="preserve">. </w:t>
      </w:r>
    </w:p>
    <w:p w14:paraId="24F7816B" w14:textId="145E33ED" w:rsidR="00A25235" w:rsidRDefault="00C5636C" w:rsidP="00143957">
      <w:r w:rsidRPr="00C5636C">
        <w:lastRenderedPageBreak/>
        <w:t>Urias-</w:t>
      </w:r>
      <w:proofErr w:type="spellStart"/>
      <w:r w:rsidRPr="00C5636C">
        <w:t>Burgara</w:t>
      </w:r>
      <w:proofErr w:type="spellEnd"/>
      <w:r w:rsidR="00EE5E88">
        <w:t xml:space="preserve"> and Vanessa got into </w:t>
      </w:r>
      <w:r w:rsidR="000C3BD0">
        <w:t>her Nissan</w:t>
      </w:r>
      <w:r w:rsidR="00AB075F">
        <w:t xml:space="preserve">. </w:t>
      </w:r>
      <w:r w:rsidR="00EE5E88">
        <w:t xml:space="preserve"> Urias-</w:t>
      </w:r>
      <w:proofErr w:type="spellStart"/>
      <w:r w:rsidR="00EE5E88">
        <w:t>Burgara</w:t>
      </w:r>
      <w:proofErr w:type="spellEnd"/>
      <w:r w:rsidRPr="00C5636C">
        <w:t xml:space="preserve"> </w:t>
      </w:r>
      <w:r w:rsidR="00C619B8">
        <w:t xml:space="preserve">spoke </w:t>
      </w:r>
      <w:r w:rsidR="00FD0A73">
        <w:t>briefly</w:t>
      </w:r>
      <w:r w:rsidR="000C3BD0">
        <w:t xml:space="preserve"> by phone</w:t>
      </w:r>
      <w:r w:rsidR="00FD0A73">
        <w:t xml:space="preserve"> to his brother, Jose D., </w:t>
      </w:r>
      <w:r w:rsidR="000C3BD0">
        <w:t>who passed the call</w:t>
      </w:r>
      <w:r w:rsidR="00C619B8">
        <w:t xml:space="preserve"> to </w:t>
      </w:r>
      <w:r w:rsidR="000C3BD0">
        <w:t>their</w:t>
      </w:r>
      <w:r w:rsidR="00C8359C">
        <w:t xml:space="preserve"> brother, </w:t>
      </w:r>
      <w:r w:rsidR="00A05377">
        <w:t>De La Rosa</w:t>
      </w:r>
      <w:r w:rsidR="00FD0A73">
        <w:t>.</w:t>
      </w:r>
      <w:r w:rsidR="00B57B19" w:rsidRPr="000C3BD0">
        <w:rPr>
          <w:rStyle w:val="FootnoteReference"/>
          <w:b/>
          <w:bCs/>
        </w:rPr>
        <w:footnoteReference w:id="6"/>
      </w:r>
      <w:r w:rsidR="00FD0A73">
        <w:t xml:space="preserve">  Urias-</w:t>
      </w:r>
      <w:proofErr w:type="spellStart"/>
      <w:r w:rsidR="00FD0A73">
        <w:t>Burgara</w:t>
      </w:r>
      <w:proofErr w:type="spellEnd"/>
      <w:r w:rsidR="00FD0A73">
        <w:t xml:space="preserve"> </w:t>
      </w:r>
      <w:r w:rsidR="00AB075F">
        <w:t xml:space="preserve">asked </w:t>
      </w:r>
      <w:r w:rsidR="00A05377">
        <w:t>De La Rosa</w:t>
      </w:r>
      <w:r w:rsidR="00FD0A73">
        <w:t xml:space="preserve"> </w:t>
      </w:r>
      <w:r w:rsidR="00EE5E88">
        <w:t xml:space="preserve">for help. </w:t>
      </w:r>
      <w:r w:rsidR="00F36565">
        <w:t xml:space="preserve"> </w:t>
      </w:r>
    </w:p>
    <w:p w14:paraId="2B69B6AB" w14:textId="5677B127" w:rsidR="00143957" w:rsidRDefault="00A25235" w:rsidP="00143957">
      <w:r>
        <w:t>Soon t</w:t>
      </w:r>
      <w:r w:rsidR="00AB075F">
        <w:t xml:space="preserve">hereafter, </w:t>
      </w:r>
      <w:r w:rsidR="00A05377">
        <w:t>De La Rosa</w:t>
      </w:r>
      <w:r w:rsidR="00EE5E88">
        <w:t xml:space="preserve"> arrived at the 7-Eleven driving </w:t>
      </w:r>
      <w:r w:rsidR="00734A09">
        <w:t>his</w:t>
      </w:r>
      <w:r w:rsidR="00EE5E88">
        <w:t xml:space="preserve"> black Mercedes</w:t>
      </w:r>
      <w:r w:rsidR="00AB075F">
        <w:t xml:space="preserve">.  </w:t>
      </w:r>
      <w:r w:rsidR="00A05377">
        <w:t>De La Rosa</w:t>
      </w:r>
      <w:r>
        <w:t xml:space="preserve"> </w:t>
      </w:r>
      <w:r w:rsidR="00143957">
        <w:t>spoke with Urias-</w:t>
      </w:r>
      <w:proofErr w:type="spellStart"/>
      <w:r w:rsidR="00143957">
        <w:t>Burgara</w:t>
      </w:r>
      <w:proofErr w:type="spellEnd"/>
      <w:r w:rsidR="00EE5E88">
        <w:t xml:space="preserve">. </w:t>
      </w:r>
      <w:r w:rsidR="003D5302">
        <w:t xml:space="preserve"> </w:t>
      </w:r>
      <w:r w:rsidR="000C30F3">
        <w:t>B</w:t>
      </w:r>
      <w:r w:rsidR="00143957">
        <w:t>oth cars exited the 7-Eleven parking lot</w:t>
      </w:r>
      <w:r w:rsidR="000C30F3">
        <w:t xml:space="preserve">.  </w:t>
      </w:r>
      <w:r w:rsidR="00143957">
        <w:t>Urias-</w:t>
      </w:r>
      <w:proofErr w:type="spellStart"/>
      <w:r w:rsidR="00143957">
        <w:t>Burgara</w:t>
      </w:r>
      <w:proofErr w:type="spellEnd"/>
      <w:r w:rsidR="00143957">
        <w:t xml:space="preserve"> </w:t>
      </w:r>
      <w:r w:rsidR="000C30F3">
        <w:t xml:space="preserve">eventually </w:t>
      </w:r>
      <w:r w:rsidR="00143957">
        <w:t xml:space="preserve">got out of Vanessa’s </w:t>
      </w:r>
      <w:r>
        <w:t>Nissan</w:t>
      </w:r>
      <w:r w:rsidR="00143957">
        <w:t xml:space="preserve"> and entered the passenger seat of </w:t>
      </w:r>
      <w:r w:rsidR="00A05377">
        <w:t>De La Rosa</w:t>
      </w:r>
      <w:r w:rsidR="001F440E">
        <w:t>’s</w:t>
      </w:r>
      <w:r w:rsidR="00143957">
        <w:t xml:space="preserve"> Mercedes. </w:t>
      </w:r>
      <w:r w:rsidR="00BB7542">
        <w:t xml:space="preserve"> </w:t>
      </w:r>
      <w:r w:rsidR="00143957">
        <w:t xml:space="preserve">As Vanessa drove toward her home, she noticed Spencer </w:t>
      </w:r>
      <w:r w:rsidR="00E84676">
        <w:t>at a gas station</w:t>
      </w:r>
      <w:r w:rsidR="00143957">
        <w:t xml:space="preserve">.  </w:t>
      </w:r>
      <w:r w:rsidR="00BB7542">
        <w:t>She</w:t>
      </w:r>
      <w:r w:rsidR="00143957">
        <w:t xml:space="preserve"> called Urias-</w:t>
      </w:r>
      <w:proofErr w:type="spellStart"/>
      <w:r w:rsidR="00143957">
        <w:t>Burgara</w:t>
      </w:r>
      <w:proofErr w:type="spellEnd"/>
      <w:r w:rsidR="00143957">
        <w:t xml:space="preserve"> </w:t>
      </w:r>
      <w:r w:rsidR="00D87DAA">
        <w:t xml:space="preserve">and </w:t>
      </w:r>
      <w:r w:rsidR="00355F1B">
        <w:t>informed him of</w:t>
      </w:r>
      <w:r w:rsidR="00143957">
        <w:t xml:space="preserve"> </w:t>
      </w:r>
      <w:r w:rsidR="00D87DAA">
        <w:t>Spencer</w:t>
      </w:r>
      <w:r w:rsidR="00BB7542">
        <w:t>’s location</w:t>
      </w:r>
      <w:r w:rsidR="00143957">
        <w:t xml:space="preserve">. </w:t>
      </w:r>
    </w:p>
    <w:p w14:paraId="1D28EFDF" w14:textId="5552ACE7" w:rsidR="00592087" w:rsidRDefault="00103AE2" w:rsidP="00946C47">
      <w:r>
        <w:t xml:space="preserve">Spencer </w:t>
      </w:r>
      <w:r w:rsidR="00F36FF8">
        <w:t>proceeded to a sh</w:t>
      </w:r>
      <w:r w:rsidR="00F36FF8" w:rsidRPr="00D87DAA">
        <w:t xml:space="preserve">opping </w:t>
      </w:r>
      <w:r w:rsidR="00F36FF8">
        <w:t>c</w:t>
      </w:r>
      <w:r w:rsidR="00F36FF8" w:rsidRPr="00D87DAA">
        <w:t xml:space="preserve">enter </w:t>
      </w:r>
      <w:r w:rsidR="00F36FF8">
        <w:t xml:space="preserve">and </w:t>
      </w:r>
      <w:r w:rsidR="00EA3899">
        <w:t xml:space="preserve">happened </w:t>
      </w:r>
      <w:r w:rsidR="008D5871">
        <w:t>to meet</w:t>
      </w:r>
      <w:r w:rsidR="00EA3899">
        <w:t xml:space="preserve"> </w:t>
      </w:r>
      <w:r w:rsidR="00A25235">
        <w:t xml:space="preserve">his friend </w:t>
      </w:r>
      <w:r w:rsidR="00F36FF8">
        <w:t>Andrew F</w:t>
      </w:r>
      <w:r w:rsidR="00D87DAA" w:rsidRPr="00D87DAA">
        <w:t xml:space="preserve">. </w:t>
      </w:r>
      <w:r w:rsidR="005D60A4">
        <w:t xml:space="preserve"> </w:t>
      </w:r>
      <w:r w:rsidR="005D60A4" w:rsidRPr="00D87DAA">
        <w:t xml:space="preserve">At 11:35 p.m., </w:t>
      </w:r>
      <w:r w:rsidR="005D60A4">
        <w:t xml:space="preserve">a </w:t>
      </w:r>
      <w:r w:rsidR="005D60A4" w:rsidRPr="00D87DAA">
        <w:t xml:space="preserve">surveillance </w:t>
      </w:r>
      <w:r w:rsidR="005D60A4">
        <w:t xml:space="preserve">camera captured </w:t>
      </w:r>
      <w:r w:rsidR="005D60A4" w:rsidRPr="00D87DAA">
        <w:t xml:space="preserve">a dark-colored sedan </w:t>
      </w:r>
      <w:r w:rsidR="00AA02C0">
        <w:t xml:space="preserve">(which </w:t>
      </w:r>
      <w:r w:rsidR="00F60C75">
        <w:t>resembled</w:t>
      </w:r>
      <w:r w:rsidR="00AA02C0">
        <w:t xml:space="preserve"> </w:t>
      </w:r>
      <w:r w:rsidR="00A05377">
        <w:t>De La Rosa</w:t>
      </w:r>
      <w:r w:rsidR="00AA02C0">
        <w:t xml:space="preserve">’s Mercedes) </w:t>
      </w:r>
      <w:r w:rsidR="005D60A4" w:rsidRPr="00D87DAA">
        <w:t>enter</w:t>
      </w:r>
      <w:r w:rsidR="005D60A4">
        <w:t xml:space="preserve"> and park in </w:t>
      </w:r>
      <w:r w:rsidR="005D60A4" w:rsidRPr="00D87DAA">
        <w:t xml:space="preserve">the </w:t>
      </w:r>
      <w:r w:rsidR="005D60A4">
        <w:t>shopping center’s</w:t>
      </w:r>
      <w:r w:rsidR="005D60A4" w:rsidRPr="00D87DAA">
        <w:t xml:space="preserve"> parking lot.  A </w:t>
      </w:r>
      <w:r w:rsidR="005D60A4">
        <w:t>couple of minutes</w:t>
      </w:r>
      <w:r w:rsidR="005D60A4" w:rsidRPr="00D87DAA">
        <w:t xml:space="preserve"> later, </w:t>
      </w:r>
      <w:r w:rsidR="00973C2E">
        <w:t>Urias-</w:t>
      </w:r>
      <w:proofErr w:type="spellStart"/>
      <w:r w:rsidR="00973C2E">
        <w:t>Burgara</w:t>
      </w:r>
      <w:proofErr w:type="spellEnd"/>
      <w:r w:rsidR="00973C2E">
        <w:t xml:space="preserve"> exited the</w:t>
      </w:r>
      <w:r w:rsidR="00DD6AA8">
        <w:t xml:space="preserve"> car’s</w:t>
      </w:r>
      <w:r w:rsidR="00973C2E">
        <w:t xml:space="preserve"> passenger seat and walked around.  The driver also got out of the car and went to the trunk</w:t>
      </w:r>
      <w:r w:rsidR="005D60A4" w:rsidRPr="00D87DAA">
        <w:t xml:space="preserve">. </w:t>
      </w:r>
      <w:r w:rsidR="005D60A4">
        <w:t xml:space="preserve"> </w:t>
      </w:r>
      <w:r w:rsidR="00BB7542">
        <w:t>Both individuals</w:t>
      </w:r>
      <w:r w:rsidR="00592087">
        <w:t xml:space="preserve"> got back in</w:t>
      </w:r>
      <w:r w:rsidR="00AA02C0">
        <w:t>side</w:t>
      </w:r>
      <w:r w:rsidR="00592087">
        <w:t xml:space="preserve"> the car.  </w:t>
      </w:r>
    </w:p>
    <w:p w14:paraId="0277F178" w14:textId="30996B2D" w:rsidR="00D87DAA" w:rsidRDefault="00EA3899" w:rsidP="00004477">
      <w:r w:rsidRPr="00EA3899">
        <w:t xml:space="preserve">As </w:t>
      </w:r>
      <w:r w:rsidR="00946C47">
        <w:t>Andrew</w:t>
      </w:r>
      <w:r w:rsidRPr="00EA3899">
        <w:t xml:space="preserve"> and </w:t>
      </w:r>
      <w:r w:rsidR="00DE2797">
        <w:t>Spencer</w:t>
      </w:r>
      <w:r w:rsidRPr="00EA3899">
        <w:t xml:space="preserve"> walked </w:t>
      </w:r>
      <w:r w:rsidR="00F60C75">
        <w:t>through</w:t>
      </w:r>
      <w:r w:rsidR="00DE2797">
        <w:t xml:space="preserve"> the shopping center’s parking lot</w:t>
      </w:r>
      <w:r w:rsidRPr="00EA3899">
        <w:t xml:space="preserve">, </w:t>
      </w:r>
      <w:r w:rsidR="00946C47">
        <w:t>Andrew</w:t>
      </w:r>
      <w:r w:rsidRPr="00EA3899">
        <w:t xml:space="preserve"> </w:t>
      </w:r>
      <w:r w:rsidR="00AD085D" w:rsidRPr="00EA3899">
        <w:t>heard</w:t>
      </w:r>
      <w:r w:rsidRPr="00EA3899">
        <w:t xml:space="preserve"> tires squealing and looked around.  </w:t>
      </w:r>
      <w:r w:rsidR="00592087">
        <w:t>He</w:t>
      </w:r>
      <w:r w:rsidR="00946C47">
        <w:t xml:space="preserve"> saw Spencer </w:t>
      </w:r>
      <w:r w:rsidR="00BB7542">
        <w:t xml:space="preserve">down </w:t>
      </w:r>
      <w:r w:rsidR="00946C47">
        <w:t xml:space="preserve">on the ground and a car driving away.  </w:t>
      </w:r>
      <w:r w:rsidR="00973C2E">
        <w:t>A s</w:t>
      </w:r>
      <w:r w:rsidR="00946C47" w:rsidRPr="00EA3899">
        <w:t xml:space="preserve">urveillance </w:t>
      </w:r>
      <w:r w:rsidR="00973C2E">
        <w:t xml:space="preserve">camera captured </w:t>
      </w:r>
      <w:r w:rsidR="00946C47" w:rsidRPr="00EA3899">
        <w:t xml:space="preserve">the </w:t>
      </w:r>
      <w:r w:rsidR="00AA02C0">
        <w:t>dark-colored</w:t>
      </w:r>
      <w:r w:rsidR="00946C47" w:rsidRPr="00EA3899">
        <w:t xml:space="preserve"> sedan </w:t>
      </w:r>
      <w:r w:rsidR="00355F1B">
        <w:t>colliding</w:t>
      </w:r>
      <w:r w:rsidR="00355F1B" w:rsidRPr="00EA3899">
        <w:t xml:space="preserve"> </w:t>
      </w:r>
      <w:r w:rsidR="00946C47" w:rsidRPr="00EA3899">
        <w:t xml:space="preserve">with </w:t>
      </w:r>
      <w:r w:rsidR="00592087">
        <w:t>Spencer</w:t>
      </w:r>
      <w:r w:rsidR="00946C47" w:rsidRPr="00EA3899">
        <w:t xml:space="preserve"> around 11:43 p.m. </w:t>
      </w:r>
      <w:r w:rsidR="002A6CEB">
        <w:t xml:space="preserve"> </w:t>
      </w:r>
      <w:r w:rsidR="004F7C22">
        <w:t xml:space="preserve">Spencer suffered major injuries and was hospitalized.  </w:t>
      </w:r>
      <w:r w:rsidR="00BB49B1">
        <w:t>Andrew</w:t>
      </w:r>
      <w:r w:rsidR="006679B9">
        <w:t xml:space="preserve"> </w:t>
      </w:r>
      <w:r w:rsidR="00355F1B">
        <w:t>told</w:t>
      </w:r>
      <w:r w:rsidR="006679B9">
        <w:t xml:space="preserve"> </w:t>
      </w:r>
      <w:r w:rsidR="004F7C22">
        <w:t xml:space="preserve">the police </w:t>
      </w:r>
      <w:r w:rsidR="006679B9">
        <w:t>that there were at least two people inside the car that hit Spencer.</w:t>
      </w:r>
      <w:r w:rsidRPr="00EA3899">
        <w:t xml:space="preserve"> </w:t>
      </w:r>
    </w:p>
    <w:p w14:paraId="7AC079A6" w14:textId="7E277032" w:rsidR="009D3530" w:rsidRDefault="007934AD" w:rsidP="009D3530">
      <w:r>
        <w:t>Vanessa testified that after the incident, Urias-</w:t>
      </w:r>
      <w:proofErr w:type="spellStart"/>
      <w:r>
        <w:t>Burgara</w:t>
      </w:r>
      <w:proofErr w:type="spellEnd"/>
      <w:r>
        <w:t xml:space="preserve"> told her </w:t>
      </w:r>
      <w:r w:rsidR="00BB7542">
        <w:t xml:space="preserve">that </w:t>
      </w:r>
      <w:r w:rsidR="00A05377">
        <w:t>De La Rosa</w:t>
      </w:r>
      <w:r>
        <w:t xml:space="preserve"> was the driver </w:t>
      </w:r>
      <w:r w:rsidR="00F60C75">
        <w:t>of the car that</w:t>
      </w:r>
      <w:r>
        <w:t xml:space="preserve"> hit Spencer. </w:t>
      </w:r>
      <w:r w:rsidR="009D3530">
        <w:t xml:space="preserve"> </w:t>
      </w:r>
      <w:r w:rsidR="009D3530" w:rsidRPr="00C5636C">
        <w:t>Urias-</w:t>
      </w:r>
      <w:proofErr w:type="spellStart"/>
      <w:r w:rsidR="009D3530" w:rsidRPr="00C5636C">
        <w:t>Burgara</w:t>
      </w:r>
      <w:proofErr w:type="spellEnd"/>
      <w:r w:rsidR="009D3530" w:rsidRPr="00C5636C">
        <w:t xml:space="preserve"> </w:t>
      </w:r>
      <w:r w:rsidR="009D3530">
        <w:t xml:space="preserve">also said </w:t>
      </w:r>
      <w:r w:rsidR="009D3530" w:rsidRPr="00C5636C">
        <w:t xml:space="preserve">that he </w:t>
      </w:r>
      <w:r w:rsidR="001C1B85">
        <w:t xml:space="preserve">had </w:t>
      </w:r>
      <w:r w:rsidR="009D3530">
        <w:t xml:space="preserve">wanted to get out of the car and have a one-on-one fight with the person who </w:t>
      </w:r>
      <w:r w:rsidR="00A25235">
        <w:t xml:space="preserve">had </w:t>
      </w:r>
      <w:r w:rsidR="009D3530">
        <w:t xml:space="preserve">punched him, but he was stopped from </w:t>
      </w:r>
      <w:r w:rsidR="00644A8B">
        <w:t>exiting</w:t>
      </w:r>
      <w:r w:rsidR="009D3530">
        <w:t xml:space="preserve"> the car</w:t>
      </w:r>
      <w:r w:rsidR="009D3530" w:rsidRPr="00C5636C">
        <w:t xml:space="preserve">. </w:t>
      </w:r>
      <w:r w:rsidR="009D3530">
        <w:t xml:space="preserve"> </w:t>
      </w:r>
    </w:p>
    <w:p w14:paraId="3D9FF864" w14:textId="321666E6" w:rsidR="00651FAA" w:rsidRDefault="00EA54B4" w:rsidP="001C1B85">
      <w:r>
        <w:t xml:space="preserve">A Sunnyvale detective testified that </w:t>
      </w:r>
      <w:r w:rsidR="00A05377">
        <w:t>De La Rosa</w:t>
      </w:r>
      <w:r>
        <w:t xml:space="preserve">’s girlfriend, </w:t>
      </w:r>
      <w:r w:rsidRPr="006679B9">
        <w:t>Mariana C</w:t>
      </w:r>
      <w:r>
        <w:t xml:space="preserve">., had reported that </w:t>
      </w:r>
      <w:r w:rsidR="00A05377">
        <w:t>De La Rosa</w:t>
      </w:r>
      <w:r>
        <w:t xml:space="preserve"> </w:t>
      </w:r>
      <w:r w:rsidR="003D487B">
        <w:t>said</w:t>
      </w:r>
      <w:r>
        <w:t xml:space="preserve"> </w:t>
      </w:r>
      <w:bookmarkStart w:id="5" w:name="_Hlk149570117"/>
      <w:r w:rsidR="004D2B49">
        <w:t>“</w:t>
      </w:r>
      <w:r>
        <w:t>something bad happened</w:t>
      </w:r>
      <w:r w:rsidR="004D2B49">
        <w:t>”</w:t>
      </w:r>
      <w:r>
        <w:t xml:space="preserve"> with his car wh</w:t>
      </w:r>
      <w:r w:rsidR="006B2E63">
        <w:t>en</w:t>
      </w:r>
      <w:r>
        <w:t xml:space="preserve"> he was with </w:t>
      </w:r>
      <w:r>
        <w:lastRenderedPageBreak/>
        <w:t>his brother.</w:t>
      </w:r>
      <w:r w:rsidR="00F75833" w:rsidRPr="00F75833">
        <w:rPr>
          <w:rStyle w:val="FootnoteReference"/>
          <w:b/>
          <w:bCs/>
        </w:rPr>
        <w:footnoteReference w:id="7"/>
      </w:r>
      <w:r>
        <w:t xml:space="preserve">  </w:t>
      </w:r>
      <w:r w:rsidR="00A05377">
        <w:t>De La Rosa</w:t>
      </w:r>
      <w:r>
        <w:t xml:space="preserve"> </w:t>
      </w:r>
      <w:r w:rsidR="00C114DF">
        <w:t xml:space="preserve">told Mariana </w:t>
      </w:r>
      <w:r>
        <w:t>that he</w:t>
      </w:r>
      <w:r w:rsidR="004D2B49">
        <w:t xml:space="preserve"> had</w:t>
      </w:r>
      <w:r>
        <w:t xml:space="preserve"> hit a person with his car</w:t>
      </w:r>
      <w:r w:rsidR="00334DD4">
        <w:t xml:space="preserve"> because he was assisting </w:t>
      </w:r>
      <w:r w:rsidR="003D487B">
        <w:t>his brother</w:t>
      </w:r>
      <w:r w:rsidR="00334DD4">
        <w:t xml:space="preserve"> </w:t>
      </w:r>
      <w:r w:rsidR="00467565">
        <w:t>after</w:t>
      </w:r>
      <w:r w:rsidR="00334DD4">
        <w:t xml:space="preserve"> </w:t>
      </w:r>
      <w:r w:rsidR="004D2B49">
        <w:t>his brother</w:t>
      </w:r>
      <w:r w:rsidR="00334DD4">
        <w:t xml:space="preserve"> </w:t>
      </w:r>
      <w:r w:rsidR="00DA0789">
        <w:t>had been</w:t>
      </w:r>
      <w:r w:rsidR="00334DD4">
        <w:t xml:space="preserve"> attacked. </w:t>
      </w:r>
      <w:r w:rsidR="00C114DF">
        <w:t xml:space="preserve"> </w:t>
      </w:r>
      <w:r w:rsidR="0087523D">
        <w:t xml:space="preserve">In addition, </w:t>
      </w:r>
      <w:r w:rsidR="00C114DF">
        <w:t xml:space="preserve">Mariana </w:t>
      </w:r>
      <w:r w:rsidR="0087523D">
        <w:t>told</w:t>
      </w:r>
      <w:r w:rsidR="00C114DF">
        <w:t xml:space="preserve"> the detective that the person involved in the incident had a gun. </w:t>
      </w:r>
      <w:r w:rsidR="00334DD4">
        <w:t xml:space="preserve"> </w:t>
      </w:r>
      <w:r w:rsidR="0087523D">
        <w:t>She said</w:t>
      </w:r>
      <w:r w:rsidR="00334DD4">
        <w:t xml:space="preserve"> that after the </w:t>
      </w:r>
      <w:r w:rsidR="003D487B">
        <w:t xml:space="preserve">date of the </w:t>
      </w:r>
      <w:r w:rsidR="00334DD4">
        <w:t xml:space="preserve">incident, she and </w:t>
      </w:r>
      <w:r w:rsidR="00A05377">
        <w:t>De La Rosa</w:t>
      </w:r>
      <w:r w:rsidR="00334DD4">
        <w:t xml:space="preserve"> took </w:t>
      </w:r>
      <w:r w:rsidR="00484089">
        <w:t>hi</w:t>
      </w:r>
      <w:r w:rsidR="00334DD4">
        <w:t>s Mercedes to Los Angeles because “the car could not be in the area.”</w:t>
      </w:r>
      <w:bookmarkEnd w:id="5"/>
    </w:p>
    <w:p w14:paraId="70D5777F" w14:textId="769A5553" w:rsidR="00004477" w:rsidRDefault="00582D6B" w:rsidP="00E001D9">
      <w:pPr>
        <w:pStyle w:val="Heading2"/>
      </w:pPr>
      <w:r>
        <w:rPr>
          <w:i w:val="0"/>
          <w:iCs w:val="0"/>
        </w:rPr>
        <w:t xml:space="preserve">B.  </w:t>
      </w:r>
      <w:r w:rsidR="00E001D9">
        <w:t xml:space="preserve">Charges Against </w:t>
      </w:r>
      <w:r w:rsidR="00A05377">
        <w:t>De La Rosa</w:t>
      </w:r>
    </w:p>
    <w:p w14:paraId="515BB3F1" w14:textId="0B216D2F" w:rsidR="00E001D9" w:rsidRDefault="00491FA6" w:rsidP="00CC6E12">
      <w:bookmarkStart w:id="6" w:name="_Hlk149566759"/>
      <w:r>
        <w:t xml:space="preserve">Following a joint preliminary hearing, </w:t>
      </w:r>
      <w:r w:rsidR="00CC6E12">
        <w:t xml:space="preserve">the Santa Clara County District Attorney filed an information charging </w:t>
      </w:r>
      <w:r w:rsidR="00A05377">
        <w:t>De La Rosa</w:t>
      </w:r>
      <w:r w:rsidR="00E6307D">
        <w:t xml:space="preserve"> and his </w:t>
      </w:r>
      <w:r w:rsidR="00355F1B">
        <w:t>brother</w:t>
      </w:r>
      <w:r w:rsidR="00E6307D">
        <w:t xml:space="preserve"> Urias</w:t>
      </w:r>
      <w:r w:rsidR="002B500C">
        <w:t>-</w:t>
      </w:r>
      <w:proofErr w:type="spellStart"/>
      <w:r w:rsidR="002B500C">
        <w:t>B</w:t>
      </w:r>
      <w:r w:rsidR="00E6307D">
        <w:t>urgara</w:t>
      </w:r>
      <w:proofErr w:type="spellEnd"/>
      <w:r w:rsidR="00CC6E12">
        <w:t xml:space="preserve"> with conspiracy to commit murder (§§</w:t>
      </w:r>
      <w:r w:rsidR="007A3F63">
        <w:t> </w:t>
      </w:r>
      <w:r w:rsidR="00CC6E12">
        <w:t>182, subd. (a)(1), 187, subd. (a); count 1), attempted murder (§§</w:t>
      </w:r>
      <w:r w:rsidR="00E6307D">
        <w:t> </w:t>
      </w:r>
      <w:r w:rsidR="00CC6E12">
        <w:t>187, subd. (a), 664; count 2), assault with a deadly weapon (§</w:t>
      </w:r>
      <w:r w:rsidR="00E6307D">
        <w:t> </w:t>
      </w:r>
      <w:r w:rsidR="00CC6E12">
        <w:t>245, subd. (a)(1); count 3), and hit</w:t>
      </w:r>
      <w:r w:rsidR="00E6307D">
        <w:t>-</w:t>
      </w:r>
      <w:r w:rsidR="00CC6E12">
        <w:t>and</w:t>
      </w:r>
      <w:r w:rsidR="00E6307D">
        <w:t>-</w:t>
      </w:r>
      <w:r w:rsidR="00CC6E12">
        <w:t xml:space="preserve">run </w:t>
      </w:r>
      <w:r w:rsidR="0047573F">
        <w:t xml:space="preserve">driving </w:t>
      </w:r>
      <w:r w:rsidR="00CC6E12">
        <w:t>(</w:t>
      </w:r>
      <w:proofErr w:type="spellStart"/>
      <w:r w:rsidR="00CC6E12">
        <w:t>Veh</w:t>
      </w:r>
      <w:proofErr w:type="spellEnd"/>
      <w:r w:rsidR="00CC6E12">
        <w:t>. Code, §</w:t>
      </w:r>
      <w:r w:rsidR="0001635F">
        <w:t> </w:t>
      </w:r>
      <w:r w:rsidR="00CC6E12">
        <w:t>20001, subd. (a)</w:t>
      </w:r>
      <w:r w:rsidR="0015079B">
        <w:t>; count 4</w:t>
      </w:r>
      <w:r w:rsidR="00CC6E12">
        <w:t xml:space="preserve">). </w:t>
      </w:r>
      <w:r w:rsidR="00E6307D">
        <w:t xml:space="preserve"> </w:t>
      </w:r>
      <w:r w:rsidR="007D7CC2">
        <w:t>For</w:t>
      </w:r>
      <w:r w:rsidR="00E6307D">
        <w:t xml:space="preserve"> count 2, t</w:t>
      </w:r>
      <w:r w:rsidR="00CC6E12">
        <w:t xml:space="preserve">he information alleged that </w:t>
      </w:r>
      <w:r w:rsidR="00A05377">
        <w:t>De La Rosa</w:t>
      </w:r>
      <w:r w:rsidR="00CC6E12">
        <w:t xml:space="preserve"> committed the attempted murder willfully, deliberately, and with premeditation (§ 189)</w:t>
      </w:r>
      <w:r w:rsidR="00AB25B6">
        <w:t xml:space="preserve"> </w:t>
      </w:r>
      <w:r w:rsidR="00CC6E12">
        <w:t>and personally used a deadly or dangerous weapon (§</w:t>
      </w:r>
      <w:r w:rsidR="00AB25B6">
        <w:t> </w:t>
      </w:r>
      <w:r w:rsidR="00CC6E12">
        <w:t xml:space="preserve">12022, subd. (b)(1)). </w:t>
      </w:r>
      <w:r w:rsidR="00AB25B6">
        <w:t xml:space="preserve"> </w:t>
      </w:r>
      <w:r>
        <w:t>Further</w:t>
      </w:r>
      <w:r w:rsidR="00AB25B6">
        <w:t xml:space="preserve">, </w:t>
      </w:r>
      <w:r w:rsidR="007D7CC2">
        <w:t xml:space="preserve">as to </w:t>
      </w:r>
      <w:r w:rsidR="00A05377">
        <w:t>De La Rosa</w:t>
      </w:r>
      <w:r w:rsidR="007D7CC2">
        <w:t xml:space="preserve">, </w:t>
      </w:r>
      <w:r w:rsidR="00AB25B6">
        <w:t>count</w:t>
      </w:r>
      <w:r w:rsidR="0071753F">
        <w:t>s</w:t>
      </w:r>
      <w:r w:rsidR="00AB25B6">
        <w:t xml:space="preserve"> 2 and 3 </w:t>
      </w:r>
      <w:r>
        <w:t>included</w:t>
      </w:r>
      <w:r w:rsidR="00AB25B6">
        <w:t xml:space="preserve"> </w:t>
      </w:r>
      <w:r>
        <w:t xml:space="preserve">a </w:t>
      </w:r>
      <w:proofErr w:type="spellStart"/>
      <w:r w:rsidR="00AB25B6">
        <w:t>GBI</w:t>
      </w:r>
      <w:proofErr w:type="spellEnd"/>
      <w:r w:rsidR="00AB25B6">
        <w:t xml:space="preserve"> enhancement</w:t>
      </w:r>
      <w:r w:rsidR="00AD5380">
        <w:t xml:space="preserve"> allegation</w:t>
      </w:r>
      <w:r w:rsidR="00AB25B6">
        <w:t xml:space="preserve"> </w:t>
      </w:r>
      <w:r w:rsidR="00AB25B6" w:rsidRPr="006208EB">
        <w:t>(§</w:t>
      </w:r>
      <w:r w:rsidR="00355F1B">
        <w:t> </w:t>
      </w:r>
      <w:r w:rsidR="00AB25B6" w:rsidRPr="006208EB">
        <w:t>12022.7, subd. (a))</w:t>
      </w:r>
      <w:r w:rsidR="00AB25B6">
        <w:t xml:space="preserve">. </w:t>
      </w:r>
    </w:p>
    <w:bookmarkEnd w:id="6"/>
    <w:p w14:paraId="61850ACA" w14:textId="6624ED0D" w:rsidR="00E001D9" w:rsidRDefault="00582D6B" w:rsidP="00E001D9">
      <w:pPr>
        <w:pStyle w:val="Heading2"/>
      </w:pPr>
      <w:r>
        <w:rPr>
          <w:i w:val="0"/>
          <w:iCs w:val="0"/>
        </w:rPr>
        <w:t xml:space="preserve">C.  </w:t>
      </w:r>
      <w:r w:rsidR="00A05377">
        <w:t>De La Rosa</w:t>
      </w:r>
      <w:r w:rsidR="00E001D9">
        <w:t>’s No</w:t>
      </w:r>
      <w:r w:rsidR="00182ABC">
        <w:t xml:space="preserve"> </w:t>
      </w:r>
      <w:r w:rsidR="00E001D9">
        <w:t>Contest Plea and Sentencing</w:t>
      </w:r>
    </w:p>
    <w:p w14:paraId="562B44BC" w14:textId="639B0F7D" w:rsidR="00E001D9" w:rsidRDefault="0015079B" w:rsidP="00E001D9">
      <w:bookmarkStart w:id="7" w:name="_Hlk149570698"/>
      <w:r w:rsidRPr="00315DA2">
        <w:t>On M</w:t>
      </w:r>
      <w:r w:rsidRPr="0015079B">
        <w:t xml:space="preserve">arch 5, 2020, </w:t>
      </w:r>
      <w:r>
        <w:t xml:space="preserve">pursuant to a written plea agreement, </w:t>
      </w:r>
      <w:r w:rsidR="00A05377">
        <w:t>De La Rosa</w:t>
      </w:r>
      <w:r>
        <w:t xml:space="preserve"> </w:t>
      </w:r>
      <w:r w:rsidRPr="0015079B">
        <w:t xml:space="preserve">pleaded no contest to count </w:t>
      </w:r>
      <w:r>
        <w:t>3</w:t>
      </w:r>
      <w:r w:rsidRPr="0015079B">
        <w:t xml:space="preserve"> and </w:t>
      </w:r>
      <w:r w:rsidR="00491FA6">
        <w:t xml:space="preserve">count </w:t>
      </w:r>
      <w:r>
        <w:t>4</w:t>
      </w:r>
      <w:r w:rsidR="00675FDF">
        <w:t xml:space="preserve"> (</w:t>
      </w:r>
      <w:r w:rsidR="001758AC">
        <w:t>as amended</w:t>
      </w:r>
      <w:r w:rsidR="001758AC" w:rsidRPr="0047573F">
        <w:rPr>
          <w:rStyle w:val="FootnoteReference"/>
          <w:b/>
          <w:bCs/>
        </w:rPr>
        <w:footnoteReference w:id="8"/>
      </w:r>
      <w:r w:rsidR="00E64D88">
        <w:t>)</w:t>
      </w:r>
      <w:r>
        <w:t xml:space="preserve"> </w:t>
      </w:r>
      <w:r w:rsidRPr="0015079B">
        <w:t xml:space="preserve">and admitted the </w:t>
      </w:r>
      <w:proofErr w:type="spellStart"/>
      <w:r>
        <w:t>GBI</w:t>
      </w:r>
      <w:proofErr w:type="spellEnd"/>
      <w:r>
        <w:t xml:space="preserve"> enhancement </w:t>
      </w:r>
      <w:r w:rsidRPr="0015079B">
        <w:t xml:space="preserve">allegation </w:t>
      </w:r>
      <w:r>
        <w:t xml:space="preserve">attached to </w:t>
      </w:r>
      <w:r w:rsidRPr="0015079B">
        <w:t xml:space="preserve">count </w:t>
      </w:r>
      <w:r>
        <w:t>3</w:t>
      </w:r>
      <w:r w:rsidRPr="0015079B">
        <w:t xml:space="preserve">. </w:t>
      </w:r>
      <w:r w:rsidR="00BC4420">
        <w:t xml:space="preserve"> </w:t>
      </w:r>
      <w:r w:rsidR="00355F1B">
        <w:t>I</w:t>
      </w:r>
      <w:r w:rsidR="00E64D88">
        <w:t xml:space="preserve">n exchange for </w:t>
      </w:r>
      <w:r w:rsidR="00AD5380">
        <w:t xml:space="preserve">the </w:t>
      </w:r>
      <w:r w:rsidR="00E64D88">
        <w:t xml:space="preserve">dismissal of counts 1 and 2 at sentencing, </w:t>
      </w:r>
      <w:r w:rsidR="00A05377">
        <w:t>De La Rosa</w:t>
      </w:r>
      <w:r w:rsidR="00BC4420">
        <w:t xml:space="preserve"> would receive the upper term of four years on count 3</w:t>
      </w:r>
      <w:r w:rsidR="0001635F">
        <w:t>,</w:t>
      </w:r>
      <w:r w:rsidR="00E315F9" w:rsidRPr="00E315F9">
        <w:rPr>
          <w:rStyle w:val="FootnoteReference"/>
          <w:b/>
          <w:bCs/>
        </w:rPr>
        <w:footnoteReference w:id="9"/>
      </w:r>
      <w:r w:rsidR="00BC4420">
        <w:t xml:space="preserve"> plus three years for the </w:t>
      </w:r>
      <w:proofErr w:type="spellStart"/>
      <w:r w:rsidR="00BC4420">
        <w:t>GBI</w:t>
      </w:r>
      <w:proofErr w:type="spellEnd"/>
      <w:r w:rsidR="00BC4420">
        <w:t xml:space="preserve"> enhancement </w:t>
      </w:r>
      <w:r w:rsidR="00F06B02">
        <w:t xml:space="preserve">attached to count 3 </w:t>
      </w:r>
      <w:r w:rsidR="00BC4420">
        <w:t xml:space="preserve">and one year (one-third the </w:t>
      </w:r>
      <w:r w:rsidR="0071753F">
        <w:lastRenderedPageBreak/>
        <w:t>middle term</w:t>
      </w:r>
      <w:r w:rsidR="00BC4420">
        <w:t xml:space="preserve">) on count 4, for a total sentence of eight years in prison.  </w:t>
      </w:r>
      <w:r w:rsidR="00A05377">
        <w:t>De La Rosa</w:t>
      </w:r>
      <w:r w:rsidR="00A81FF1">
        <w:t xml:space="preserve"> offered </w:t>
      </w:r>
      <w:r w:rsidR="00A81FF1" w:rsidRPr="00BC4420">
        <w:t>the police report and the preliminary hearing</w:t>
      </w:r>
      <w:r w:rsidR="00A81FF1">
        <w:t xml:space="preserve"> transcript as the factual basis for his plea, and t</w:t>
      </w:r>
      <w:r w:rsidR="00BC4420" w:rsidRPr="00BC4420">
        <w:t xml:space="preserve">he </w:t>
      </w:r>
      <w:r w:rsidR="00C5144E">
        <w:t>district attorney</w:t>
      </w:r>
      <w:r w:rsidR="00BC4420" w:rsidRPr="00BC4420">
        <w:t xml:space="preserve"> stipulated that </w:t>
      </w:r>
      <w:r w:rsidR="00A81FF1">
        <w:t>those documents provided a</w:t>
      </w:r>
      <w:r w:rsidR="00BC4420" w:rsidRPr="00BC4420">
        <w:t xml:space="preserve"> factual basis. </w:t>
      </w:r>
      <w:r w:rsidR="00BC4420">
        <w:t xml:space="preserve"> The trial court </w:t>
      </w:r>
      <w:r w:rsidR="00E64D88">
        <w:t xml:space="preserve">accepted </w:t>
      </w:r>
      <w:r w:rsidR="00A05377">
        <w:t>De La Rosa</w:t>
      </w:r>
      <w:r w:rsidR="00E64D88">
        <w:t xml:space="preserve">’s plea, finding a factual basis for </w:t>
      </w:r>
      <w:r w:rsidR="0001635F">
        <w:t>it</w:t>
      </w:r>
      <w:r w:rsidR="00E64D88">
        <w:t xml:space="preserve"> and </w:t>
      </w:r>
      <w:r w:rsidR="0001635F">
        <w:t xml:space="preserve">that </w:t>
      </w:r>
      <w:r w:rsidR="00A05377">
        <w:t>De La Rosa</w:t>
      </w:r>
      <w:r w:rsidR="00E64D88">
        <w:t xml:space="preserve"> knowingly, voluntarily, and intelligently waived his rights</w:t>
      </w:r>
      <w:r w:rsidR="00BC4420">
        <w:t>.</w:t>
      </w:r>
      <w:r w:rsidR="00675FDF" w:rsidRPr="00675FDF">
        <w:rPr>
          <w:rStyle w:val="FootnoteReference"/>
          <w:b/>
          <w:bCs/>
        </w:rPr>
        <w:footnoteReference w:id="10"/>
      </w:r>
      <w:r w:rsidR="00BC4420">
        <w:t xml:space="preserve"> </w:t>
      </w:r>
    </w:p>
    <w:p w14:paraId="51CA71BB" w14:textId="757DA0E3" w:rsidR="00641C15" w:rsidRDefault="00641C15" w:rsidP="00641C15">
      <w:r>
        <w:t xml:space="preserve">On October 15, 2020, in accordance with the plea agreement, the trial court sentenced </w:t>
      </w:r>
      <w:r w:rsidR="00A05377">
        <w:t>De La Rosa</w:t>
      </w:r>
      <w:r>
        <w:t xml:space="preserve"> to the stipulated sentence of eight years </w:t>
      </w:r>
      <w:r w:rsidR="00142BB8">
        <w:t>in</w:t>
      </w:r>
      <w:r>
        <w:t xml:space="preserve"> prison, which included the upper term of four years on count 3 for </w:t>
      </w:r>
      <w:r w:rsidR="00142BB8">
        <w:t>the</w:t>
      </w:r>
      <w:r>
        <w:t xml:space="preserve"> assault with a deadly weapon conviction. </w:t>
      </w:r>
    </w:p>
    <w:bookmarkEnd w:id="7"/>
    <w:p w14:paraId="0E64FAB1" w14:textId="4A1DE000" w:rsidR="0015079B" w:rsidRDefault="00142BB8" w:rsidP="00056553">
      <w:r>
        <w:t>T</w:t>
      </w:r>
      <w:r w:rsidR="00641C15">
        <w:t xml:space="preserve">his court </w:t>
      </w:r>
      <w:r>
        <w:t xml:space="preserve">subsequently </w:t>
      </w:r>
      <w:r w:rsidR="00641C15">
        <w:t>granted</w:t>
      </w:r>
      <w:r>
        <w:t xml:space="preserve"> </w:t>
      </w:r>
      <w:r w:rsidR="00A05377">
        <w:t>De La Rosa</w:t>
      </w:r>
      <w:r w:rsidR="00641C15">
        <w:t xml:space="preserve"> relief from default and permission to file a late notice of appeal</w:t>
      </w:r>
      <w:r>
        <w:t xml:space="preserve">. </w:t>
      </w:r>
      <w:r w:rsidR="00641C15">
        <w:t xml:space="preserve"> </w:t>
      </w:r>
      <w:r>
        <w:t>I</w:t>
      </w:r>
      <w:r w:rsidR="00056553">
        <w:t xml:space="preserve">n May 2022, </w:t>
      </w:r>
      <w:r w:rsidR="00A05377">
        <w:t>De La Rosa</w:t>
      </w:r>
      <w:r w:rsidR="00641C15">
        <w:t xml:space="preserve"> filed a notice of appeal</w:t>
      </w:r>
      <w:r w:rsidR="00056553">
        <w:t>, and t</w:t>
      </w:r>
      <w:r w:rsidR="00641C15">
        <w:t xml:space="preserve">he trial court granted </w:t>
      </w:r>
      <w:r w:rsidR="00056553">
        <w:t>his</w:t>
      </w:r>
      <w:r w:rsidR="00641C15">
        <w:t xml:space="preserve"> request for </w:t>
      </w:r>
      <w:r w:rsidR="00BD1E64">
        <w:t xml:space="preserve">a </w:t>
      </w:r>
      <w:r w:rsidR="00641C15">
        <w:t>certificate of probable cause</w:t>
      </w:r>
      <w:r w:rsidR="00056553">
        <w:t>.</w:t>
      </w:r>
      <w:r w:rsidR="00641C15">
        <w:t xml:space="preserve"> </w:t>
      </w:r>
    </w:p>
    <w:p w14:paraId="48564955" w14:textId="35B90F3B" w:rsidR="00004477" w:rsidRDefault="00E3624E" w:rsidP="00752E03">
      <w:pPr>
        <w:pStyle w:val="Heading1"/>
      </w:pPr>
      <w:r>
        <w:t>II</w:t>
      </w:r>
      <w:r w:rsidR="00004477">
        <w:t xml:space="preserve">.  </w:t>
      </w:r>
      <w:r>
        <w:t>D</w:t>
      </w:r>
      <w:r w:rsidR="00004477">
        <w:t>iscussion</w:t>
      </w:r>
    </w:p>
    <w:p w14:paraId="4B65D7C6" w14:textId="00625147" w:rsidR="00212677" w:rsidRDefault="00C10E91" w:rsidP="00C10E91">
      <w:r>
        <w:t>Effective January 1, 2022, section 1170(b) was amended</w:t>
      </w:r>
      <w:r w:rsidR="00A63150">
        <w:t xml:space="preserve"> by Senate Bill 567</w:t>
      </w:r>
      <w:r>
        <w:t xml:space="preserve"> </w:t>
      </w:r>
      <w:r w:rsidR="00A63150">
        <w:t xml:space="preserve">“to make the middle term the presumptive sentence for a term of imprisonment” unless aggravating circumstances </w:t>
      </w:r>
      <w:r w:rsidR="0064638D" w:rsidRPr="0064638D">
        <w:t>stipulated to</w:t>
      </w:r>
      <w:r w:rsidR="00A63150">
        <w:t xml:space="preserve"> by the defendant or proved true beyond a reasonable doubt justify imposition of an upper term.</w:t>
      </w:r>
      <w:r w:rsidR="00A63150">
        <w:rPr>
          <w:rStyle w:val="FootnoteReference"/>
          <w:b/>
          <w:bCs/>
        </w:rPr>
        <w:footnoteReference w:id="11"/>
      </w:r>
      <w:r w:rsidR="00A63150">
        <w:t xml:space="preserve">  (</w:t>
      </w:r>
      <w:r w:rsidR="00A63150" w:rsidRPr="00A63150">
        <w:rPr>
          <w:i/>
          <w:iCs/>
        </w:rPr>
        <w:t>People v. Lopez</w:t>
      </w:r>
      <w:r w:rsidR="00A63150">
        <w:t xml:space="preserve"> (2022) 78 Cal.App.5th 459, 464</w:t>
      </w:r>
      <w:r w:rsidR="00965123">
        <w:t xml:space="preserve"> (</w:t>
      </w:r>
      <w:r w:rsidR="00965123" w:rsidRPr="00A63150">
        <w:rPr>
          <w:i/>
          <w:iCs/>
        </w:rPr>
        <w:t>Lopez</w:t>
      </w:r>
      <w:r w:rsidR="00965123">
        <w:t>)</w:t>
      </w:r>
      <w:r w:rsidR="00A63150">
        <w:t xml:space="preserve">; Stats. 2021. </w:t>
      </w:r>
      <w:proofErr w:type="spellStart"/>
      <w:r w:rsidR="00A63150">
        <w:t>ch.</w:t>
      </w:r>
      <w:proofErr w:type="spellEnd"/>
      <w:r w:rsidR="00A63150">
        <w:t xml:space="preserve"> 731, § 1.3</w:t>
      </w:r>
      <w:r>
        <w:t xml:space="preserve">.)  </w:t>
      </w:r>
    </w:p>
    <w:p w14:paraId="2CB52F8F" w14:textId="77777777" w:rsidR="00E315F9" w:rsidRDefault="00E121C2" w:rsidP="00C10E91">
      <w:r>
        <w:t>S</w:t>
      </w:r>
      <w:r w:rsidR="00A63150">
        <w:t>pecifically, c</w:t>
      </w:r>
      <w:r w:rsidR="00C10E91">
        <w:t>urrent section 1170, subdivision (b)(1) states</w:t>
      </w:r>
      <w:proofErr w:type="gramStart"/>
      <w:r w:rsidR="00C10E91">
        <w:t>:  “</w:t>
      </w:r>
      <w:proofErr w:type="gramEnd"/>
      <w:r w:rsidR="00C10E91" w:rsidRPr="00C10E91">
        <w:t>When a judgment of imprisonment is to be imposed and the statute specifies three possible terms, the court shall, in its sound discretion, order imposition of a sentence not to exceed the middle term, except as otherwise provided in paragraph (2).</w:t>
      </w:r>
      <w:r w:rsidR="00C10E91">
        <w:t xml:space="preserve">”  </w:t>
      </w:r>
    </w:p>
    <w:p w14:paraId="5AAFA70A" w14:textId="1CC66297" w:rsidR="00C10E91" w:rsidRDefault="00050CB6" w:rsidP="00C10E91">
      <w:r>
        <w:lastRenderedPageBreak/>
        <w:t>Section 1170, subdivision (b)</w:t>
      </w:r>
      <w:r w:rsidR="00C10E91">
        <w:t>(2)</w:t>
      </w:r>
      <w:r>
        <w:t xml:space="preserve"> (section 1170(b)(2))</w:t>
      </w:r>
      <w:r w:rsidR="00C10E91">
        <w:t xml:space="preserve"> provides:  “</w:t>
      </w:r>
      <w:r w:rsidR="00C10E91" w:rsidRPr="00084BA6">
        <w:t>The court may impose a sentence exceeding the middle term only when there are circumstances in aggravation of the crime that justify the imposition of a term of imprisonment exceeding the middle term, and the facts underlying those circumstances have been stipulated to by the defendant, or have been found true beyond a reasonable doubt at trial by the jury or by the judge in a court trial</w:t>
      </w:r>
      <w:r w:rsidR="00C10E91" w:rsidRPr="00C213C7">
        <w:t>.</w:t>
      </w:r>
      <w:r w:rsidR="00C10E91">
        <w:t>”</w:t>
      </w:r>
      <w:r w:rsidR="00E315F9" w:rsidRPr="00E10306">
        <w:rPr>
          <w:rStyle w:val="FootnoteReference"/>
          <w:b/>
          <w:bCs/>
        </w:rPr>
        <w:footnoteReference w:id="12"/>
      </w:r>
      <w:r w:rsidR="00C10E91">
        <w:t xml:space="preserve">  </w:t>
      </w:r>
      <w:r w:rsidR="00C10E91" w:rsidRPr="00387DA1">
        <w:t>The trial court may also consider “the defendant</w:t>
      </w:r>
      <w:r w:rsidR="00C10E91">
        <w:t>’</w:t>
      </w:r>
      <w:r w:rsidR="00C10E91" w:rsidRPr="00387DA1">
        <w:t>s prior convictions in determining sentencing based on a certified record of conviction without submitting the prior convictions to a jury</w:t>
      </w:r>
      <w:r w:rsidR="00C10E91">
        <w:t>.</w:t>
      </w:r>
      <w:r w:rsidR="00C10E91" w:rsidRPr="00387DA1">
        <w:t>”</w:t>
      </w:r>
      <w:r w:rsidR="00C10E91">
        <w:t xml:space="preserve">  </w:t>
      </w:r>
      <w:r w:rsidR="00C10E91" w:rsidRPr="00387DA1">
        <w:t>(</w:t>
      </w:r>
      <w:r w:rsidR="00C10E91">
        <w:rPr>
          <w:i/>
        </w:rPr>
        <w:t>I</w:t>
      </w:r>
      <w:r w:rsidR="00C10E91" w:rsidRPr="00D85F4D">
        <w:rPr>
          <w:i/>
        </w:rPr>
        <w:t>d</w:t>
      </w:r>
      <w:r w:rsidR="00C10E91">
        <w:t>.</w:t>
      </w:r>
      <w:r w:rsidR="00C10E91" w:rsidRPr="00387DA1">
        <w:t>, subd. (b)(3).</w:t>
      </w:r>
      <w:r w:rsidR="00C10E91">
        <w:t>)</w:t>
      </w:r>
      <w:r w:rsidR="00355F1B">
        <w:t xml:space="preserve">  The record indicates that De La Rosa has no prior criminal history. </w:t>
      </w:r>
    </w:p>
    <w:p w14:paraId="1FA80539" w14:textId="52306B25" w:rsidR="00C10E91" w:rsidRPr="009055C5" w:rsidRDefault="00C10E91" w:rsidP="00C10E91">
      <w:r>
        <w:t>Section 1170, subdivision (b)(4) provides:  “The court may consider the record in the case, the probation officer’s report, other reports, including reports received pursuant to [s]</w:t>
      </w:r>
      <w:proofErr w:type="spellStart"/>
      <w:r>
        <w:t>ection</w:t>
      </w:r>
      <w:proofErr w:type="spellEnd"/>
      <w:r>
        <w:t xml:space="preserve"> 1203.03, and statements in aggravation or mitigation submitted by the prosecution, the defendant, or the victim, or the family of the victim if the victim is deceased, and any further evidence introduced at the sentencing hearing.”  However, section 1170, subdivision (b)(4) does not permit the court to impose an upper term without compliance with section 1170, subdivision (b)(2) and (3).  </w:t>
      </w:r>
      <w:r w:rsidRPr="00856A77">
        <w:t>Under section 1170</w:t>
      </w:r>
      <w:r>
        <w:t xml:space="preserve">, subdivision </w:t>
      </w:r>
      <w:r w:rsidRPr="00856A77">
        <w:t xml:space="preserve">(b)(5), the trial court must “set forth on the record the facts and reasons for choosing the sentence imposed. </w:t>
      </w:r>
      <w:r>
        <w:t xml:space="preserve"> </w:t>
      </w:r>
      <w:r w:rsidRPr="00856A77">
        <w:t>The court may not impose an upper term by using the fact of any enhancement upon which sentence is imposed under any provision of law.”</w:t>
      </w:r>
      <w:r w:rsidR="00462072">
        <w:t xml:space="preserve">  (See also </w:t>
      </w:r>
      <w:r w:rsidR="00462072" w:rsidRPr="00462072">
        <w:rPr>
          <w:i/>
          <w:iCs/>
        </w:rPr>
        <w:t>id</w:t>
      </w:r>
      <w:r w:rsidR="00462072" w:rsidRPr="00462072">
        <w:t>., subd. (c)</w:t>
      </w:r>
      <w:r w:rsidR="00462072">
        <w:t>.)</w:t>
      </w:r>
      <w:r w:rsidRPr="00856A77">
        <w:t xml:space="preserve"> </w:t>
      </w:r>
      <w:r>
        <w:t xml:space="preserve"> </w:t>
      </w:r>
    </w:p>
    <w:p w14:paraId="772990FF" w14:textId="04C9A5C5" w:rsidR="00462072" w:rsidRDefault="00462072" w:rsidP="00462072">
      <w:r>
        <w:t xml:space="preserve">Further, section 1170, subdivision (b)(6) </w:t>
      </w:r>
      <w:r w:rsidR="007A5C56">
        <w:t xml:space="preserve">(section 1170(b)(6)) </w:t>
      </w:r>
      <w:r>
        <w:t xml:space="preserve">provides “the opportunity for a low-term sentence under specified circumstances, including where a defendant was a ‘youth’ as defined </w:t>
      </w:r>
      <w:r w:rsidR="009772E1">
        <w:t xml:space="preserve">[by] </w:t>
      </w:r>
      <w:r>
        <w:t xml:space="preserve">section 1016.7, subdivision (b) at the time of the offense and the defendant’s youth was a contributing factor to the offense, unless the </w:t>
      </w:r>
      <w:r>
        <w:lastRenderedPageBreak/>
        <w:t>court finds that imposition of the low term would be contrary to the interests of justice.”</w:t>
      </w:r>
      <w:r w:rsidR="00C14DDA" w:rsidRPr="00212677">
        <w:rPr>
          <w:rStyle w:val="FootnoteReference"/>
          <w:b/>
          <w:bCs/>
        </w:rPr>
        <w:footnoteReference w:id="13"/>
      </w:r>
      <w:r>
        <w:t xml:space="preserve">  (</w:t>
      </w:r>
      <w:r w:rsidRPr="00462072">
        <w:rPr>
          <w:i/>
          <w:iCs/>
        </w:rPr>
        <w:t>People v. Hilburn</w:t>
      </w:r>
      <w:r>
        <w:t xml:space="preserve"> (2023) </w:t>
      </w:r>
      <w:bookmarkStart w:id="8" w:name="_Hlk151557011"/>
      <w:r>
        <w:t>93 Cal.App.5th 189</w:t>
      </w:r>
      <w:bookmarkEnd w:id="8"/>
      <w:r>
        <w:t>, 199–200</w:t>
      </w:r>
      <w:r w:rsidRPr="00856A77">
        <w:t>.)</w:t>
      </w:r>
    </w:p>
    <w:p w14:paraId="27727B9F" w14:textId="742E70D0" w:rsidR="00166AB3" w:rsidRDefault="00166AB3" w:rsidP="00100690">
      <w:r>
        <w:t>Th</w:t>
      </w:r>
      <w:r w:rsidRPr="0065546E">
        <w:t xml:space="preserve">e </w:t>
      </w:r>
      <w:r w:rsidR="00C14DDA">
        <w:t>Attorney General</w:t>
      </w:r>
      <w:r>
        <w:t xml:space="preserve"> </w:t>
      </w:r>
      <w:r w:rsidR="00C14DDA">
        <w:t>concedes th</w:t>
      </w:r>
      <w:r w:rsidRPr="0065546E">
        <w:t xml:space="preserve">at </w:t>
      </w:r>
      <w:r>
        <w:t>Senate Bill 567</w:t>
      </w:r>
      <w:r w:rsidRPr="0065546E">
        <w:t xml:space="preserve"> </w:t>
      </w:r>
      <w:r>
        <w:t xml:space="preserve">applies </w:t>
      </w:r>
      <w:r w:rsidRPr="0065546E">
        <w:t xml:space="preserve">retroactively to </w:t>
      </w:r>
      <w:r>
        <w:t xml:space="preserve">this case because the judgment was not yet </w:t>
      </w:r>
      <w:r w:rsidRPr="0065546E">
        <w:t>final</w:t>
      </w:r>
      <w:r>
        <w:t xml:space="preserve"> when the legislation took effect</w:t>
      </w:r>
      <w:r w:rsidRPr="0065546E">
        <w:t>.</w:t>
      </w:r>
      <w:r w:rsidR="001E1992">
        <w:t xml:space="preserve"> </w:t>
      </w:r>
      <w:r>
        <w:t xml:space="preserve"> We concur.</w:t>
      </w:r>
      <w:r w:rsidRPr="0065546E">
        <w:t xml:space="preserve"> </w:t>
      </w:r>
      <w:r>
        <w:t xml:space="preserve"> </w:t>
      </w:r>
      <w:r w:rsidRPr="0065546E">
        <w:t>(</w:t>
      </w:r>
      <w:r w:rsidR="00C14DDA" w:rsidRPr="00C76522">
        <w:rPr>
          <w:i/>
          <w:iCs/>
        </w:rPr>
        <w:t xml:space="preserve">People v. </w:t>
      </w:r>
      <w:proofErr w:type="spellStart"/>
      <w:r w:rsidR="00C14DDA" w:rsidRPr="00C76522">
        <w:rPr>
          <w:i/>
          <w:iCs/>
        </w:rPr>
        <w:t>Zabelle</w:t>
      </w:r>
      <w:proofErr w:type="spellEnd"/>
      <w:r w:rsidR="00C14DDA">
        <w:t xml:space="preserve"> (2022) 80 Cal.App.5th 1098, </w:t>
      </w:r>
      <w:r w:rsidR="00C14DDA" w:rsidRPr="0065546E">
        <w:t>1108</w:t>
      </w:r>
      <w:r w:rsidR="00C14DDA">
        <w:t>–</w:t>
      </w:r>
      <w:r w:rsidR="00C14DDA" w:rsidRPr="0065546E">
        <w:t>1109</w:t>
      </w:r>
      <w:r w:rsidRPr="0065546E">
        <w:t xml:space="preserve">; </w:t>
      </w:r>
      <w:r w:rsidRPr="00166AB3">
        <w:rPr>
          <w:i/>
          <w:iCs/>
        </w:rPr>
        <w:t>People v. Flores</w:t>
      </w:r>
      <w:r w:rsidRPr="0065546E">
        <w:t xml:space="preserve"> (2022) 73 Cal.App.5th 1032, 1039.) </w:t>
      </w:r>
    </w:p>
    <w:p w14:paraId="3A98DF6F" w14:textId="4CA6E00F" w:rsidR="00E6720A" w:rsidRDefault="00DD75FE" w:rsidP="00100690">
      <w:r>
        <w:t>Nevertheless</w:t>
      </w:r>
      <w:r w:rsidR="00166AB3" w:rsidRPr="0065546E">
        <w:t xml:space="preserve">, the Attorney General contends </w:t>
      </w:r>
      <w:r w:rsidR="00A05377">
        <w:t>De La Rosa</w:t>
      </w:r>
      <w:r w:rsidR="00166AB3" w:rsidRPr="0065546E">
        <w:t xml:space="preserve"> is not entitled to </w:t>
      </w:r>
      <w:r w:rsidR="001E1992">
        <w:t xml:space="preserve">any </w:t>
      </w:r>
      <w:r w:rsidR="00166AB3" w:rsidRPr="0065546E">
        <w:t xml:space="preserve">relief </w:t>
      </w:r>
      <w:r w:rsidR="001E1992">
        <w:t xml:space="preserve">under Senate Bill 567 </w:t>
      </w:r>
      <w:r w:rsidR="00166AB3" w:rsidRPr="0065546E">
        <w:t xml:space="preserve">because he </w:t>
      </w:r>
      <w:r w:rsidR="00355F1B">
        <w:t xml:space="preserve">entered into a </w:t>
      </w:r>
      <w:r w:rsidR="00166AB3" w:rsidRPr="0065546E">
        <w:t xml:space="preserve">negotiated plea </w:t>
      </w:r>
      <w:r w:rsidR="00355F1B">
        <w:t xml:space="preserve">agreement with the district attorney that included </w:t>
      </w:r>
      <w:r w:rsidR="00166AB3" w:rsidRPr="0065546E">
        <w:t>a stipulated sentence</w:t>
      </w:r>
      <w:r w:rsidR="001E1992">
        <w:t xml:space="preserve"> that </w:t>
      </w:r>
      <w:r w:rsidR="00355F1B">
        <w:t>expressly called for the imposition of the upper term</w:t>
      </w:r>
      <w:r w:rsidR="00166AB3" w:rsidRPr="0065546E">
        <w:t xml:space="preserve">. </w:t>
      </w:r>
      <w:r w:rsidR="001E1992">
        <w:t xml:space="preserve"> </w:t>
      </w:r>
      <w:r w:rsidR="005E6FAD">
        <w:t>Relying principally on</w:t>
      </w:r>
      <w:r w:rsidR="00886773">
        <w:t xml:space="preserve"> </w:t>
      </w:r>
      <w:r w:rsidR="001E1992" w:rsidRPr="00FB7921">
        <w:rPr>
          <w:i/>
          <w:iCs/>
        </w:rPr>
        <w:t>Mitchell</w:t>
      </w:r>
      <w:r w:rsidR="001E1992">
        <w:t xml:space="preserve">, </w:t>
      </w:r>
      <w:r w:rsidR="001E1992" w:rsidRPr="00FB7921">
        <w:rPr>
          <w:i/>
          <w:iCs/>
        </w:rPr>
        <w:t>supra</w:t>
      </w:r>
      <w:r w:rsidR="001E1992">
        <w:t>,</w:t>
      </w:r>
      <w:r w:rsidR="00FB7921">
        <w:t xml:space="preserve"> 83 Cal.App.5th 1051</w:t>
      </w:r>
      <w:r w:rsidR="006A2450">
        <w:t>, review granted,</w:t>
      </w:r>
      <w:r w:rsidR="001E1992">
        <w:t xml:space="preserve"> and</w:t>
      </w:r>
      <w:r w:rsidR="00FB7921">
        <w:t xml:space="preserve"> </w:t>
      </w:r>
      <w:proofErr w:type="spellStart"/>
      <w:r w:rsidR="00FB7921" w:rsidRPr="00FB7921">
        <w:rPr>
          <w:i/>
          <w:iCs/>
        </w:rPr>
        <w:t>Sallee</w:t>
      </w:r>
      <w:proofErr w:type="spellEnd"/>
      <w:r w:rsidR="006A2450">
        <w:t xml:space="preserve">, </w:t>
      </w:r>
      <w:r w:rsidR="006A2450" w:rsidRPr="006A2450">
        <w:rPr>
          <w:i/>
          <w:iCs/>
        </w:rPr>
        <w:t>supra</w:t>
      </w:r>
      <w:r w:rsidR="006A2450">
        <w:t xml:space="preserve">, </w:t>
      </w:r>
      <w:r w:rsidR="00FB7921">
        <w:t>88 Cal.App.5th 330,</w:t>
      </w:r>
      <w:r w:rsidR="00092CBA">
        <w:t xml:space="preserve"> </w:t>
      </w:r>
      <w:r w:rsidR="00092CBA" w:rsidRPr="00092CBA">
        <w:t>review granted</w:t>
      </w:r>
      <w:r w:rsidR="005E6FAD">
        <w:t xml:space="preserve">, the Attorney General </w:t>
      </w:r>
      <w:r w:rsidR="00166AB3" w:rsidRPr="0065546E">
        <w:t>argues</w:t>
      </w:r>
      <w:r w:rsidR="00FB7921">
        <w:t xml:space="preserve"> that </w:t>
      </w:r>
      <w:r w:rsidR="00A05377">
        <w:t>De La Rosa</w:t>
      </w:r>
      <w:r w:rsidR="00FB7921">
        <w:t xml:space="preserve">’s acceptance of the upper term “divested </w:t>
      </w:r>
      <w:r w:rsidR="00FB7921" w:rsidRPr="00FB7921">
        <w:t>the trial court of its discretion in imposing a sentence</w:t>
      </w:r>
      <w:r w:rsidR="00FB7921">
        <w:t>” and</w:t>
      </w:r>
      <w:r w:rsidR="00886773">
        <w:t xml:space="preserve"> </w:t>
      </w:r>
      <w:r w:rsidR="00344846">
        <w:t>thus</w:t>
      </w:r>
      <w:r w:rsidR="00886773">
        <w:t xml:space="preserve"> the changes made by Senate Bill 567 to the court’s discretion</w:t>
      </w:r>
      <w:r w:rsidR="000E760C">
        <w:t xml:space="preserve"> in choosing between the terms in a triad </w:t>
      </w:r>
      <w:r w:rsidR="000F07A4">
        <w:t>are</w:t>
      </w:r>
      <w:r w:rsidR="000E760C">
        <w:t xml:space="preserve"> </w:t>
      </w:r>
      <w:r w:rsidR="00821004">
        <w:t>inapplicable</w:t>
      </w:r>
      <w:r w:rsidR="002A04D0">
        <w:t xml:space="preserve"> in this case</w:t>
      </w:r>
      <w:r w:rsidR="000E760C">
        <w:t>.</w:t>
      </w:r>
      <w:r w:rsidR="00821004">
        <w:t xml:space="preserve"> </w:t>
      </w:r>
      <w:r>
        <w:t xml:space="preserve"> (See</w:t>
      </w:r>
      <w:r w:rsidR="00CE7062">
        <w:t xml:space="preserve"> </w:t>
      </w:r>
      <w:r w:rsidR="00CE7062" w:rsidRPr="00DD75FE">
        <w:rPr>
          <w:i/>
          <w:iCs/>
        </w:rPr>
        <w:t>Mitchell</w:t>
      </w:r>
      <w:r w:rsidR="00CE7062">
        <w:t>, at p</w:t>
      </w:r>
      <w:r w:rsidR="00470A3F">
        <w:t>p</w:t>
      </w:r>
      <w:r w:rsidR="00CE7062">
        <w:t>. </w:t>
      </w:r>
      <w:r w:rsidR="00470A3F">
        <w:t>1057–1059</w:t>
      </w:r>
      <w:r w:rsidR="00CE7062">
        <w:t xml:space="preserve">; </w:t>
      </w:r>
      <w:proofErr w:type="spellStart"/>
      <w:r w:rsidRPr="00DD75FE">
        <w:rPr>
          <w:i/>
          <w:iCs/>
        </w:rPr>
        <w:t>Sallee</w:t>
      </w:r>
      <w:proofErr w:type="spellEnd"/>
      <w:r>
        <w:t>, at p</w:t>
      </w:r>
      <w:r w:rsidR="00470A3F">
        <w:t>p</w:t>
      </w:r>
      <w:r>
        <w:t>.</w:t>
      </w:r>
      <w:r w:rsidR="00CE7062">
        <w:t> </w:t>
      </w:r>
      <w:r w:rsidR="00470A3F">
        <w:t>337–341</w:t>
      </w:r>
      <w:r w:rsidR="00CE7062">
        <w:t>.)</w:t>
      </w:r>
      <w:r>
        <w:t xml:space="preserve"> </w:t>
      </w:r>
      <w:r w:rsidR="00E6720A">
        <w:t xml:space="preserve"> </w:t>
      </w:r>
    </w:p>
    <w:p w14:paraId="1696C34E" w14:textId="191EE9BB" w:rsidR="00166AB3" w:rsidRPr="000342F2" w:rsidRDefault="00A05377" w:rsidP="00100690">
      <w:r>
        <w:t>De La Rosa</w:t>
      </w:r>
      <w:r w:rsidR="00617775">
        <w:t xml:space="preserve"> rejects this position and </w:t>
      </w:r>
      <w:r w:rsidR="00E6720A">
        <w:t xml:space="preserve">urges this court to follow the decisions of the courts in </w:t>
      </w:r>
      <w:r w:rsidR="00E6720A" w:rsidRPr="00EB338E">
        <w:rPr>
          <w:i/>
          <w:iCs/>
        </w:rPr>
        <w:t>Todd</w:t>
      </w:r>
      <w:r w:rsidR="00E6720A">
        <w:t xml:space="preserve">, </w:t>
      </w:r>
      <w:r w:rsidR="00E6720A" w:rsidRPr="0006723B">
        <w:rPr>
          <w:i/>
          <w:iCs/>
        </w:rPr>
        <w:t>supra</w:t>
      </w:r>
      <w:r w:rsidR="00E6720A">
        <w:t xml:space="preserve">, 88 Cal.App.5th 373, review granted, and </w:t>
      </w:r>
      <w:r w:rsidR="00E6720A" w:rsidRPr="0006723B">
        <w:rPr>
          <w:i/>
          <w:iCs/>
        </w:rPr>
        <w:t>Fox</w:t>
      </w:r>
      <w:r w:rsidR="00AB4C52">
        <w:t xml:space="preserve">, </w:t>
      </w:r>
      <w:r w:rsidR="00AB4C52" w:rsidRPr="00AB4C52">
        <w:rPr>
          <w:i/>
          <w:iCs/>
        </w:rPr>
        <w:t>supra</w:t>
      </w:r>
      <w:r w:rsidR="00AB4C52">
        <w:t>, 90 Cal.App.5th 826</w:t>
      </w:r>
      <w:r w:rsidR="00B94ABF">
        <w:t>,</w:t>
      </w:r>
      <w:r w:rsidR="00AB4C52">
        <w:t xml:space="preserve"> </w:t>
      </w:r>
      <w:r w:rsidR="000342F2">
        <w:t xml:space="preserve">and remand this matter. </w:t>
      </w:r>
    </w:p>
    <w:p w14:paraId="308BAD7E" w14:textId="3B6F7757" w:rsidR="00FB7921" w:rsidRDefault="005E6FAD" w:rsidP="00100690">
      <w:r>
        <w:t>Exercising de novo review (</w:t>
      </w:r>
      <w:r w:rsidRPr="009F1A4F">
        <w:rPr>
          <w:i/>
          <w:iCs/>
        </w:rPr>
        <w:t>Fox</w:t>
      </w:r>
      <w:r>
        <w:t xml:space="preserve">, </w:t>
      </w:r>
      <w:r w:rsidRPr="006A2450">
        <w:rPr>
          <w:i/>
          <w:iCs/>
        </w:rPr>
        <w:t>supra</w:t>
      </w:r>
      <w:r>
        <w:t>, 90 Cal.App.5th at p. 831), and h</w:t>
      </w:r>
      <w:r w:rsidR="00A36D11">
        <w:t>aving considered the decisions on both sides of the split</w:t>
      </w:r>
      <w:r w:rsidR="00A478C8">
        <w:t xml:space="preserve"> in authority</w:t>
      </w:r>
      <w:r w:rsidR="00A36D11">
        <w:t xml:space="preserve">, we are persuaded that </w:t>
      </w:r>
      <w:r w:rsidR="00A05377">
        <w:t>De La Rosa</w:t>
      </w:r>
      <w:r w:rsidR="00A36D11">
        <w:t xml:space="preserve"> is entitled to remand for the reasons </w:t>
      </w:r>
      <w:r w:rsidR="00470A3F">
        <w:t>stated</w:t>
      </w:r>
      <w:r w:rsidR="00A36D11">
        <w:t xml:space="preserve"> in</w:t>
      </w:r>
      <w:r w:rsidR="00EB338E">
        <w:t xml:space="preserve"> </w:t>
      </w:r>
      <w:r w:rsidR="00A36D11" w:rsidRPr="00EB338E">
        <w:rPr>
          <w:i/>
          <w:iCs/>
        </w:rPr>
        <w:t>Todd</w:t>
      </w:r>
      <w:r w:rsidR="0006723B">
        <w:t xml:space="preserve"> and </w:t>
      </w:r>
      <w:r w:rsidR="0006723B" w:rsidRPr="0006723B">
        <w:rPr>
          <w:i/>
          <w:iCs/>
        </w:rPr>
        <w:t>Fox</w:t>
      </w:r>
      <w:r w:rsidR="00A36D11">
        <w:t>.</w:t>
      </w:r>
    </w:p>
    <w:p w14:paraId="2708497F" w14:textId="3AC50C20" w:rsidR="00F13535" w:rsidRDefault="005E6FAD" w:rsidP="00100690">
      <w:r>
        <w:t xml:space="preserve">In </w:t>
      </w:r>
      <w:r w:rsidRPr="005E6FAD">
        <w:rPr>
          <w:i/>
          <w:iCs/>
        </w:rPr>
        <w:t>Todd</w:t>
      </w:r>
      <w:r>
        <w:t xml:space="preserve">, a different panel of this court disagreed with the rationale of </w:t>
      </w:r>
      <w:r w:rsidRPr="002A04D0">
        <w:rPr>
          <w:i/>
          <w:iCs/>
        </w:rPr>
        <w:t>Mitchell</w:t>
      </w:r>
      <w:r w:rsidR="00DE1AD5">
        <w:t>,</w:t>
      </w:r>
      <w:r w:rsidR="002A04D0">
        <w:t xml:space="preserve"> </w:t>
      </w:r>
      <w:r w:rsidRPr="005E6FAD">
        <w:t>conclud</w:t>
      </w:r>
      <w:r w:rsidR="00DE1AD5">
        <w:t xml:space="preserve">ing instead </w:t>
      </w:r>
      <w:r w:rsidRPr="005E6FAD">
        <w:t xml:space="preserve">that </w:t>
      </w:r>
      <w:r w:rsidR="00DE1AD5">
        <w:t xml:space="preserve">the </w:t>
      </w:r>
      <w:r w:rsidRPr="005E6FAD">
        <w:t xml:space="preserve">defendant, who had entered a plea agreement with a stipulated </w:t>
      </w:r>
      <w:r w:rsidRPr="005E6FAD">
        <w:lastRenderedPageBreak/>
        <w:t xml:space="preserve">sentence that included an upper term before </w:t>
      </w:r>
      <w:r w:rsidR="00DE1AD5">
        <w:t>Senate Bill</w:t>
      </w:r>
      <w:r w:rsidRPr="005E6FAD">
        <w:t xml:space="preserve"> 567, should be </w:t>
      </w:r>
      <w:r w:rsidR="00DE1AD5">
        <w:t>permitted</w:t>
      </w:r>
      <w:r w:rsidRPr="005E6FAD">
        <w:t xml:space="preserve"> the opportunity to seek resentencing in compliance with </w:t>
      </w:r>
      <w:r w:rsidR="0028422E">
        <w:t>amended</w:t>
      </w:r>
      <w:r w:rsidRPr="005E6FAD">
        <w:t xml:space="preserve"> section 1170(b).</w:t>
      </w:r>
      <w:r w:rsidR="00DE1AD5">
        <w:t xml:space="preserve">  </w:t>
      </w:r>
      <w:r w:rsidRPr="005E6FAD">
        <w:t>(</w:t>
      </w:r>
      <w:r w:rsidRPr="00DE1AD5">
        <w:rPr>
          <w:i/>
          <w:iCs/>
        </w:rPr>
        <w:t>Todd</w:t>
      </w:r>
      <w:r w:rsidRPr="005E6FAD">
        <w:t xml:space="preserve">, </w:t>
      </w:r>
      <w:r w:rsidRPr="00DE1AD5">
        <w:rPr>
          <w:i/>
          <w:iCs/>
        </w:rPr>
        <w:t>supra</w:t>
      </w:r>
      <w:r w:rsidRPr="005E6FAD">
        <w:t>, 88 Cal.App.5th at p. 381.)</w:t>
      </w:r>
      <w:r w:rsidR="00DE1AD5">
        <w:t xml:space="preserve"> </w:t>
      </w:r>
      <w:r w:rsidRPr="005E6FAD">
        <w:t xml:space="preserve"> </w:t>
      </w:r>
      <w:r w:rsidR="006F0EA2">
        <w:t>T</w:t>
      </w:r>
      <w:r w:rsidRPr="005E6FAD">
        <w:t xml:space="preserve">he </w:t>
      </w:r>
      <w:r w:rsidR="005B5B6B" w:rsidRPr="005B5B6B">
        <w:rPr>
          <w:i/>
          <w:iCs/>
        </w:rPr>
        <w:t>Todd</w:t>
      </w:r>
      <w:r w:rsidR="005B5B6B">
        <w:t xml:space="preserve"> court </w:t>
      </w:r>
      <w:r w:rsidR="006A43A5">
        <w:t xml:space="preserve">explained that the reasoning in </w:t>
      </w:r>
      <w:r w:rsidR="006A43A5" w:rsidRPr="00F13535">
        <w:rPr>
          <w:i/>
          <w:iCs/>
        </w:rPr>
        <w:t>Mitchell</w:t>
      </w:r>
      <w:r w:rsidR="006A43A5">
        <w:t xml:space="preserve"> </w:t>
      </w:r>
      <w:r w:rsidR="00F13535">
        <w:t>runs counter to section 1016.8</w:t>
      </w:r>
      <w:r w:rsidR="0028422E">
        <w:t>.</w:t>
      </w:r>
      <w:r w:rsidR="00F13535" w:rsidRPr="00F13535">
        <w:rPr>
          <w:rStyle w:val="FootnoteReference"/>
          <w:b/>
          <w:bCs/>
        </w:rPr>
        <w:footnoteReference w:id="14"/>
      </w:r>
      <w:r w:rsidR="00F13535">
        <w:t xml:space="preserve"> </w:t>
      </w:r>
      <w:r w:rsidR="0028422E">
        <w:t xml:space="preserve"> </w:t>
      </w:r>
      <w:r w:rsidR="00F13535">
        <w:t>(</w:t>
      </w:r>
      <w:r w:rsidR="0028422E">
        <w:rPr>
          <w:i/>
          <w:iCs/>
        </w:rPr>
        <w:t>I</w:t>
      </w:r>
      <w:r w:rsidR="00F13535">
        <w:rPr>
          <w:i/>
          <w:iCs/>
        </w:rPr>
        <w:t>d</w:t>
      </w:r>
      <w:r w:rsidR="00F13535">
        <w:t>. at pp. 379–380</w:t>
      </w:r>
      <w:r w:rsidR="0028422E">
        <w:t>.</w:t>
      </w:r>
      <w:r w:rsidR="00F13535">
        <w:t xml:space="preserve">) </w:t>
      </w:r>
      <w:r w:rsidR="0028422E">
        <w:t xml:space="preserve"> The court also opined that</w:t>
      </w:r>
      <w:r w:rsidR="00F13535">
        <w:t xml:space="preserve"> </w:t>
      </w:r>
      <w:r w:rsidR="00F13535" w:rsidRPr="00F13535">
        <w:t>the Legislature</w:t>
      </w:r>
      <w:r w:rsidR="00F13535">
        <w:t>’</w:t>
      </w:r>
      <w:r w:rsidR="00F13535" w:rsidRPr="00F13535">
        <w:t xml:space="preserve">s failure to limit the retroactive effect of </w:t>
      </w:r>
      <w:r w:rsidR="00F13535">
        <w:t>Senate Bill 567</w:t>
      </w:r>
      <w:r w:rsidR="00D573A1">
        <w:t xml:space="preserve"> </w:t>
      </w:r>
      <w:r w:rsidR="00F13535" w:rsidRPr="00F13535">
        <w:t xml:space="preserve">indicated </w:t>
      </w:r>
      <w:r w:rsidR="00D573A1">
        <w:t>an</w:t>
      </w:r>
      <w:r w:rsidR="00F13535" w:rsidRPr="00F13535">
        <w:t xml:space="preserve"> intent </w:t>
      </w:r>
      <w:r w:rsidR="0028422E">
        <w:t xml:space="preserve">to </w:t>
      </w:r>
      <w:r w:rsidR="00F915AF">
        <w:t>subject</w:t>
      </w:r>
      <w:r w:rsidR="0028422E">
        <w:t xml:space="preserve"> </w:t>
      </w:r>
      <w:r w:rsidR="00F915AF">
        <w:t>the People and defendants to</w:t>
      </w:r>
      <w:r w:rsidR="00F13535" w:rsidRPr="00F13535">
        <w:t xml:space="preserve"> </w:t>
      </w:r>
      <w:r w:rsidR="00F915AF">
        <w:t>amended</w:t>
      </w:r>
      <w:r w:rsidR="0028422E">
        <w:t xml:space="preserve"> </w:t>
      </w:r>
      <w:r w:rsidR="00D573A1">
        <w:t>section 1170(b)</w:t>
      </w:r>
      <w:r w:rsidR="00F13535" w:rsidRPr="00F13535">
        <w:t xml:space="preserve"> and </w:t>
      </w:r>
      <w:r w:rsidR="00F915AF">
        <w:t xml:space="preserve">effectuate </w:t>
      </w:r>
      <w:r w:rsidR="00F13535" w:rsidRPr="00F13535">
        <w:t>section 1016.8</w:t>
      </w:r>
      <w:r w:rsidR="00F915AF">
        <w:t xml:space="preserve">.  </w:t>
      </w:r>
      <w:r w:rsidR="00F13535" w:rsidRPr="00F13535">
        <w:t>(</w:t>
      </w:r>
      <w:r w:rsidR="00F915AF">
        <w:rPr>
          <w:i/>
          <w:iCs/>
        </w:rPr>
        <w:t>I</w:t>
      </w:r>
      <w:r w:rsidR="00F13535" w:rsidRPr="00F13535">
        <w:rPr>
          <w:i/>
          <w:iCs/>
        </w:rPr>
        <w:t>d</w:t>
      </w:r>
      <w:r w:rsidR="00F13535" w:rsidRPr="00F13535">
        <w:t>.</w:t>
      </w:r>
      <w:r w:rsidR="00F13535">
        <w:t xml:space="preserve"> at p. 380</w:t>
      </w:r>
      <w:r w:rsidR="00315DA2">
        <w:t>.</w:t>
      </w:r>
      <w:r w:rsidR="00F13535" w:rsidRPr="00F13535">
        <w:t>)</w:t>
      </w:r>
      <w:r w:rsidR="00F13535">
        <w:t xml:space="preserve"> </w:t>
      </w:r>
      <w:r w:rsidR="00D573A1">
        <w:t xml:space="preserve"> </w:t>
      </w:r>
      <w:r w:rsidR="000F03CA">
        <w:t>T</w:t>
      </w:r>
      <w:r w:rsidR="00470A3F">
        <w:t xml:space="preserve">he </w:t>
      </w:r>
      <w:r w:rsidR="00470A3F" w:rsidRPr="00470A3F">
        <w:rPr>
          <w:i/>
          <w:iCs/>
        </w:rPr>
        <w:t>Todd</w:t>
      </w:r>
      <w:r w:rsidR="00470A3F">
        <w:t xml:space="preserve"> court</w:t>
      </w:r>
      <w:r w:rsidR="000F03CA">
        <w:t xml:space="preserve"> further compared the </w:t>
      </w:r>
      <w:r w:rsidR="005C628C">
        <w:t>situation</w:t>
      </w:r>
      <w:r w:rsidR="000F03CA">
        <w:t xml:space="preserve"> before it to </w:t>
      </w:r>
      <w:r w:rsidR="005C628C">
        <w:t xml:space="preserve">that </w:t>
      </w:r>
      <w:r w:rsidR="000F03CA">
        <w:t xml:space="preserve">in </w:t>
      </w:r>
      <w:r w:rsidR="000F03CA" w:rsidRPr="000F03CA">
        <w:rPr>
          <w:i/>
          <w:iCs/>
        </w:rPr>
        <w:t>Stamps</w:t>
      </w:r>
      <w:r w:rsidR="00A20799">
        <w:t xml:space="preserve">, </w:t>
      </w:r>
      <w:r w:rsidR="00A20799">
        <w:rPr>
          <w:i/>
          <w:iCs/>
        </w:rPr>
        <w:t>supra</w:t>
      </w:r>
      <w:r w:rsidR="00A20799">
        <w:t>,</w:t>
      </w:r>
      <w:r w:rsidR="000F03CA" w:rsidRPr="000F03CA">
        <w:t xml:space="preserve"> 9 Cal.5th 685</w:t>
      </w:r>
      <w:r w:rsidR="005C628C">
        <w:t xml:space="preserve"> </w:t>
      </w:r>
      <w:r w:rsidR="000F03CA">
        <w:t xml:space="preserve">and concluded there was no reason to treat the situation in </w:t>
      </w:r>
      <w:r w:rsidR="000F03CA" w:rsidRPr="005C628C">
        <w:rPr>
          <w:i/>
          <w:iCs/>
        </w:rPr>
        <w:t>Todd</w:t>
      </w:r>
      <w:r w:rsidR="000F03CA">
        <w:t xml:space="preserve"> differently from that in </w:t>
      </w:r>
      <w:r w:rsidR="000F03CA" w:rsidRPr="000F03CA">
        <w:rPr>
          <w:i/>
          <w:iCs/>
        </w:rPr>
        <w:t>Stamps</w:t>
      </w:r>
      <w:r w:rsidR="000F03CA">
        <w:t xml:space="preserve">.  </w:t>
      </w:r>
      <w:r w:rsidR="000F03CA" w:rsidRPr="005E6FAD">
        <w:t>(</w:t>
      </w:r>
      <w:r w:rsidR="000F03CA" w:rsidRPr="00DE1AD5">
        <w:rPr>
          <w:i/>
          <w:iCs/>
        </w:rPr>
        <w:t>Todd</w:t>
      </w:r>
      <w:r w:rsidR="000F03CA" w:rsidRPr="005E6FAD">
        <w:t>,</w:t>
      </w:r>
      <w:r w:rsidR="000F03CA">
        <w:t xml:space="preserve"> a</w:t>
      </w:r>
      <w:r w:rsidR="000F03CA" w:rsidRPr="005E6FAD">
        <w:t xml:space="preserve">t </w:t>
      </w:r>
      <w:r w:rsidR="000F03CA">
        <w:t>p</w:t>
      </w:r>
      <w:r w:rsidR="000F03CA" w:rsidRPr="005E6FAD">
        <w:t xml:space="preserve">p. </w:t>
      </w:r>
      <w:r w:rsidR="000F03CA">
        <w:t>380–</w:t>
      </w:r>
      <w:r w:rsidR="000F03CA" w:rsidRPr="005E6FAD">
        <w:t>381.)</w:t>
      </w:r>
      <w:r w:rsidR="000F03CA">
        <w:t xml:space="preserve"> </w:t>
      </w:r>
      <w:r w:rsidR="000F03CA" w:rsidRPr="005E6FAD">
        <w:t xml:space="preserve"> </w:t>
      </w:r>
    </w:p>
    <w:p w14:paraId="36C3B182" w14:textId="1BB9B060" w:rsidR="00C36E76" w:rsidRDefault="006D6D74" w:rsidP="00C36E76">
      <w:r>
        <w:t xml:space="preserve">Likewise, </w:t>
      </w:r>
      <w:r w:rsidR="005C628C">
        <w:t xml:space="preserve">in </w:t>
      </w:r>
      <w:r w:rsidR="005C628C" w:rsidRPr="006D6D74">
        <w:rPr>
          <w:i/>
          <w:iCs/>
        </w:rPr>
        <w:t>Fox</w:t>
      </w:r>
      <w:r w:rsidR="005C628C">
        <w:t xml:space="preserve">, </w:t>
      </w:r>
      <w:r>
        <w:t xml:space="preserve">the First District Court of Appeal, Division One </w:t>
      </w:r>
      <w:r w:rsidR="005C628C">
        <w:t xml:space="preserve">looked to </w:t>
      </w:r>
      <w:r w:rsidR="005C628C" w:rsidRPr="005C628C">
        <w:rPr>
          <w:i/>
          <w:iCs/>
        </w:rPr>
        <w:t>Stamps</w:t>
      </w:r>
      <w:r w:rsidR="005C628C">
        <w:t xml:space="preserve"> as “the leading authority on what relief is available under ameliorative sentencing legislation that takes effect after a defendant enters a plea agreement for a stipulated sentence.”  (</w:t>
      </w:r>
      <w:r w:rsidR="005C628C" w:rsidRPr="005C628C">
        <w:rPr>
          <w:i/>
          <w:iCs/>
        </w:rPr>
        <w:t>Fox</w:t>
      </w:r>
      <w:r w:rsidR="005C628C">
        <w:t xml:space="preserve">, </w:t>
      </w:r>
      <w:r w:rsidR="005C628C" w:rsidRPr="005C628C">
        <w:rPr>
          <w:i/>
          <w:iCs/>
        </w:rPr>
        <w:t>supra</w:t>
      </w:r>
      <w:r w:rsidR="005C628C">
        <w:t xml:space="preserve">, 90 Cal.App.5th at p. 831.)  The </w:t>
      </w:r>
      <w:r w:rsidR="005C628C" w:rsidRPr="00C36E76">
        <w:rPr>
          <w:i/>
          <w:iCs/>
        </w:rPr>
        <w:t>Fox</w:t>
      </w:r>
      <w:r w:rsidR="005C628C">
        <w:t xml:space="preserve"> court </w:t>
      </w:r>
      <w:r w:rsidR="00C36E76">
        <w:t xml:space="preserve">“conclude[d] that </w:t>
      </w:r>
      <w:r w:rsidR="00C36E76" w:rsidRPr="00C36E76">
        <w:rPr>
          <w:i/>
          <w:iCs/>
        </w:rPr>
        <w:lastRenderedPageBreak/>
        <w:t>Todd</w:t>
      </w:r>
      <w:r w:rsidR="00C36E76">
        <w:t xml:space="preserve">’s holding is compelled by </w:t>
      </w:r>
      <w:r w:rsidR="00C36E76" w:rsidRPr="00C36E76">
        <w:rPr>
          <w:i/>
          <w:iCs/>
        </w:rPr>
        <w:t>Stamps</w:t>
      </w:r>
      <w:r w:rsidR="00C36E76">
        <w:t>” and</w:t>
      </w:r>
      <w:r w:rsidR="00221FD7">
        <w:t>, in turn,</w:t>
      </w:r>
      <w:r w:rsidR="00C36E76">
        <w:t xml:space="preserve"> declined to follow </w:t>
      </w:r>
      <w:r w:rsidR="00C36E76" w:rsidRPr="00C36E76">
        <w:rPr>
          <w:i/>
          <w:iCs/>
        </w:rPr>
        <w:t>Mitchell</w:t>
      </w:r>
      <w:r w:rsidR="00C36E76">
        <w:t xml:space="preserve"> and </w:t>
      </w:r>
      <w:proofErr w:type="spellStart"/>
      <w:r w:rsidR="00C36E76" w:rsidRPr="00C36E76">
        <w:rPr>
          <w:i/>
          <w:iCs/>
        </w:rPr>
        <w:t>Sallee</w:t>
      </w:r>
      <w:proofErr w:type="spellEnd"/>
      <w:r w:rsidR="00C36E76">
        <w:t>.  (</w:t>
      </w:r>
      <w:r w:rsidR="00C36E76" w:rsidRPr="00C36E76">
        <w:rPr>
          <w:i/>
          <w:iCs/>
        </w:rPr>
        <w:t>Id</w:t>
      </w:r>
      <w:r w:rsidR="00C36E76">
        <w:t xml:space="preserve">. at p. 833.)  The </w:t>
      </w:r>
      <w:r w:rsidR="00C36E76" w:rsidRPr="00C36E76">
        <w:rPr>
          <w:i/>
          <w:iCs/>
        </w:rPr>
        <w:t>Fox</w:t>
      </w:r>
      <w:r w:rsidR="00C36E76">
        <w:t xml:space="preserve"> court explained that “</w:t>
      </w:r>
      <w:r w:rsidR="00C36E76" w:rsidRPr="00C36E76">
        <w:rPr>
          <w:i/>
          <w:iCs/>
        </w:rPr>
        <w:t>Mitchell</w:t>
      </w:r>
      <w:r w:rsidR="00C36E76">
        <w:t xml:space="preserve"> and </w:t>
      </w:r>
      <w:proofErr w:type="spellStart"/>
      <w:r w:rsidR="00C36E76" w:rsidRPr="00C36E76">
        <w:rPr>
          <w:i/>
          <w:iCs/>
        </w:rPr>
        <w:t>Sallee</w:t>
      </w:r>
      <w:r w:rsidR="00C36E76">
        <w:t>’s</w:t>
      </w:r>
      <w:proofErr w:type="spellEnd"/>
      <w:r w:rsidR="00C36E76">
        <w:t xml:space="preserve"> reasoning would suggest, in direct conflict with </w:t>
      </w:r>
      <w:proofErr w:type="spellStart"/>
      <w:r w:rsidR="00C36E76" w:rsidRPr="00C36E76">
        <w:rPr>
          <w:i/>
          <w:iCs/>
        </w:rPr>
        <w:t>Stamps</w:t>
      </w:r>
      <w:r w:rsidR="00C36E76">
        <w:t>’s</w:t>
      </w:r>
      <w:proofErr w:type="spellEnd"/>
      <w:r w:rsidR="00C36E76">
        <w:t xml:space="preserve"> holding, that section 1385 [(the </w:t>
      </w:r>
      <w:r w:rsidR="004B0A69">
        <w:t xml:space="preserve">amended </w:t>
      </w:r>
      <w:r w:rsidR="00C36E76">
        <w:t xml:space="preserve">statute at issue in </w:t>
      </w:r>
      <w:r w:rsidR="00C36E76" w:rsidRPr="00C36E76">
        <w:rPr>
          <w:i/>
          <w:iCs/>
        </w:rPr>
        <w:t>Stamps</w:t>
      </w:r>
      <w:r w:rsidR="00C36E76">
        <w:t xml:space="preserve">)] is inapplicable to stipulated sentences.  As </w:t>
      </w:r>
      <w:r w:rsidR="00C36E76" w:rsidRPr="00C36E76">
        <w:rPr>
          <w:i/>
          <w:iCs/>
        </w:rPr>
        <w:t>Stamps</w:t>
      </w:r>
      <w:r w:rsidR="00C36E76">
        <w:t xml:space="preserve"> explained, the fact that a defendant agreed to a specific term prevents a trial court from striking a prior-</w:t>
      </w:r>
      <w:r w:rsidR="00315DA2">
        <w:t>serious-</w:t>
      </w:r>
      <w:r w:rsidR="00C36E76">
        <w:t>felony</w:t>
      </w:r>
      <w:r w:rsidR="00315DA2">
        <w:t xml:space="preserve"> </w:t>
      </w:r>
      <w:r w:rsidR="00C36E76">
        <w:t>enhancement while imposing the balance of a stipulated sentence, but it does not prevent the court from striking the enhancement and permitting the prosecution to withdraw from the plea agreement.  [Citation.]  This is because a trial court’s ‘exercise of its new discretion to strike the serious felony enhancement, whether considered a new circumstance in the case or simply a reevaluation of the propriety of the bargain itself, would fall within the court’s broad discretion to withdraw its prior approval of the plea agreement.</w:t>
      </w:r>
      <w:proofErr w:type="gramStart"/>
      <w:r w:rsidR="00C36E76">
        <w:t>’ ”</w:t>
      </w:r>
      <w:proofErr w:type="gramEnd"/>
      <w:r w:rsidR="00C36E76">
        <w:t xml:space="preserve">  (</w:t>
      </w:r>
      <w:r w:rsidR="00C36E76" w:rsidRPr="00C36E76">
        <w:rPr>
          <w:i/>
          <w:iCs/>
        </w:rPr>
        <w:t>Id</w:t>
      </w:r>
      <w:r w:rsidR="00C36E76">
        <w:t xml:space="preserve">. at p. 834, citing </w:t>
      </w:r>
      <w:r w:rsidR="00C36E76" w:rsidRPr="000F03CA">
        <w:rPr>
          <w:i/>
          <w:iCs/>
        </w:rPr>
        <w:t>Stamps</w:t>
      </w:r>
      <w:r w:rsidR="00C36E76">
        <w:t xml:space="preserve">, </w:t>
      </w:r>
      <w:r w:rsidR="00C36E76" w:rsidRPr="00A307B6">
        <w:rPr>
          <w:i/>
          <w:iCs/>
        </w:rPr>
        <w:t>supra</w:t>
      </w:r>
      <w:r w:rsidR="00C36E76">
        <w:t>,</w:t>
      </w:r>
      <w:r w:rsidR="00C36E76" w:rsidRPr="000F03CA">
        <w:t xml:space="preserve"> 9 Cal.5th</w:t>
      </w:r>
      <w:r w:rsidR="00C36E76">
        <w:t>. at pp. </w:t>
      </w:r>
      <w:r w:rsidR="000117CA">
        <w:t>701, 707–708.</w:t>
      </w:r>
      <w:r w:rsidR="00C36E76">
        <w:t>)</w:t>
      </w:r>
    </w:p>
    <w:p w14:paraId="389946B2" w14:textId="4912039C" w:rsidR="005B5B6B" w:rsidRDefault="00EA7AA0" w:rsidP="00C36E76">
      <w:r>
        <w:t>“</w:t>
      </w:r>
      <w:r w:rsidR="00C36E76">
        <w:t>By the same reasoning, although a defendant who agreed to a specific term cannot be resentenced to the middle or lower term while retaining the other benefits of the plea bargain, the defendant may still seek relief under Senate Bill No. 567 with the understanding that if the trial court grants relief, the plea bargain is unlikely to survive.</w:t>
      </w:r>
      <w:r>
        <w:t xml:space="preserve">  </w:t>
      </w:r>
      <w:r w:rsidR="00C36E76">
        <w:t>The amendment of section 1170(b) to make the middle term the presumptive term unless aggravating circumstances are proven is a significant legal change that could well affect a court</w:t>
      </w:r>
      <w:r>
        <w:t>’</w:t>
      </w:r>
      <w:r w:rsidR="00C36E76">
        <w:t>s evaluation of a plea bargain</w:t>
      </w:r>
      <w:r>
        <w:t>’</w:t>
      </w:r>
      <w:r w:rsidR="00C36E76">
        <w:t>s fairness.</w:t>
      </w:r>
      <w:r w:rsidR="00A307B6">
        <w:t xml:space="preserve">  [Citation.]  </w:t>
      </w:r>
      <w:r w:rsidR="00A307B6" w:rsidRPr="00A307B6">
        <w:t xml:space="preserve">Indeed, whereas under </w:t>
      </w:r>
      <w:r w:rsidR="00A307B6">
        <w:t xml:space="preserve">[the amended law at issue in </w:t>
      </w:r>
      <w:r w:rsidR="00A307B6" w:rsidRPr="00A307B6">
        <w:rPr>
          <w:i/>
          <w:iCs/>
        </w:rPr>
        <w:t>Stamps</w:t>
      </w:r>
      <w:r w:rsidR="003D4E06">
        <w:t>,</w:t>
      </w:r>
      <w:r w:rsidR="00A307B6">
        <w:t>]</w:t>
      </w:r>
      <w:r w:rsidR="00A307B6" w:rsidRPr="00A307B6">
        <w:t xml:space="preserve"> a sentence is lawful regardless of whether a trial court exercises its discretion to strike an enhancement, under Senate Bill No. 567 an upper-term sentence is not even authorized unless aggravating circumstances have been stipulated to by the defendant or found true beyond a reasonable doubt. </w:t>
      </w:r>
      <w:r w:rsidR="00A307B6">
        <w:t xml:space="preserve"> [Citations.]  </w:t>
      </w:r>
      <w:r w:rsidR="00A307B6" w:rsidRPr="00A307B6">
        <w:t xml:space="preserve">Thus, the statutory amendment here warrants a remand even more clearly than did the one in </w:t>
      </w:r>
      <w:r w:rsidR="00A307B6" w:rsidRPr="00A307B6">
        <w:rPr>
          <w:i/>
          <w:iCs/>
        </w:rPr>
        <w:t>Stamps</w:t>
      </w:r>
      <w:r w:rsidR="00A307B6" w:rsidRPr="00A307B6">
        <w:t>.</w:t>
      </w:r>
      <w:r>
        <w:t>”  (</w:t>
      </w:r>
      <w:r w:rsidR="00C36E76" w:rsidRPr="00EA7AA0">
        <w:rPr>
          <w:i/>
          <w:iCs/>
        </w:rPr>
        <w:t>Fox</w:t>
      </w:r>
      <w:r>
        <w:t xml:space="preserve">, </w:t>
      </w:r>
      <w:r w:rsidRPr="00EA7AA0">
        <w:rPr>
          <w:i/>
          <w:iCs/>
        </w:rPr>
        <w:t>supra</w:t>
      </w:r>
      <w:r>
        <w:t xml:space="preserve">, </w:t>
      </w:r>
      <w:r w:rsidR="00C36E76">
        <w:t xml:space="preserve">90 Cal.App.5th </w:t>
      </w:r>
      <w:r>
        <w:t>at p. </w:t>
      </w:r>
      <w:r w:rsidR="00C36E76">
        <w:t>834</w:t>
      </w:r>
      <w:r>
        <w:t>.)</w:t>
      </w:r>
    </w:p>
    <w:p w14:paraId="25FED1B9" w14:textId="7673A260" w:rsidR="005B5B6B" w:rsidRDefault="00B96D8E" w:rsidP="00E5751E">
      <w:r>
        <w:lastRenderedPageBreak/>
        <w:t>We agree with</w:t>
      </w:r>
      <w:r w:rsidR="00617775">
        <w:t xml:space="preserve"> the analysis in</w:t>
      </w:r>
      <w:r>
        <w:t xml:space="preserve"> </w:t>
      </w:r>
      <w:r w:rsidRPr="00B96D8E">
        <w:rPr>
          <w:i/>
          <w:iCs/>
        </w:rPr>
        <w:t>Todd</w:t>
      </w:r>
      <w:r>
        <w:t xml:space="preserve"> and </w:t>
      </w:r>
      <w:r w:rsidRPr="00B96D8E">
        <w:rPr>
          <w:i/>
          <w:iCs/>
        </w:rPr>
        <w:t>Fox</w:t>
      </w:r>
      <w:r w:rsidR="007E6560">
        <w:t>.  Accordingly, we</w:t>
      </w:r>
      <w:r>
        <w:t xml:space="preserve"> will remand </w:t>
      </w:r>
      <w:r w:rsidR="003D4E06">
        <w:t xml:space="preserve">this matter </w:t>
      </w:r>
      <w:r>
        <w:t xml:space="preserve">to allow </w:t>
      </w:r>
      <w:r w:rsidR="00A05377">
        <w:t>De La Rosa</w:t>
      </w:r>
      <w:r>
        <w:t xml:space="preserve"> to pursue relief under the new mandates </w:t>
      </w:r>
      <w:r w:rsidR="003D4E06">
        <w:t>within</w:t>
      </w:r>
      <w:r>
        <w:t xml:space="preserve"> section 117</w:t>
      </w:r>
      <w:r w:rsidR="00FC2432">
        <w:t>0</w:t>
      </w:r>
      <w:r>
        <w:t xml:space="preserve">(b).  </w:t>
      </w:r>
      <w:r w:rsidR="00E5751E">
        <w:t xml:space="preserve">As </w:t>
      </w:r>
      <w:r w:rsidR="00E5751E">
        <w:rPr>
          <w:i/>
          <w:iCs/>
        </w:rPr>
        <w:t xml:space="preserve">Fox </w:t>
      </w:r>
      <w:r w:rsidR="00E5751E">
        <w:t>sets out, o</w:t>
      </w:r>
      <w:r w:rsidRPr="00B96D8E">
        <w:t xml:space="preserve">n remand </w:t>
      </w:r>
      <w:r w:rsidR="00A05377">
        <w:t>De La Rosa</w:t>
      </w:r>
      <w:r w:rsidRPr="00B96D8E">
        <w:t xml:space="preserve"> may </w:t>
      </w:r>
      <w:proofErr w:type="gramStart"/>
      <w:r w:rsidRPr="00B96D8E">
        <w:t>“</w:t>
      </w:r>
      <w:r>
        <w:t> ‘</w:t>
      </w:r>
      <w:proofErr w:type="gramEnd"/>
      <w:r w:rsidRPr="00B96D8E">
        <w:t xml:space="preserve">waive or invoke the requirements of section 1170[(b)].’ </w:t>
      </w:r>
      <w:r>
        <w:t xml:space="preserve"> [Citation.] </w:t>
      </w:r>
      <w:r w:rsidRPr="00B96D8E">
        <w:t xml:space="preserve"> If [</w:t>
      </w:r>
      <w:r w:rsidR="00A05377">
        <w:t>De La Rosa</w:t>
      </w:r>
      <w:r w:rsidRPr="00B96D8E">
        <w:t xml:space="preserve">] does not waive those requirements, the trial court must determine whether the upper term can be imposed in compliance with section 1170(b). </w:t>
      </w:r>
      <w:r>
        <w:t xml:space="preserve"> </w:t>
      </w:r>
      <w:r w:rsidRPr="00B96D8E">
        <w:t xml:space="preserve">If it can be so imposed, then the sentence will stand. </w:t>
      </w:r>
      <w:r>
        <w:t xml:space="preserve"> </w:t>
      </w:r>
      <w:r w:rsidRPr="00B96D8E">
        <w:t>But if it cannot, and the prosecution does not acquiesce to a reduced sentence or the trial court no longer approves of the plea agreement with the reduction, the court must ‘return the parties to the status quo.</w:t>
      </w:r>
      <w:proofErr w:type="gramStart"/>
      <w:r w:rsidRPr="00B96D8E">
        <w:t>’</w:t>
      </w:r>
      <w:r>
        <w:t> </w:t>
      </w:r>
      <w:r w:rsidRPr="00B96D8E">
        <w:t>”</w:t>
      </w:r>
      <w:proofErr w:type="gramEnd"/>
      <w:r w:rsidRPr="00B96D8E">
        <w:t xml:space="preserve"> </w:t>
      </w:r>
      <w:r w:rsidR="00565BEA">
        <w:t xml:space="preserve"> </w:t>
      </w:r>
      <w:r w:rsidRPr="00B96D8E">
        <w:t>(</w:t>
      </w:r>
      <w:r w:rsidRPr="00B96D8E">
        <w:rPr>
          <w:i/>
          <w:iCs/>
        </w:rPr>
        <w:t>Fox</w:t>
      </w:r>
      <w:r w:rsidRPr="00B96D8E">
        <w:t xml:space="preserve">, </w:t>
      </w:r>
      <w:r w:rsidRPr="00B96D8E">
        <w:rPr>
          <w:i/>
          <w:iCs/>
        </w:rPr>
        <w:t>supra</w:t>
      </w:r>
      <w:r w:rsidRPr="00B96D8E">
        <w:t>, 90 Cal.App.5th at p. 835</w:t>
      </w:r>
      <w:r w:rsidR="00087E2F">
        <w:t xml:space="preserve">; see also </w:t>
      </w:r>
      <w:r w:rsidR="00087E2F" w:rsidRPr="00DE1AD5">
        <w:rPr>
          <w:i/>
          <w:iCs/>
        </w:rPr>
        <w:t>Todd</w:t>
      </w:r>
      <w:r w:rsidR="00087E2F" w:rsidRPr="005E6FAD">
        <w:t xml:space="preserve">, </w:t>
      </w:r>
      <w:r w:rsidR="00087E2F" w:rsidRPr="00DE1AD5">
        <w:rPr>
          <w:i/>
          <w:iCs/>
        </w:rPr>
        <w:t>supra</w:t>
      </w:r>
      <w:r w:rsidR="00087E2F" w:rsidRPr="005E6FAD">
        <w:t>, 88 Cal.App.5th at p</w:t>
      </w:r>
      <w:r w:rsidR="00087E2F">
        <w:t>p</w:t>
      </w:r>
      <w:r w:rsidR="00087E2F" w:rsidRPr="005E6FAD">
        <w:t>. 381</w:t>
      </w:r>
      <w:r w:rsidR="00087E2F">
        <w:t>–382</w:t>
      </w:r>
      <w:r w:rsidRPr="00B96D8E">
        <w:t>.)</w:t>
      </w:r>
      <w:r>
        <w:t xml:space="preserve"> </w:t>
      </w:r>
    </w:p>
    <w:p w14:paraId="5D46B21E" w14:textId="7EE3C9A1" w:rsidR="00945FBA" w:rsidRDefault="00E5751E" w:rsidP="009E6101">
      <w:r>
        <w:t>Although we agree with this general des</w:t>
      </w:r>
      <w:r w:rsidR="004F23F0">
        <w:t>cription</w:t>
      </w:r>
      <w:r w:rsidR="00617775">
        <w:t xml:space="preserve">, </w:t>
      </w:r>
      <w:r w:rsidR="004F23F0">
        <w:t>we note that in practice it</w:t>
      </w:r>
      <w:r w:rsidR="00617775">
        <w:t xml:space="preserve"> involves </w:t>
      </w:r>
      <w:r w:rsidR="004F23F0">
        <w:t xml:space="preserve">additional subsidiary </w:t>
      </w:r>
      <w:r w:rsidR="00B2435D">
        <w:t xml:space="preserve">decisions and possible courses of action </w:t>
      </w:r>
      <w:r w:rsidR="00617775">
        <w:t xml:space="preserve">by the parties and the trial court.  </w:t>
      </w:r>
      <w:r w:rsidR="004F23F0">
        <w:t xml:space="preserve">For their benefit, </w:t>
      </w:r>
      <w:r w:rsidR="00617775">
        <w:t xml:space="preserve">we set out in detail the </w:t>
      </w:r>
      <w:r w:rsidR="00B2435D">
        <w:t>possible scenarios</w:t>
      </w:r>
      <w:r w:rsidR="00617775">
        <w:t>.</w:t>
      </w:r>
      <w:r w:rsidR="00781D9A" w:rsidRPr="00781D9A">
        <w:rPr>
          <w:rStyle w:val="FootnoteReference"/>
          <w:b/>
          <w:bCs/>
        </w:rPr>
        <w:footnoteReference w:id="15"/>
      </w:r>
      <w:r w:rsidR="006F0EA2">
        <w:t xml:space="preserve"> </w:t>
      </w:r>
      <w:r w:rsidR="00452ADD">
        <w:t xml:space="preserve"> </w:t>
      </w:r>
    </w:p>
    <w:p w14:paraId="172F979F" w14:textId="63CA26FD" w:rsidR="00DE550E" w:rsidRDefault="00452ADD" w:rsidP="009E6101">
      <w:r>
        <w:t>I</w:t>
      </w:r>
      <w:r w:rsidR="006F0EA2">
        <w:t xml:space="preserve">f </w:t>
      </w:r>
      <w:r w:rsidR="00A05377">
        <w:t>De La Rosa</w:t>
      </w:r>
      <w:r w:rsidR="009E6101">
        <w:t xml:space="preserve"> waives the requirements of section 1170(b), the trial court shall reinstate the original sentence</w:t>
      </w:r>
      <w:r w:rsidR="00B53877">
        <w:t xml:space="preserve"> (which included the upper term of four years on count 3 for the assault with a deadly weapon conviction)</w:t>
      </w:r>
      <w:r w:rsidR="009E6101">
        <w:t xml:space="preserve">.  </w:t>
      </w:r>
    </w:p>
    <w:p w14:paraId="72551632" w14:textId="442A36D0" w:rsidR="00C50501" w:rsidRDefault="009E6101" w:rsidP="009E6101">
      <w:r>
        <w:t xml:space="preserve">On the other hand, if </w:t>
      </w:r>
      <w:r w:rsidR="00A05377">
        <w:t>De La Rosa</w:t>
      </w:r>
      <w:r>
        <w:t xml:space="preserve"> invokes </w:t>
      </w:r>
      <w:r w:rsidR="00E10306">
        <w:t xml:space="preserve">the requirements of </w:t>
      </w:r>
      <w:r>
        <w:t>section 1170(b), he must state</w:t>
      </w:r>
      <w:r w:rsidR="001E7BC9">
        <w:t>, under</w:t>
      </w:r>
      <w:r w:rsidR="00050CB6">
        <w:t xml:space="preserve"> section 1170(b)(2), whether</w:t>
      </w:r>
      <w:r w:rsidR="001E7BC9">
        <w:t xml:space="preserve"> </w:t>
      </w:r>
      <w:r>
        <w:t xml:space="preserve">he either stipulates to an aggravating circumstance that justifies the imposition of the upper term on count 3 or desires a jury </w:t>
      </w:r>
      <w:r>
        <w:lastRenderedPageBreak/>
        <w:t>trial or court trial on any aggravating circumstances</w:t>
      </w:r>
      <w:r w:rsidR="00050CB6">
        <w:t xml:space="preserve"> alleged by the district attorney</w:t>
      </w:r>
      <w:r>
        <w:t>.</w:t>
      </w:r>
      <w:r w:rsidR="0037785F" w:rsidRPr="00121D24">
        <w:rPr>
          <w:rStyle w:val="FootnoteReference"/>
          <w:b/>
          <w:bCs/>
        </w:rPr>
        <w:footnoteReference w:id="16"/>
      </w:r>
      <w:r>
        <w:t xml:space="preserve">  (</w:t>
      </w:r>
      <w:r w:rsidR="0037785F">
        <w:t>§</w:t>
      </w:r>
      <w:r w:rsidR="007C2710">
        <w:t> </w:t>
      </w:r>
      <w:r w:rsidR="0037785F">
        <w:t>1170(b)(2)</w:t>
      </w:r>
      <w:r w:rsidR="002D31A2">
        <w:t xml:space="preserve">; see </w:t>
      </w:r>
      <w:r w:rsidR="002D31A2" w:rsidRPr="009E6101">
        <w:rPr>
          <w:i/>
          <w:iCs/>
        </w:rPr>
        <w:t>Lopez</w:t>
      </w:r>
      <w:r w:rsidR="002D31A2">
        <w:t xml:space="preserve">, </w:t>
      </w:r>
      <w:r w:rsidR="002D31A2" w:rsidRPr="009E6101">
        <w:rPr>
          <w:i/>
          <w:iCs/>
        </w:rPr>
        <w:t>supra</w:t>
      </w:r>
      <w:r w:rsidR="002D31A2">
        <w:t>, 78 Cal.App.5th at p. 468</w:t>
      </w:r>
      <w:r>
        <w:t>.)</w:t>
      </w:r>
    </w:p>
    <w:p w14:paraId="229C026C" w14:textId="0DE1E0A5" w:rsidR="009E6101" w:rsidRDefault="00C50501" w:rsidP="009E6101">
      <w:r>
        <w:t xml:space="preserve">If De La Rosa requests a jury </w:t>
      </w:r>
      <w:r w:rsidR="00DE550E">
        <w:t xml:space="preserve">trial </w:t>
      </w:r>
      <w:r>
        <w:t xml:space="preserve">or court trial, the trial court should hold such a trial, at which the district attorney will </w:t>
      </w:r>
      <w:r w:rsidR="00DE550E">
        <w:t>bear</w:t>
      </w:r>
      <w:r>
        <w:t xml:space="preserve"> the burden </w:t>
      </w:r>
      <w:r w:rsidR="00B2435D">
        <w:t>of proving</w:t>
      </w:r>
      <w:r>
        <w:t xml:space="preserve"> the truth of any </w:t>
      </w:r>
      <w:r w:rsidR="004B71DB">
        <w:t xml:space="preserve">alleged </w:t>
      </w:r>
      <w:r>
        <w:t xml:space="preserve">aggravating circumstance </w:t>
      </w:r>
      <w:r w:rsidRPr="00C50501">
        <w:t>beyond a reasonable doub</w:t>
      </w:r>
      <w:r>
        <w:t xml:space="preserve">t.  </w:t>
      </w:r>
      <w:r w:rsidRPr="00C50501">
        <w:t>(§ 1170(b)(2)</w:t>
      </w:r>
      <w:r>
        <w:t xml:space="preserve">.)  If the district attorney fails to prove the truth of any aggravating circumstance that </w:t>
      </w:r>
      <w:r w:rsidRPr="00C50501">
        <w:t>justif</w:t>
      </w:r>
      <w:r>
        <w:t>ies</w:t>
      </w:r>
      <w:r w:rsidRPr="00C50501">
        <w:t xml:space="preserve"> the imposition of </w:t>
      </w:r>
      <w:r w:rsidR="004B71DB">
        <w:t>the upper</w:t>
      </w:r>
      <w:r w:rsidRPr="00C50501">
        <w:t xml:space="preserve"> term</w:t>
      </w:r>
      <w:r>
        <w:t>, the trial court</w:t>
      </w:r>
      <w:r w:rsidR="004B71DB">
        <w:t xml:space="preserve"> shall find that the sentence on count 3 may not exceed the middle term</w:t>
      </w:r>
      <w:r w:rsidR="001927FC">
        <w:t xml:space="preserve"> (i.e., three years)</w:t>
      </w:r>
      <w:r w:rsidR="004B71DB">
        <w:t>.</w:t>
      </w:r>
      <w:r>
        <w:t xml:space="preserve">  </w:t>
      </w:r>
    </w:p>
    <w:p w14:paraId="0E8D23BF" w14:textId="06244236" w:rsidR="004B71DB" w:rsidRDefault="004B71DB" w:rsidP="009E6101">
      <w:r>
        <w:t>On the other hand, if</w:t>
      </w:r>
      <w:r w:rsidR="009E6101">
        <w:t xml:space="preserve"> </w:t>
      </w:r>
      <w:r w:rsidR="00A05377">
        <w:t>De La Rosa</w:t>
      </w:r>
      <w:r w:rsidR="009E6101">
        <w:t xml:space="preserve"> stipulates to an aggravating circumstance justifying the upper term or the district attorney proves the existence of such an aggravating circumstance</w:t>
      </w:r>
      <w:r w:rsidR="00F91B1E">
        <w:t xml:space="preserve"> to a jury or the court</w:t>
      </w:r>
      <w:r w:rsidR="009E6101">
        <w:t>,</w:t>
      </w:r>
      <w:r>
        <w:t xml:space="preserve"> the </w:t>
      </w:r>
      <w:r w:rsidR="00F91B1E">
        <w:t xml:space="preserve">trial </w:t>
      </w:r>
      <w:r>
        <w:t xml:space="preserve">court shall find that the upper term may be imposed on count 3.  </w:t>
      </w:r>
    </w:p>
    <w:p w14:paraId="5615A1CE" w14:textId="06A35A1C" w:rsidR="009E6101" w:rsidRDefault="000B230B" w:rsidP="009E6101">
      <w:r>
        <w:t>Further</w:t>
      </w:r>
      <w:r w:rsidR="004B71DB">
        <w:t>,</w:t>
      </w:r>
      <w:r w:rsidR="009E6101">
        <w:t xml:space="preserve"> </w:t>
      </w:r>
      <w:r>
        <w:t xml:space="preserve">although he has not done so in this appeal, </w:t>
      </w:r>
      <w:r w:rsidR="00A05377">
        <w:t>De La Rosa</w:t>
      </w:r>
      <w:r w:rsidR="009E6101">
        <w:t xml:space="preserve"> </w:t>
      </w:r>
      <w:r w:rsidR="009D4DF2">
        <w:t>may</w:t>
      </w:r>
      <w:r w:rsidR="009E6101">
        <w:t xml:space="preserve"> </w:t>
      </w:r>
      <w:r w:rsidR="000A1EAF">
        <w:t>assert</w:t>
      </w:r>
      <w:r w:rsidR="009E6101">
        <w:t xml:space="preserve"> </w:t>
      </w:r>
      <w:r>
        <w:t xml:space="preserve">in the trial court </w:t>
      </w:r>
      <w:r w:rsidR="009E6101">
        <w:t>the applicability of subdivision (b)(6)</w:t>
      </w:r>
      <w:r w:rsidR="001E7BC9">
        <w:t xml:space="preserve"> of section 1170</w:t>
      </w:r>
      <w:r w:rsidR="009E6101">
        <w:t xml:space="preserve">.  If </w:t>
      </w:r>
      <w:r w:rsidR="00A05377">
        <w:t>De La Rosa</w:t>
      </w:r>
      <w:r w:rsidR="009E6101">
        <w:t xml:space="preserve"> raises the applicability of section 1170(b)(6), the </w:t>
      </w:r>
      <w:r w:rsidR="007A5C56">
        <w:t xml:space="preserve">trial </w:t>
      </w:r>
      <w:r w:rsidR="009E6101">
        <w:t xml:space="preserve">court must </w:t>
      </w:r>
      <w:r w:rsidR="00F91B1E">
        <w:t>find</w:t>
      </w:r>
      <w:r w:rsidR="009E6101">
        <w:t xml:space="preserve"> whether </w:t>
      </w:r>
      <w:r w:rsidR="001F04A4">
        <w:t>any</w:t>
      </w:r>
      <w:r w:rsidR="001F2C46">
        <w:t xml:space="preserve"> purportedly applicable</w:t>
      </w:r>
      <w:r w:rsidR="001F04A4">
        <w:t xml:space="preserve"> factor </w:t>
      </w:r>
      <w:r w:rsidR="001F2C46">
        <w:t xml:space="preserve">listed in </w:t>
      </w:r>
      <w:r w:rsidR="001F04A4">
        <w:t>that sub</w:t>
      </w:r>
      <w:r w:rsidR="007A5C56">
        <w:t>paragraph</w:t>
      </w:r>
      <w:r w:rsidR="000A1EAF">
        <w:t xml:space="preserve"> (§ 1170, subd. (b)(6)(A)–(C))</w:t>
      </w:r>
      <w:r w:rsidR="009E6101">
        <w:t xml:space="preserve"> </w:t>
      </w:r>
      <w:r w:rsidR="000A1EAF">
        <w:t>“</w:t>
      </w:r>
      <w:r w:rsidR="009E6101">
        <w:t>was a contributing factor in the commission of the offense</w:t>
      </w:r>
      <w:r w:rsidR="000A1EAF">
        <w:t>”</w:t>
      </w:r>
      <w:r w:rsidR="00B46001">
        <w:t xml:space="preserve"> </w:t>
      </w:r>
      <w:r w:rsidR="009E6101">
        <w:t xml:space="preserve">and, if so, whether </w:t>
      </w:r>
      <w:r w:rsidR="000A1EAF">
        <w:t>“</w:t>
      </w:r>
      <w:r w:rsidR="000A1EAF" w:rsidRPr="000A1EAF">
        <w:t>the aggravating circumstances outweigh the mitigating circumstances that imposition of the lower term</w:t>
      </w:r>
      <w:r w:rsidR="008A507B">
        <w:t xml:space="preserve"> [(i.e., two years)]</w:t>
      </w:r>
      <w:r w:rsidR="000A1EAF" w:rsidRPr="000A1EAF">
        <w:t xml:space="preserve"> would be contrary to the interests of justice</w:t>
      </w:r>
      <w:r w:rsidR="009E6101">
        <w:t>.</w:t>
      </w:r>
      <w:r w:rsidR="000A1EAF">
        <w:t>”</w:t>
      </w:r>
      <w:r w:rsidR="001F04A4">
        <w:t xml:space="preserve">  (§</w:t>
      </w:r>
      <w:r w:rsidR="007C2710">
        <w:t> </w:t>
      </w:r>
      <w:r w:rsidR="001F04A4">
        <w:t>1170(b)(6).)</w:t>
      </w:r>
    </w:p>
    <w:p w14:paraId="49F69C4C" w14:textId="13D5E668" w:rsidR="00DE6518" w:rsidRDefault="009E6101" w:rsidP="009E6101">
      <w:r>
        <w:t>If</w:t>
      </w:r>
      <w:r w:rsidR="009D4DF2">
        <w:t>,</w:t>
      </w:r>
      <w:r>
        <w:t xml:space="preserve"> </w:t>
      </w:r>
      <w:r w:rsidR="007A5C56">
        <w:t xml:space="preserve">after </w:t>
      </w:r>
      <w:r w:rsidR="00F91B1E">
        <w:t>compliance with the</w:t>
      </w:r>
      <w:r w:rsidR="007A5C56">
        <w:t xml:space="preserve"> </w:t>
      </w:r>
      <w:r>
        <w:t xml:space="preserve">procedures </w:t>
      </w:r>
      <w:r w:rsidR="00F91B1E">
        <w:t>invoked by De La Rosa</w:t>
      </w:r>
      <w:r w:rsidR="009D4DF2">
        <w:t>,</w:t>
      </w:r>
      <w:r>
        <w:t xml:space="preserve"> the </w:t>
      </w:r>
      <w:r w:rsidR="007A5C56">
        <w:t xml:space="preserve">trial </w:t>
      </w:r>
      <w:r>
        <w:t>court determines that the upper term can be imposed</w:t>
      </w:r>
      <w:r w:rsidR="00DE6518">
        <w:t xml:space="preserve"> </w:t>
      </w:r>
      <w:r w:rsidR="000A1EAF">
        <w:t xml:space="preserve">on count 3 </w:t>
      </w:r>
      <w:r w:rsidR="00DE6518">
        <w:t xml:space="preserve">under </w:t>
      </w:r>
      <w:r w:rsidR="00DE550E">
        <w:t xml:space="preserve">the requirements of </w:t>
      </w:r>
      <w:r w:rsidR="00DE6518">
        <w:t>section 1170(b)</w:t>
      </w:r>
      <w:r>
        <w:t xml:space="preserve">, the court shall reinstate the original sentence.  </w:t>
      </w:r>
    </w:p>
    <w:p w14:paraId="16ED3AFF" w14:textId="624041D4" w:rsidR="009E6101" w:rsidRDefault="009E6101" w:rsidP="009E6101">
      <w:r>
        <w:t xml:space="preserve">If, however, the </w:t>
      </w:r>
      <w:r w:rsidR="00DE6518">
        <w:t xml:space="preserve">trial </w:t>
      </w:r>
      <w:r>
        <w:t xml:space="preserve">court determines that </w:t>
      </w:r>
      <w:r w:rsidR="00E315F9">
        <w:t xml:space="preserve">either </w:t>
      </w:r>
      <w:r>
        <w:t xml:space="preserve">the lower </w:t>
      </w:r>
      <w:r w:rsidR="00E315F9">
        <w:t>term</w:t>
      </w:r>
      <w:r w:rsidR="000A1EAF">
        <w:t xml:space="preserve"> </w:t>
      </w:r>
      <w:r>
        <w:t xml:space="preserve">or </w:t>
      </w:r>
      <w:r w:rsidR="00E315F9">
        <w:t xml:space="preserve">the </w:t>
      </w:r>
      <w:r>
        <w:t xml:space="preserve">middle term is the proper sentence on count 3 under section 1170(b), the court must ask the district </w:t>
      </w:r>
      <w:r>
        <w:lastRenderedPageBreak/>
        <w:t xml:space="preserve">attorney whether he </w:t>
      </w:r>
      <w:r w:rsidR="00B74764">
        <w:t>assents</w:t>
      </w:r>
      <w:r>
        <w:t xml:space="preserve"> to the reduced sentence.  If the district attorney agrees to the reduced sentence on count 3, the court must decide whether it approves the plea agreement with that reduction.  If the court approves the plea agreement with the reduced sentence on count 3, the court shall resentence </w:t>
      </w:r>
      <w:r w:rsidR="00A05377">
        <w:t>De La Rosa</w:t>
      </w:r>
      <w:r>
        <w:t xml:space="preserve"> accordingly.</w:t>
      </w:r>
    </w:p>
    <w:p w14:paraId="6AB75B04" w14:textId="71DE4F0E" w:rsidR="009E6101" w:rsidRDefault="009E6101" w:rsidP="009E6101">
      <w:bookmarkStart w:id="9" w:name="_Hlk152144238"/>
      <w:r>
        <w:t>On the other hand, if the district attorney does not agree to the reduced sentence on count 3</w:t>
      </w:r>
      <w:r w:rsidR="00DE6518">
        <w:t>,</w:t>
      </w:r>
      <w:r>
        <w:t xml:space="preserve"> or </w:t>
      </w:r>
      <w:r w:rsidR="00DE6518">
        <w:t xml:space="preserve">if </w:t>
      </w:r>
      <w:r>
        <w:t xml:space="preserve">the trial court </w:t>
      </w:r>
      <w:r w:rsidR="00FE4622">
        <w:t>does not</w:t>
      </w:r>
      <w:r>
        <w:t xml:space="preserve"> approve</w:t>
      </w:r>
      <w:r w:rsidR="00FE4622">
        <w:t xml:space="preserve"> </w:t>
      </w:r>
      <w:r>
        <w:t>the plea agreement with the reduced sentence, the court shall vacate the plea agreement</w:t>
      </w:r>
      <w:r w:rsidR="00DE6518">
        <w:t xml:space="preserve"> in </w:t>
      </w:r>
      <w:r w:rsidR="004625DC">
        <w:t>tot</w:t>
      </w:r>
      <w:bookmarkEnd w:id="9"/>
      <w:r w:rsidR="004625DC">
        <w:t>o</w:t>
      </w:r>
      <w:bookmarkStart w:id="10" w:name="_Hlk152144291"/>
      <w:r w:rsidR="00DE6518">
        <w:t xml:space="preserve"> (i.e., vacate De La Rosa’s no</w:t>
      </w:r>
      <w:r w:rsidR="00315DA2">
        <w:t xml:space="preserve"> </w:t>
      </w:r>
      <w:r w:rsidR="00DE6518">
        <w:t xml:space="preserve">contest pleas to counts 3 and 4) </w:t>
      </w:r>
      <w:r>
        <w:t xml:space="preserve">and place the parties </w:t>
      </w:r>
      <w:r w:rsidR="004625DC">
        <w:t xml:space="preserve">back </w:t>
      </w:r>
      <w:r>
        <w:t>into the position they occupied before they entered into the plea agreement on March 5, 2020.</w:t>
      </w:r>
      <w:r w:rsidR="00DE550E">
        <w:t xml:space="preserve">  </w:t>
      </w:r>
      <w:r w:rsidR="00DE550E" w:rsidRPr="00B96D8E">
        <w:t>(</w:t>
      </w:r>
      <w:r w:rsidR="00DE550E">
        <w:t xml:space="preserve">See </w:t>
      </w:r>
      <w:r w:rsidR="00DE550E" w:rsidRPr="00B96D8E">
        <w:rPr>
          <w:i/>
          <w:iCs/>
        </w:rPr>
        <w:t>Fox</w:t>
      </w:r>
      <w:r w:rsidR="00DE550E" w:rsidRPr="00B96D8E">
        <w:t xml:space="preserve">, </w:t>
      </w:r>
      <w:r w:rsidR="00DE550E" w:rsidRPr="00B96D8E">
        <w:rPr>
          <w:i/>
          <w:iCs/>
        </w:rPr>
        <w:t>supra</w:t>
      </w:r>
      <w:r w:rsidR="00DE550E" w:rsidRPr="00B96D8E">
        <w:t>, 90 Cal.App.5th at p. 835</w:t>
      </w:r>
      <w:r w:rsidR="00DE550E">
        <w:t xml:space="preserve">; </w:t>
      </w:r>
      <w:r w:rsidR="00DE550E" w:rsidRPr="00DE1AD5">
        <w:rPr>
          <w:i/>
          <w:iCs/>
        </w:rPr>
        <w:t>Todd</w:t>
      </w:r>
      <w:r w:rsidR="00DE550E" w:rsidRPr="005E6FAD">
        <w:t xml:space="preserve">, </w:t>
      </w:r>
      <w:r w:rsidR="00DE550E" w:rsidRPr="00DE1AD5">
        <w:rPr>
          <w:i/>
          <w:iCs/>
        </w:rPr>
        <w:t>supra</w:t>
      </w:r>
      <w:r w:rsidR="00DE550E" w:rsidRPr="005E6FAD">
        <w:t>, 88 Cal.App.5th at p</w:t>
      </w:r>
      <w:r w:rsidR="00DE550E">
        <w:t>p</w:t>
      </w:r>
      <w:r w:rsidR="00DE550E" w:rsidRPr="005E6FAD">
        <w:t>. 381</w:t>
      </w:r>
      <w:r w:rsidR="00DE550E">
        <w:t>–382</w:t>
      </w:r>
      <w:r w:rsidR="00DE550E" w:rsidRPr="00B96D8E">
        <w:t>.)</w:t>
      </w:r>
      <w:r w:rsidR="00DE550E">
        <w:t xml:space="preserve"> </w:t>
      </w:r>
      <w:r>
        <w:t xml:space="preserve"> </w:t>
      </w:r>
      <w:bookmarkEnd w:id="10"/>
    </w:p>
    <w:p w14:paraId="5C3F3641" w14:textId="4921E422" w:rsidR="00EC0BE8" w:rsidRDefault="000B230B" w:rsidP="00DA2A02">
      <w:r>
        <w:t>In his request for relief in this court</w:t>
      </w:r>
      <w:r w:rsidR="002233E7">
        <w:t xml:space="preserve">, </w:t>
      </w:r>
      <w:r w:rsidR="00A05377">
        <w:t>De La Rosa</w:t>
      </w:r>
      <w:r w:rsidR="001F7F42">
        <w:t xml:space="preserve"> </w:t>
      </w:r>
      <w:r w:rsidR="002233E7">
        <w:t>asks this court to</w:t>
      </w:r>
      <w:r w:rsidR="001F7F42">
        <w:t xml:space="preserve"> </w:t>
      </w:r>
      <w:r w:rsidR="00DE550E">
        <w:t xml:space="preserve">further </w:t>
      </w:r>
      <w:r w:rsidR="001F7F42">
        <w:t>“</w:t>
      </w:r>
      <w:proofErr w:type="gramStart"/>
      <w:r w:rsidR="001F7F42">
        <w:t>direct[</w:t>
      </w:r>
      <w:proofErr w:type="gramEnd"/>
      <w:r w:rsidR="001F7F42">
        <w:t xml:space="preserve">] that the prosecutor and trial court are precluded from imposing any new aggregate sentence of more than [eight] years.”  </w:t>
      </w:r>
      <w:r w:rsidR="003D4E06">
        <w:t>By contrast, t</w:t>
      </w:r>
      <w:r w:rsidR="001F7F42">
        <w:t xml:space="preserve">he Attorney General </w:t>
      </w:r>
      <w:r w:rsidR="003D4E06">
        <w:t>asserts</w:t>
      </w:r>
      <w:r w:rsidR="001F7F42">
        <w:t xml:space="preserve"> that if the district attorney </w:t>
      </w:r>
      <w:r w:rsidR="002233E7">
        <w:t xml:space="preserve">were to </w:t>
      </w:r>
      <w:r w:rsidR="001F7F42">
        <w:t xml:space="preserve">withdraw </w:t>
      </w:r>
      <w:r w:rsidR="007E6560">
        <w:t>his assent to</w:t>
      </w:r>
      <w:r w:rsidR="001F7F42">
        <w:t xml:space="preserve"> the plea</w:t>
      </w:r>
      <w:r w:rsidR="007E6560">
        <w:t xml:space="preserve"> bargain</w:t>
      </w:r>
      <w:r w:rsidR="001F7F42">
        <w:t xml:space="preserve">, “the parties would then be free to proceed as if no agreement had ever existed.”  </w:t>
      </w:r>
    </w:p>
    <w:p w14:paraId="38339E4F" w14:textId="2F254DD4" w:rsidR="001F2047" w:rsidRDefault="000317FB" w:rsidP="00DA2A02">
      <w:r>
        <w:t xml:space="preserve">Because it is </w:t>
      </w:r>
      <w:r w:rsidR="003D4E06">
        <w:t xml:space="preserve">currently </w:t>
      </w:r>
      <w:r>
        <w:t xml:space="preserve">uncertain whether the remand proceeding will result in </w:t>
      </w:r>
      <w:r w:rsidR="00274BCF">
        <w:t>vacatur</w:t>
      </w:r>
      <w:r w:rsidR="007E6560">
        <w:t xml:space="preserve"> of the plea agreement, w</w:t>
      </w:r>
      <w:r w:rsidR="001F7F42">
        <w:t xml:space="preserve">e decline to </w:t>
      </w:r>
      <w:r w:rsidR="007E6560">
        <w:t>decide whether</w:t>
      </w:r>
      <w:r w:rsidR="001F7F42">
        <w:t xml:space="preserve"> </w:t>
      </w:r>
      <w:r w:rsidR="00A05377">
        <w:t>De La Rosa</w:t>
      </w:r>
      <w:r w:rsidR="000D02FE">
        <w:t xml:space="preserve"> could be sentenced to a prison term greater than the aggregate</w:t>
      </w:r>
      <w:r w:rsidR="001F7F42">
        <w:t xml:space="preserve"> eight</w:t>
      </w:r>
      <w:r w:rsidR="000D02FE">
        <w:t>-</w:t>
      </w:r>
      <w:r w:rsidR="001F7F42">
        <w:t xml:space="preserve">year </w:t>
      </w:r>
      <w:r w:rsidR="000D02FE">
        <w:t>term agreed to in the original plea agreement</w:t>
      </w:r>
      <w:r w:rsidR="001F7F42">
        <w:t xml:space="preserve">.  </w:t>
      </w:r>
      <w:r w:rsidR="009C1DB0">
        <w:t xml:space="preserve">We </w:t>
      </w:r>
      <w:r w:rsidR="000D02FE">
        <w:t xml:space="preserve">leave that legal issue, should it arise, to the trial court for consideration in the first instance.  </w:t>
      </w:r>
      <w:r w:rsidR="009D4DF2">
        <w:t>W</w:t>
      </w:r>
      <w:r w:rsidR="000D02FE">
        <w:t xml:space="preserve">e </w:t>
      </w:r>
      <w:r w:rsidR="009C1DB0">
        <w:t>note</w:t>
      </w:r>
      <w:r w:rsidR="000D02FE">
        <w:t xml:space="preserve"> </w:t>
      </w:r>
      <w:r w:rsidR="003D4E06">
        <w:t xml:space="preserve">that </w:t>
      </w:r>
      <w:r w:rsidR="003D4E06" w:rsidRPr="003D4E06">
        <w:rPr>
          <w:i/>
          <w:iCs/>
        </w:rPr>
        <w:t>Fox</w:t>
      </w:r>
      <w:r w:rsidR="003D4E06">
        <w:t xml:space="preserve"> suggests a sentence greater than that stipulated to in </w:t>
      </w:r>
      <w:r w:rsidR="009A3557">
        <w:t>a</w:t>
      </w:r>
      <w:r w:rsidR="003D4E06">
        <w:t xml:space="preserve"> dissolved plea agreement </w:t>
      </w:r>
      <w:r w:rsidR="00EF10C8">
        <w:t>would be</w:t>
      </w:r>
      <w:r w:rsidR="003D4E06">
        <w:t xml:space="preserve"> </w:t>
      </w:r>
      <w:r w:rsidR="009D4DF2">
        <w:t>lawful</w:t>
      </w:r>
      <w:r w:rsidR="00A478C8">
        <w:t xml:space="preserve">.  That decision states, </w:t>
      </w:r>
      <w:r w:rsidR="009C1DB0">
        <w:t>“We may question the wisdom of [defendant</w:t>
      </w:r>
      <w:r w:rsidR="00815938">
        <w:t>]’</w:t>
      </w:r>
      <w:r w:rsidR="009C1DB0">
        <w:t>s desire to seek relief that is likely to upend the plea agreement, given he has already served several years of his sentence and faces an indeterminate sentence if the dismissed charges are reinstated, but it is ultimately his choice whether to do so.</w:t>
      </w:r>
      <w:r w:rsidR="00815938">
        <w:t>”  (</w:t>
      </w:r>
      <w:r w:rsidR="00815938" w:rsidRPr="00B96D8E">
        <w:rPr>
          <w:i/>
          <w:iCs/>
        </w:rPr>
        <w:t>Fox</w:t>
      </w:r>
      <w:r w:rsidR="00815938" w:rsidRPr="00B96D8E">
        <w:t xml:space="preserve">, </w:t>
      </w:r>
      <w:r w:rsidR="00815938" w:rsidRPr="00B96D8E">
        <w:rPr>
          <w:i/>
          <w:iCs/>
        </w:rPr>
        <w:t>supra</w:t>
      </w:r>
      <w:r w:rsidR="00815938" w:rsidRPr="00B96D8E">
        <w:t>, 90 Cal.App.5th at p.</w:t>
      </w:r>
      <w:r w:rsidR="00815938">
        <w:t> </w:t>
      </w:r>
      <w:r w:rsidR="009C1DB0">
        <w:t>835</w:t>
      </w:r>
      <w:r w:rsidR="00815938">
        <w:t>.)</w:t>
      </w:r>
    </w:p>
    <w:p w14:paraId="6247B772" w14:textId="5FBFF10F" w:rsidR="00B2435D" w:rsidRPr="001F2047" w:rsidRDefault="00B2435D" w:rsidP="00DA2A02">
      <w:r>
        <w:t xml:space="preserve">Given that the plea agreement </w:t>
      </w:r>
      <w:r w:rsidR="009D4DF2">
        <w:t xml:space="preserve">here </w:t>
      </w:r>
      <w:r>
        <w:t xml:space="preserve">guaranteed that De La Rosa would not serve an indeterminate life sentence, the facts to which De La Rosa previously stipulated involved </w:t>
      </w:r>
      <w:r>
        <w:lastRenderedPageBreak/>
        <w:t>him running down an unarmed man with a car resulting in serious injuries</w:t>
      </w:r>
      <w:r w:rsidR="009D4DF2">
        <w:t xml:space="preserve"> to the victim</w:t>
      </w:r>
      <w:r>
        <w:t xml:space="preserve">, and the events appear to have been at least partially </w:t>
      </w:r>
      <w:r w:rsidR="00862F7D">
        <w:t>recorded</w:t>
      </w:r>
      <w:r>
        <w:t xml:space="preserve"> on video, a similar cautionary statement appears appropriate here.  Nevertheless, we agree that De La Rosa has the right to be sentenced under the new procedures outlined in section 1170(b).</w:t>
      </w:r>
      <w:r w:rsidR="00DA736B">
        <w:t xml:space="preserve">  We leave an evaluation of the benefits and risks of this course of action to De La Rosa and his counsel.  </w:t>
      </w:r>
    </w:p>
    <w:p w14:paraId="2F4CFE6A" w14:textId="78F441C3" w:rsidR="00004477" w:rsidRDefault="00E3624E" w:rsidP="00752E03">
      <w:pPr>
        <w:pStyle w:val="Heading1"/>
      </w:pPr>
      <w:r>
        <w:t>III</w:t>
      </w:r>
      <w:r w:rsidR="00004477">
        <w:t xml:space="preserve">.  </w:t>
      </w:r>
      <w:r>
        <w:t>D</w:t>
      </w:r>
      <w:r w:rsidR="00004477">
        <w:t>isposition</w:t>
      </w:r>
    </w:p>
    <w:p w14:paraId="37C8E773" w14:textId="3439CA8A" w:rsidR="00004477" w:rsidRDefault="00F93A8B" w:rsidP="00C754A3">
      <w:pPr>
        <w:tabs>
          <w:tab w:val="clear" w:pos="720"/>
        </w:tabs>
        <w:spacing w:after="160" w:line="480" w:lineRule="exact"/>
      </w:pPr>
      <w:r w:rsidRPr="00F93A8B">
        <w:t>The</w:t>
      </w:r>
      <w:r>
        <w:t xml:space="preserve"> judgment is </w:t>
      </w:r>
      <w:proofErr w:type="gramStart"/>
      <w:r>
        <w:t>reversed</w:t>
      </w:r>
      <w:proofErr w:type="gramEnd"/>
      <w:r>
        <w:t xml:space="preserve"> and the</w:t>
      </w:r>
      <w:r w:rsidRPr="00F93A8B">
        <w:t xml:space="preserve"> matter is remanded for further proceedings consistent with this opinion. </w:t>
      </w:r>
      <w:r>
        <w:t xml:space="preserve"> </w:t>
      </w:r>
      <w:r w:rsidRPr="00F93A8B">
        <w:t xml:space="preserve">On remand, </w:t>
      </w:r>
      <w:r w:rsidR="00A05377">
        <w:t>De La Rosa</w:t>
      </w:r>
      <w:r w:rsidRPr="00F93A8B">
        <w:t xml:space="preserve"> may </w:t>
      </w:r>
      <w:r w:rsidR="00407C20">
        <w:t>waive or invoke the requirements</w:t>
      </w:r>
      <w:r w:rsidRPr="00F93A8B">
        <w:t xml:space="preserve"> </w:t>
      </w:r>
      <w:r w:rsidR="00867769">
        <w:t>of</w:t>
      </w:r>
      <w:r w:rsidRPr="00F93A8B">
        <w:t xml:space="preserve"> </w:t>
      </w:r>
      <w:r w:rsidR="00087E2F">
        <w:t xml:space="preserve">Penal Code section 1170, subdivision (b), as amended by </w:t>
      </w:r>
      <w:r w:rsidRPr="00F93A8B">
        <w:t>Senate Bill No.</w:t>
      </w:r>
      <w:r w:rsidR="00EE2700">
        <w:t> </w:t>
      </w:r>
      <w:r w:rsidRPr="00F93A8B">
        <w:t>567</w:t>
      </w:r>
      <w:r w:rsidR="00067125">
        <w:t xml:space="preserve"> </w:t>
      </w:r>
      <w:r w:rsidR="00067125" w:rsidRPr="00A4248E">
        <w:t>(2021-2022 Reg. Sess.)</w:t>
      </w:r>
      <w:r w:rsidR="00087E2F">
        <w:t>.</w:t>
      </w:r>
      <w:r w:rsidR="00157C2A">
        <w:t xml:space="preserve">  </w:t>
      </w:r>
      <w:r w:rsidR="00157C2A" w:rsidRPr="00157C2A">
        <w:t xml:space="preserve">If the trial court resentences </w:t>
      </w:r>
      <w:r w:rsidR="00157C2A">
        <w:t>De La Rosa</w:t>
      </w:r>
      <w:r w:rsidR="00157C2A" w:rsidRPr="00157C2A">
        <w:t xml:space="preserve"> without vacating his no</w:t>
      </w:r>
      <w:r w:rsidR="00315DA2">
        <w:t xml:space="preserve"> </w:t>
      </w:r>
      <w:r w:rsidR="00157C2A" w:rsidRPr="00157C2A">
        <w:t xml:space="preserve">contest pleas, the clerk of the court shall forward an amended abstract of judgment to the Department of Corrections and Rehabilitation.  </w:t>
      </w:r>
      <w:r w:rsidR="00157C2A">
        <w:t>De La Rosa</w:t>
      </w:r>
      <w:r w:rsidR="00157C2A" w:rsidRPr="00157C2A">
        <w:t>’s convictions are otherwise affirmed.</w:t>
      </w:r>
    </w:p>
    <w:p w14:paraId="3DAFC429" w14:textId="77777777" w:rsidR="00FE1CEF" w:rsidRDefault="00FE1CEF" w:rsidP="00C754A3">
      <w:pPr>
        <w:tabs>
          <w:tab w:val="clear" w:pos="720"/>
        </w:tabs>
        <w:spacing w:after="160" w:line="480" w:lineRule="exact"/>
        <w:sectPr w:rsidR="00FE1CEF" w:rsidSect="002D669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14:paraId="54508201" w14:textId="77777777" w:rsidR="00FE1CEF" w:rsidRDefault="00FE1CEF" w:rsidP="00FE1CEF">
      <w:pPr>
        <w:spacing w:line="240" w:lineRule="auto"/>
      </w:pPr>
      <w:bookmarkStart w:id="11" w:name="_Hlk9420683"/>
    </w:p>
    <w:p w14:paraId="2F9848D1" w14:textId="77777777" w:rsidR="00FE1CEF" w:rsidRDefault="00FE1CEF" w:rsidP="00FE1CEF">
      <w:pPr>
        <w:spacing w:line="240" w:lineRule="auto"/>
      </w:pPr>
    </w:p>
    <w:p w14:paraId="1D9C1629" w14:textId="77777777" w:rsidR="00FE1CEF" w:rsidRDefault="00FE1CEF" w:rsidP="00FE1CEF">
      <w:pPr>
        <w:spacing w:line="240" w:lineRule="auto"/>
        <w:ind w:firstLine="0"/>
      </w:pPr>
    </w:p>
    <w:p w14:paraId="080ADA7C" w14:textId="77777777" w:rsidR="00FE1CEF" w:rsidRDefault="00FE1CEF" w:rsidP="00FE1CEF">
      <w:pPr>
        <w:spacing w:line="240" w:lineRule="auto"/>
      </w:pPr>
    </w:p>
    <w:p w14:paraId="236C8919" w14:textId="560D8740" w:rsidR="00FE1CEF" w:rsidRPr="007A096D" w:rsidRDefault="00FE1CEF" w:rsidP="00FE1CEF">
      <w:pPr>
        <w:spacing w:line="240" w:lineRule="auto"/>
      </w:pPr>
      <w:r w:rsidRPr="007A096D">
        <w:tab/>
      </w:r>
      <w:r w:rsidRPr="007A096D">
        <w:tab/>
      </w:r>
      <w:r w:rsidRPr="007A096D">
        <w:tab/>
      </w:r>
      <w:r w:rsidRPr="007A096D">
        <w:tab/>
      </w:r>
      <w:r w:rsidRPr="007A096D">
        <w:tab/>
        <w:t>______________________________________</w:t>
      </w:r>
    </w:p>
    <w:p w14:paraId="15D44F33" w14:textId="600A793D" w:rsidR="00FE1CEF" w:rsidRPr="007A096D" w:rsidRDefault="00FE1CEF" w:rsidP="00FE1CEF">
      <w:pPr>
        <w:spacing w:line="240" w:lineRule="auto"/>
      </w:pPr>
      <w:r w:rsidRPr="007A096D">
        <w:tab/>
      </w:r>
      <w:r w:rsidRPr="007A096D">
        <w:tab/>
      </w:r>
      <w:r w:rsidRPr="007A096D">
        <w:tab/>
      </w:r>
      <w:r w:rsidRPr="007A096D">
        <w:tab/>
      </w:r>
      <w:r w:rsidRPr="007A096D">
        <w:tab/>
      </w:r>
      <w:r w:rsidRPr="007A096D">
        <w:tab/>
      </w:r>
      <w:r w:rsidRPr="007A096D">
        <w:tab/>
        <w:t>D</w:t>
      </w:r>
      <w:r>
        <w:t xml:space="preserve">anner, </w:t>
      </w:r>
      <w:r w:rsidRPr="007A096D">
        <w:t>J</w:t>
      </w:r>
      <w:r>
        <w:t>.</w:t>
      </w:r>
    </w:p>
    <w:p w14:paraId="0CEF21D2" w14:textId="77777777" w:rsidR="00FE1CEF" w:rsidRPr="007A096D" w:rsidRDefault="00FE1CEF" w:rsidP="00FE1CEF">
      <w:pPr>
        <w:spacing w:line="240" w:lineRule="auto"/>
      </w:pPr>
    </w:p>
    <w:p w14:paraId="4CF13FA8" w14:textId="77777777" w:rsidR="00FE1CEF" w:rsidRPr="007A096D" w:rsidRDefault="00FE1CEF" w:rsidP="00FE1CEF">
      <w:pPr>
        <w:spacing w:line="240" w:lineRule="auto"/>
      </w:pPr>
    </w:p>
    <w:p w14:paraId="5E23E15D" w14:textId="77777777" w:rsidR="00FE1CEF" w:rsidRPr="007A096D" w:rsidRDefault="00FE1CEF" w:rsidP="00FE1CEF">
      <w:pPr>
        <w:spacing w:line="240" w:lineRule="auto"/>
      </w:pPr>
    </w:p>
    <w:p w14:paraId="2189A054" w14:textId="77777777" w:rsidR="00FE1CEF" w:rsidRPr="007A096D" w:rsidRDefault="00FE1CEF" w:rsidP="00FE1CEF">
      <w:pPr>
        <w:spacing w:line="240" w:lineRule="auto"/>
      </w:pPr>
    </w:p>
    <w:p w14:paraId="37D86D70" w14:textId="77777777" w:rsidR="00FE1CEF" w:rsidRDefault="00FE1CEF" w:rsidP="00FE1CEF">
      <w:pPr>
        <w:spacing w:line="240" w:lineRule="auto"/>
      </w:pPr>
    </w:p>
    <w:p w14:paraId="04EB4100" w14:textId="77777777" w:rsidR="00FE1CEF" w:rsidRPr="007A096D" w:rsidRDefault="00FE1CEF" w:rsidP="00FE1CEF">
      <w:pPr>
        <w:spacing w:line="240" w:lineRule="auto"/>
      </w:pPr>
    </w:p>
    <w:p w14:paraId="50295246" w14:textId="77777777" w:rsidR="00FE1CEF" w:rsidRPr="007A096D" w:rsidRDefault="00FE1CEF" w:rsidP="00FE1CEF">
      <w:pPr>
        <w:spacing w:line="240" w:lineRule="auto"/>
      </w:pPr>
      <w:r>
        <w:t>I</w:t>
      </w:r>
      <w:r w:rsidRPr="007A096D">
        <w:t xml:space="preserve"> CONCUR:</w:t>
      </w:r>
    </w:p>
    <w:p w14:paraId="5C4626E3" w14:textId="77777777" w:rsidR="00FE1CEF" w:rsidRDefault="00FE1CEF" w:rsidP="00FE1CEF">
      <w:pPr>
        <w:spacing w:line="240" w:lineRule="auto"/>
      </w:pPr>
    </w:p>
    <w:p w14:paraId="0A4EBC0B" w14:textId="77777777" w:rsidR="00FE1CEF" w:rsidRPr="007A096D" w:rsidRDefault="00FE1CEF" w:rsidP="00FE1CEF">
      <w:pPr>
        <w:spacing w:line="240" w:lineRule="auto"/>
      </w:pPr>
    </w:p>
    <w:p w14:paraId="0990A2DA" w14:textId="32913E56" w:rsidR="00FE1CEF" w:rsidRDefault="00FE1CEF" w:rsidP="00FE1CEF">
      <w:pPr>
        <w:spacing w:line="240" w:lineRule="auto"/>
      </w:pPr>
    </w:p>
    <w:p w14:paraId="0911391F" w14:textId="74C90B00" w:rsidR="00FE1CEF" w:rsidRDefault="00FE1CEF" w:rsidP="00FE1CEF">
      <w:pPr>
        <w:spacing w:line="240" w:lineRule="auto"/>
      </w:pPr>
    </w:p>
    <w:p w14:paraId="5FB7F20D" w14:textId="77777777" w:rsidR="00FE1CEF" w:rsidRDefault="00FE1CEF" w:rsidP="00FE1CEF">
      <w:pPr>
        <w:spacing w:line="240" w:lineRule="auto"/>
      </w:pPr>
    </w:p>
    <w:p w14:paraId="0CC44929" w14:textId="77777777" w:rsidR="00FE1CEF" w:rsidRPr="007A096D" w:rsidRDefault="00FE1CEF" w:rsidP="00FE1CEF">
      <w:pPr>
        <w:spacing w:line="240" w:lineRule="auto"/>
      </w:pPr>
    </w:p>
    <w:p w14:paraId="613753B4" w14:textId="77777777" w:rsidR="00FE1CEF" w:rsidRPr="007A096D" w:rsidRDefault="00FE1CEF" w:rsidP="00FE1CEF">
      <w:pPr>
        <w:spacing w:line="240" w:lineRule="auto"/>
      </w:pPr>
      <w:r w:rsidRPr="007A096D">
        <w:t>____________________________________</w:t>
      </w:r>
    </w:p>
    <w:p w14:paraId="229307DE" w14:textId="77777777" w:rsidR="00FE1CEF" w:rsidRPr="007A096D" w:rsidRDefault="00FE1CEF" w:rsidP="00FE1CEF">
      <w:pPr>
        <w:spacing w:line="240" w:lineRule="auto"/>
      </w:pPr>
      <w:r>
        <w:t>Adams,</w:t>
      </w:r>
      <w:r w:rsidRPr="007A096D">
        <w:t xml:space="preserve"> J.</w:t>
      </w:r>
      <w:r>
        <w:rPr>
          <w:rStyle w:val="FootnoteReference"/>
          <w:rFonts w:eastAsiaTheme="majorEastAsia"/>
        </w:rPr>
        <w:footnoteReference w:customMarkFollows="1" w:id="17"/>
        <w:t>*</w:t>
      </w:r>
    </w:p>
    <w:p w14:paraId="7DA1A391" w14:textId="77777777" w:rsidR="00FE1CEF" w:rsidRPr="007A096D" w:rsidRDefault="00FE1CEF" w:rsidP="00FE1CEF">
      <w:pPr>
        <w:spacing w:line="240" w:lineRule="auto"/>
      </w:pPr>
    </w:p>
    <w:p w14:paraId="3D0CDC4D" w14:textId="77777777" w:rsidR="00FE1CEF" w:rsidRPr="007A096D" w:rsidRDefault="00FE1CEF" w:rsidP="00FE1CEF">
      <w:pPr>
        <w:spacing w:line="240" w:lineRule="auto"/>
      </w:pPr>
    </w:p>
    <w:p w14:paraId="316C3BBB" w14:textId="77777777" w:rsidR="00FE1CEF" w:rsidRPr="007A096D" w:rsidRDefault="00FE1CEF" w:rsidP="00FE1CEF">
      <w:pPr>
        <w:pStyle w:val="Footer"/>
      </w:pPr>
    </w:p>
    <w:p w14:paraId="203C52E5" w14:textId="77777777" w:rsidR="00FE1CEF" w:rsidRPr="007A096D" w:rsidRDefault="00FE1CEF" w:rsidP="00FE1CEF">
      <w:pPr>
        <w:spacing w:line="240" w:lineRule="auto"/>
      </w:pPr>
    </w:p>
    <w:p w14:paraId="4544EC7D" w14:textId="77777777" w:rsidR="00FE1CEF" w:rsidRPr="007A096D" w:rsidRDefault="00FE1CEF" w:rsidP="00FE1CEF">
      <w:pPr>
        <w:spacing w:line="240" w:lineRule="auto"/>
      </w:pPr>
    </w:p>
    <w:p w14:paraId="00315453" w14:textId="77777777" w:rsidR="00FE1CEF" w:rsidRDefault="00FE1CEF" w:rsidP="00FE1CEF"/>
    <w:p w14:paraId="7F7CB09E" w14:textId="77777777" w:rsidR="00FE1CEF" w:rsidRDefault="00FE1CEF" w:rsidP="00FE1CEF">
      <w:pPr>
        <w:rPr>
          <w:b/>
        </w:rPr>
      </w:pPr>
    </w:p>
    <w:p w14:paraId="777F208D" w14:textId="77777777" w:rsidR="00FE1CEF" w:rsidRDefault="00FE1CEF" w:rsidP="00FE1CEF">
      <w:pPr>
        <w:rPr>
          <w:b/>
        </w:rPr>
      </w:pPr>
    </w:p>
    <w:p w14:paraId="6310B0CA" w14:textId="77777777" w:rsidR="00FE1CEF" w:rsidRDefault="00FE1CEF" w:rsidP="00FE1CEF">
      <w:pPr>
        <w:rPr>
          <w:b/>
        </w:rPr>
      </w:pPr>
    </w:p>
    <w:p w14:paraId="125B210F" w14:textId="77777777" w:rsidR="00FE1CEF" w:rsidRDefault="00FE1CEF" w:rsidP="00FE1CEF">
      <w:pPr>
        <w:rPr>
          <w:b/>
        </w:rPr>
      </w:pPr>
    </w:p>
    <w:p w14:paraId="4D0FF099" w14:textId="77777777" w:rsidR="00FE1CEF" w:rsidRDefault="00FE1CEF" w:rsidP="00FE1CEF">
      <w:pPr>
        <w:rPr>
          <w:b/>
        </w:rPr>
      </w:pPr>
    </w:p>
    <w:p w14:paraId="778E079A" w14:textId="77777777" w:rsidR="00FE1CEF" w:rsidRDefault="00FE1CEF" w:rsidP="00FE1CEF">
      <w:pPr>
        <w:spacing w:line="240" w:lineRule="auto"/>
        <w:rPr>
          <w:b/>
        </w:rPr>
      </w:pPr>
      <w:r>
        <w:rPr>
          <w:b/>
        </w:rPr>
        <w:t>H049363</w:t>
      </w:r>
    </w:p>
    <w:bookmarkEnd w:id="11"/>
    <w:p w14:paraId="1EC69FF9" w14:textId="77777777" w:rsidR="00FE1CEF" w:rsidRDefault="00FE1CEF" w:rsidP="00FE1CEF">
      <w:pPr>
        <w:autoSpaceDE w:val="0"/>
        <w:autoSpaceDN w:val="0"/>
        <w:adjustRightInd w:val="0"/>
        <w:spacing w:line="240" w:lineRule="auto"/>
        <w:rPr>
          <w:b/>
          <w:bCs/>
          <w:i/>
          <w:iCs/>
        </w:rPr>
      </w:pPr>
      <w:r>
        <w:rPr>
          <w:b/>
          <w:bCs/>
          <w:i/>
          <w:iCs/>
        </w:rPr>
        <w:t xml:space="preserve">People v. De La Rosa </w:t>
      </w:r>
      <w:proofErr w:type="spellStart"/>
      <w:r>
        <w:rPr>
          <w:b/>
          <w:bCs/>
          <w:i/>
          <w:iCs/>
        </w:rPr>
        <w:t>Burgara</w:t>
      </w:r>
      <w:proofErr w:type="spellEnd"/>
    </w:p>
    <w:p w14:paraId="3FF45114" w14:textId="77777777" w:rsidR="00056D46" w:rsidRDefault="00056D46" w:rsidP="00C754A3">
      <w:pPr>
        <w:tabs>
          <w:tab w:val="clear" w:pos="720"/>
        </w:tabs>
        <w:spacing w:after="160" w:line="480" w:lineRule="exact"/>
        <w:sectPr w:rsidR="00056D46" w:rsidSect="00FE1CEF">
          <w:pgSz w:w="12240" w:h="15840"/>
          <w:pgMar w:top="1440" w:right="1440" w:bottom="1440" w:left="1440" w:header="720" w:footer="720" w:gutter="0"/>
          <w:cols w:space="720"/>
          <w:titlePg/>
          <w:docGrid w:linePitch="360"/>
        </w:sectPr>
      </w:pPr>
    </w:p>
    <w:p w14:paraId="7DC7D4E6" w14:textId="3D6A2F6C" w:rsidR="00056D46" w:rsidRDefault="00056D46" w:rsidP="00056D46">
      <w:pPr>
        <w:tabs>
          <w:tab w:val="left" w:pos="2385"/>
        </w:tabs>
      </w:pPr>
      <w:proofErr w:type="spellStart"/>
      <w:r w:rsidRPr="0064664A">
        <w:lastRenderedPageBreak/>
        <w:t>BAM</w:t>
      </w:r>
      <w:r>
        <w:t>ATTRE</w:t>
      </w:r>
      <w:proofErr w:type="spellEnd"/>
      <w:r>
        <w:t xml:space="preserve">-MANOUKIAN, </w:t>
      </w:r>
      <w:r w:rsidR="00441801">
        <w:t xml:space="preserve">Acting P. </w:t>
      </w:r>
      <w:r>
        <w:t>J., Concurring.</w:t>
      </w:r>
    </w:p>
    <w:p w14:paraId="763F7F47" w14:textId="77777777" w:rsidR="00056D46" w:rsidRDefault="00056D46" w:rsidP="00056D46">
      <w:pPr>
        <w:rPr>
          <w:rFonts w:asciiTheme="minorHAnsi" w:hAnsiTheme="minorHAnsi" w:cstheme="minorHAnsi"/>
          <w:bCs/>
        </w:rPr>
        <w:sectPr w:rsidR="00056D46" w:rsidSect="008A27B4">
          <w:footerReference w:type="even" r:id="rId13"/>
          <w:footerReference w:type="default" r:id="rId14"/>
          <w:pgSz w:w="12240" w:h="15840" w:code="1"/>
          <w:pgMar w:top="1440" w:right="1440" w:bottom="1440" w:left="1440" w:header="720" w:footer="720" w:gutter="0"/>
          <w:cols w:space="720"/>
          <w:titlePg/>
          <w:docGrid w:linePitch="354"/>
        </w:sectPr>
      </w:pPr>
      <w:r w:rsidRPr="00056D46">
        <w:t xml:space="preserve">While we await the California Supreme Court’s decision in </w:t>
      </w:r>
      <w:r w:rsidRPr="00056D46">
        <w:rPr>
          <w:i/>
          <w:iCs/>
        </w:rPr>
        <w:t>People v. Mitchell</w:t>
      </w:r>
      <w:r w:rsidRPr="00056D46">
        <w:t xml:space="preserve"> </w:t>
      </w:r>
      <w:r w:rsidRPr="00056D46">
        <w:rPr>
          <w:bCs/>
        </w:rPr>
        <w:t xml:space="preserve">(2022) 83 Cal.App.5th 1051, review granted December 14, 2022, S277314, I concur in the judgment based on the California Supreme Court’s guidance in </w:t>
      </w:r>
      <w:r w:rsidRPr="00056D46">
        <w:rPr>
          <w:bCs/>
          <w:i/>
          <w:iCs/>
        </w:rPr>
        <w:t>People v. Stamps</w:t>
      </w:r>
      <w:r w:rsidRPr="00056D46">
        <w:rPr>
          <w:bCs/>
        </w:rPr>
        <w:t xml:space="preserve"> (2020) 9 Cal.5th 685 (</w:t>
      </w:r>
      <w:r w:rsidRPr="00056D46">
        <w:rPr>
          <w:bCs/>
          <w:i/>
          <w:iCs/>
        </w:rPr>
        <w:t>Stamps</w:t>
      </w:r>
      <w:r w:rsidRPr="00056D46">
        <w:rPr>
          <w:bCs/>
        </w:rPr>
        <w:t xml:space="preserve">).  (See </w:t>
      </w:r>
      <w:r w:rsidRPr="00056D46">
        <w:rPr>
          <w:bCs/>
          <w:i/>
          <w:iCs/>
        </w:rPr>
        <w:t>People v. Todd</w:t>
      </w:r>
      <w:r w:rsidRPr="00056D46">
        <w:rPr>
          <w:bCs/>
        </w:rPr>
        <w:t xml:space="preserve"> (2023) 88 Cal.App.5th 373, 380 (</w:t>
      </w:r>
      <w:r w:rsidRPr="00056D46">
        <w:rPr>
          <w:bCs/>
          <w:i/>
          <w:iCs/>
        </w:rPr>
        <w:t>Todd</w:t>
      </w:r>
      <w:r w:rsidRPr="00056D46">
        <w:rPr>
          <w:bCs/>
        </w:rPr>
        <w:t xml:space="preserve">) [finding </w:t>
      </w:r>
      <w:r w:rsidRPr="00056D46">
        <w:rPr>
          <w:bCs/>
          <w:i/>
          <w:iCs/>
        </w:rPr>
        <w:t>Stamps</w:t>
      </w:r>
      <w:r w:rsidRPr="00056D46">
        <w:rPr>
          <w:bCs/>
        </w:rPr>
        <w:t xml:space="preserve"> “instructive” in concluding that a defendant sentenced under a plea agreement was entitled to remand for resentencing under amended Penal Code section 1170, subdivision (b)]; </w:t>
      </w:r>
      <w:r w:rsidRPr="00056D46">
        <w:rPr>
          <w:bCs/>
          <w:i/>
          <w:iCs/>
        </w:rPr>
        <w:t>People v. Fox</w:t>
      </w:r>
      <w:r w:rsidRPr="00056D46">
        <w:rPr>
          <w:bCs/>
        </w:rPr>
        <w:t xml:space="preserve"> (2023) 90 Cal.App.5th 826, 833 [“We conclude that </w:t>
      </w:r>
      <w:r w:rsidRPr="00056D46">
        <w:rPr>
          <w:bCs/>
          <w:i/>
          <w:iCs/>
        </w:rPr>
        <w:t>Todd</w:t>
      </w:r>
      <w:r w:rsidRPr="00056D46">
        <w:rPr>
          <w:bCs/>
        </w:rPr>
        <w:t xml:space="preserve">’s holding is compelled by </w:t>
      </w:r>
      <w:r w:rsidRPr="00056D46">
        <w:rPr>
          <w:bCs/>
          <w:i/>
          <w:iCs/>
        </w:rPr>
        <w:t>Stamps</w:t>
      </w:r>
      <w:r w:rsidRPr="00056D46">
        <w:rPr>
          <w:bCs/>
        </w:rPr>
        <w:t xml:space="preserve">”]; </w:t>
      </w:r>
      <w:r w:rsidRPr="00056D46">
        <w:rPr>
          <w:bCs/>
          <w:i/>
          <w:iCs/>
        </w:rPr>
        <w:t>Auto Equity Sales, Inc. v. Superior Court</w:t>
      </w:r>
      <w:r w:rsidRPr="00056D46">
        <w:rPr>
          <w:bCs/>
        </w:rPr>
        <w:t xml:space="preserve"> </w:t>
      </w:r>
      <w:r w:rsidRPr="00056D46">
        <w:t>(1962) 57 Cal.2d 450, 455 [d</w:t>
      </w:r>
      <w:r w:rsidRPr="00056D46">
        <w:rPr>
          <w:bCs/>
        </w:rPr>
        <w:t>ecisions of the California Supreme Court are binding on this court].</w:t>
      </w:r>
      <w:r>
        <w:rPr>
          <w:rFonts w:asciiTheme="minorHAnsi" w:hAnsiTheme="minorHAnsi" w:cstheme="minorHAnsi"/>
          <w:bCs/>
        </w:rPr>
        <w:t>)</w:t>
      </w:r>
    </w:p>
    <w:p w14:paraId="0CA448E2" w14:textId="77777777" w:rsidR="00056D46" w:rsidRDefault="00056D46" w:rsidP="00056D46">
      <w:pPr>
        <w:pStyle w:val="Footer"/>
        <w:tabs>
          <w:tab w:val="left" w:pos="720"/>
        </w:tabs>
      </w:pPr>
    </w:p>
    <w:p w14:paraId="6D365A0D" w14:textId="77777777" w:rsidR="00056D46" w:rsidRPr="007A096D" w:rsidRDefault="00056D46" w:rsidP="00056D46"/>
    <w:p w14:paraId="59298647" w14:textId="77777777" w:rsidR="00056D46" w:rsidRPr="007A096D" w:rsidRDefault="00056D46" w:rsidP="00056D46"/>
    <w:p w14:paraId="29113ED1" w14:textId="559B7FBF" w:rsidR="00056D46" w:rsidRPr="007A096D" w:rsidRDefault="00056D46" w:rsidP="00056D46">
      <w:pPr>
        <w:spacing w:line="240" w:lineRule="auto"/>
      </w:pPr>
      <w:r>
        <w:tab/>
      </w:r>
      <w:r>
        <w:tab/>
      </w:r>
      <w:r>
        <w:tab/>
      </w:r>
      <w:r w:rsidRPr="007A096D">
        <w:t>____________________________________</w:t>
      </w:r>
    </w:p>
    <w:p w14:paraId="15A3966B" w14:textId="2DAA18A1" w:rsidR="00056D46" w:rsidRPr="007A096D" w:rsidRDefault="00056D46" w:rsidP="00056D46">
      <w:pPr>
        <w:spacing w:line="240" w:lineRule="auto"/>
      </w:pPr>
      <w:r>
        <w:tab/>
      </w:r>
      <w:r>
        <w:tab/>
      </w:r>
      <w:r>
        <w:tab/>
      </w:r>
      <w:proofErr w:type="spellStart"/>
      <w:r>
        <w:t>BAMATTRE</w:t>
      </w:r>
      <w:proofErr w:type="spellEnd"/>
      <w:r>
        <w:t>-MANOUKIAN, ACTING P.</w:t>
      </w:r>
      <w:r w:rsidR="00441801">
        <w:t xml:space="preserve"> </w:t>
      </w:r>
      <w:r w:rsidRPr="007A096D">
        <w:t>J.</w:t>
      </w:r>
    </w:p>
    <w:p w14:paraId="158CB097" w14:textId="793E700F" w:rsidR="00056D46" w:rsidRDefault="00056D46" w:rsidP="00056D46">
      <w:pPr>
        <w:pStyle w:val="Footer"/>
        <w:tabs>
          <w:tab w:val="left" w:pos="720"/>
        </w:tabs>
      </w:pPr>
    </w:p>
    <w:p w14:paraId="3D0B82A2" w14:textId="77777777" w:rsidR="00056D46" w:rsidRDefault="00056D46" w:rsidP="00056D46">
      <w:pPr>
        <w:spacing w:line="240" w:lineRule="auto"/>
      </w:pPr>
    </w:p>
    <w:p w14:paraId="7D9F62C8" w14:textId="77777777" w:rsidR="00056D46" w:rsidRDefault="00056D46" w:rsidP="00056D46">
      <w:pPr>
        <w:spacing w:line="240" w:lineRule="auto"/>
      </w:pPr>
    </w:p>
    <w:p w14:paraId="669D7C01" w14:textId="77777777" w:rsidR="00056D46" w:rsidRDefault="00056D46" w:rsidP="00056D46">
      <w:pPr>
        <w:spacing w:line="240" w:lineRule="auto"/>
      </w:pPr>
    </w:p>
    <w:p w14:paraId="42AB1B30" w14:textId="77777777" w:rsidR="00056D46" w:rsidRDefault="00056D46" w:rsidP="00056D46">
      <w:pPr>
        <w:spacing w:line="240" w:lineRule="auto"/>
      </w:pPr>
    </w:p>
    <w:p w14:paraId="393EDEB3" w14:textId="77777777" w:rsidR="00056D46" w:rsidRDefault="00056D46" w:rsidP="00056D46">
      <w:pPr>
        <w:spacing w:line="240" w:lineRule="auto"/>
      </w:pPr>
    </w:p>
    <w:p w14:paraId="3BF23FD6" w14:textId="77777777" w:rsidR="00056D46" w:rsidRDefault="00056D46" w:rsidP="00056D46">
      <w:pPr>
        <w:spacing w:line="240" w:lineRule="auto"/>
      </w:pPr>
    </w:p>
    <w:p w14:paraId="5787C12B" w14:textId="77777777" w:rsidR="00056D46" w:rsidRDefault="00056D46" w:rsidP="00056D46">
      <w:pPr>
        <w:spacing w:line="240" w:lineRule="auto"/>
      </w:pPr>
    </w:p>
    <w:p w14:paraId="0E0A72F4" w14:textId="77777777" w:rsidR="00056D46" w:rsidRDefault="00056D46" w:rsidP="00056D46">
      <w:pPr>
        <w:spacing w:line="240" w:lineRule="auto"/>
      </w:pPr>
    </w:p>
    <w:p w14:paraId="41E8B66F" w14:textId="77777777" w:rsidR="00056D46" w:rsidRDefault="00056D46" w:rsidP="00056D46">
      <w:pPr>
        <w:spacing w:line="240" w:lineRule="auto"/>
      </w:pPr>
    </w:p>
    <w:p w14:paraId="17AB9838" w14:textId="77777777" w:rsidR="00056D46" w:rsidRDefault="00056D46" w:rsidP="00056D46">
      <w:pPr>
        <w:spacing w:line="240" w:lineRule="auto"/>
      </w:pPr>
    </w:p>
    <w:p w14:paraId="2CFB524B" w14:textId="77777777" w:rsidR="00056D46" w:rsidRDefault="00056D46" w:rsidP="00056D46">
      <w:pPr>
        <w:spacing w:line="240" w:lineRule="auto"/>
      </w:pPr>
    </w:p>
    <w:p w14:paraId="4090D8B2" w14:textId="77777777" w:rsidR="00056D46" w:rsidRDefault="00056D46" w:rsidP="00056D46">
      <w:pPr>
        <w:spacing w:line="240" w:lineRule="auto"/>
      </w:pPr>
    </w:p>
    <w:p w14:paraId="0FD5E927" w14:textId="77777777" w:rsidR="00056D46" w:rsidRPr="0004568C" w:rsidRDefault="00056D46" w:rsidP="00056D46">
      <w:pPr>
        <w:spacing w:line="240" w:lineRule="auto"/>
        <w:rPr>
          <w:u w:val="single"/>
        </w:rPr>
      </w:pPr>
    </w:p>
    <w:p w14:paraId="1C5E3165" w14:textId="77777777" w:rsidR="00056D46" w:rsidRDefault="00056D46" w:rsidP="00056D46">
      <w:pPr>
        <w:spacing w:line="240" w:lineRule="auto"/>
      </w:pPr>
    </w:p>
    <w:p w14:paraId="6499BA51" w14:textId="77777777" w:rsidR="00056D46" w:rsidRDefault="00056D46" w:rsidP="00056D46">
      <w:pPr>
        <w:spacing w:line="240" w:lineRule="auto"/>
      </w:pPr>
    </w:p>
    <w:p w14:paraId="788DB254" w14:textId="77777777" w:rsidR="00056D46" w:rsidRDefault="00056D46" w:rsidP="00056D46">
      <w:pPr>
        <w:spacing w:line="240" w:lineRule="auto"/>
      </w:pPr>
    </w:p>
    <w:p w14:paraId="6EFF38D9" w14:textId="77777777" w:rsidR="00056D46" w:rsidRDefault="00056D46" w:rsidP="00056D46">
      <w:pPr>
        <w:spacing w:line="240" w:lineRule="auto"/>
      </w:pPr>
    </w:p>
    <w:p w14:paraId="5034D23E" w14:textId="77777777" w:rsidR="00056D46" w:rsidRDefault="00056D46" w:rsidP="00056D46">
      <w:pPr>
        <w:spacing w:line="240" w:lineRule="auto"/>
      </w:pPr>
    </w:p>
    <w:p w14:paraId="157286A4" w14:textId="77777777" w:rsidR="00056D46" w:rsidRDefault="00056D46" w:rsidP="00056D46">
      <w:pPr>
        <w:spacing w:line="240" w:lineRule="auto"/>
      </w:pPr>
    </w:p>
    <w:p w14:paraId="65A40D8E" w14:textId="77777777" w:rsidR="00056D46" w:rsidRDefault="00056D46" w:rsidP="00056D46">
      <w:pPr>
        <w:spacing w:line="240" w:lineRule="auto"/>
      </w:pPr>
    </w:p>
    <w:p w14:paraId="61A8E177" w14:textId="77777777" w:rsidR="00056D46" w:rsidRDefault="00056D46" w:rsidP="00056D46">
      <w:pPr>
        <w:spacing w:line="240" w:lineRule="auto"/>
        <w:rPr>
          <w:u w:val="single"/>
        </w:rPr>
      </w:pPr>
    </w:p>
    <w:p w14:paraId="26DE8D1D" w14:textId="77777777" w:rsidR="00056D46" w:rsidRDefault="00056D46" w:rsidP="00056D46">
      <w:pPr>
        <w:spacing w:line="240" w:lineRule="auto"/>
      </w:pPr>
    </w:p>
    <w:p w14:paraId="42D8672E" w14:textId="77777777" w:rsidR="00056D46" w:rsidRDefault="00056D46" w:rsidP="00056D46">
      <w:pPr>
        <w:spacing w:line="240" w:lineRule="auto"/>
      </w:pPr>
    </w:p>
    <w:p w14:paraId="02FB1ACB" w14:textId="77777777" w:rsidR="00056D46" w:rsidRDefault="00056D46" w:rsidP="00056D46">
      <w:pPr>
        <w:spacing w:line="240" w:lineRule="auto"/>
      </w:pPr>
    </w:p>
    <w:p w14:paraId="763F915E" w14:textId="77777777" w:rsidR="00056D46" w:rsidRDefault="00056D46" w:rsidP="00056D46">
      <w:pPr>
        <w:spacing w:line="240" w:lineRule="auto"/>
      </w:pPr>
    </w:p>
    <w:p w14:paraId="7FB8C91E" w14:textId="77777777" w:rsidR="00056D46" w:rsidRDefault="00056D46" w:rsidP="00056D46">
      <w:pPr>
        <w:spacing w:line="240" w:lineRule="auto"/>
      </w:pPr>
    </w:p>
    <w:p w14:paraId="6F08927C" w14:textId="77777777" w:rsidR="00056D46" w:rsidRDefault="00056D46" w:rsidP="00056D46">
      <w:pPr>
        <w:spacing w:line="240" w:lineRule="auto"/>
      </w:pPr>
    </w:p>
    <w:p w14:paraId="36E8925D" w14:textId="77777777" w:rsidR="00056D46" w:rsidRDefault="00056D46" w:rsidP="00056D46">
      <w:pPr>
        <w:spacing w:line="240" w:lineRule="auto"/>
      </w:pPr>
    </w:p>
    <w:p w14:paraId="1DE2DEDE" w14:textId="77777777" w:rsidR="00056D46" w:rsidRDefault="00056D46" w:rsidP="00056D46">
      <w:pPr>
        <w:spacing w:line="240" w:lineRule="auto"/>
        <w:ind w:firstLine="0"/>
      </w:pPr>
    </w:p>
    <w:p w14:paraId="238CAEAF" w14:textId="77777777" w:rsidR="00056D46" w:rsidRDefault="00056D46" w:rsidP="00056D46">
      <w:pPr>
        <w:spacing w:line="240" w:lineRule="auto"/>
        <w:rPr>
          <w:b/>
          <w:i/>
        </w:rPr>
      </w:pPr>
      <w:r>
        <w:rPr>
          <w:b/>
          <w:i/>
        </w:rPr>
        <w:t xml:space="preserve">People v. De La Rosa </w:t>
      </w:r>
      <w:proofErr w:type="spellStart"/>
      <w:r>
        <w:rPr>
          <w:b/>
          <w:i/>
        </w:rPr>
        <w:t>Burgara</w:t>
      </w:r>
      <w:proofErr w:type="spellEnd"/>
    </w:p>
    <w:p w14:paraId="48E99BF8" w14:textId="77777777" w:rsidR="00172FF3" w:rsidRDefault="00056D46" w:rsidP="00056D46">
      <w:pPr>
        <w:spacing w:line="240" w:lineRule="auto"/>
        <w:rPr>
          <w:b/>
        </w:rPr>
        <w:sectPr w:rsidR="00172FF3" w:rsidSect="00533B38">
          <w:footerReference w:type="even" r:id="rId15"/>
          <w:footerReference w:type="default" r:id="rId16"/>
          <w:pgSz w:w="12240" w:h="15840" w:code="1"/>
          <w:pgMar w:top="1440" w:right="1152" w:bottom="1440" w:left="1440" w:header="720" w:footer="720" w:gutter="0"/>
          <w:cols w:space="720"/>
          <w:titlePg/>
          <w:docGrid w:linePitch="354"/>
        </w:sectPr>
      </w:pPr>
      <w:r w:rsidRPr="004A30C8">
        <w:rPr>
          <w:b/>
        </w:rPr>
        <w:t>H0</w:t>
      </w:r>
      <w:r>
        <w:rPr>
          <w:b/>
        </w:rPr>
        <w:t>49363</w:t>
      </w:r>
    </w:p>
    <w:p w14:paraId="45114E83" w14:textId="77777777" w:rsidR="00172FF3" w:rsidRPr="00C90979" w:rsidRDefault="00172FF3" w:rsidP="00172FF3">
      <w:pPr>
        <w:tabs>
          <w:tab w:val="left" w:pos="1620"/>
        </w:tabs>
        <w:spacing w:after="240" w:line="240" w:lineRule="auto"/>
        <w:ind w:left="2340" w:hanging="2340"/>
      </w:pPr>
      <w:r w:rsidRPr="00C90979">
        <w:lastRenderedPageBreak/>
        <w:t>Trial Court:</w:t>
      </w:r>
      <w:r w:rsidRPr="00C90979">
        <w:tab/>
        <w:t xml:space="preserve">County of </w:t>
      </w:r>
      <w:r>
        <w:t xml:space="preserve">Santa Clara </w:t>
      </w:r>
    </w:p>
    <w:p w14:paraId="43FDD420" w14:textId="77777777" w:rsidR="00172FF3" w:rsidRPr="00C90979" w:rsidRDefault="00172FF3" w:rsidP="00172FF3">
      <w:pPr>
        <w:tabs>
          <w:tab w:val="left" w:pos="1620"/>
        </w:tabs>
        <w:spacing w:after="240" w:line="240" w:lineRule="auto"/>
        <w:ind w:left="2340" w:hanging="2340"/>
      </w:pPr>
      <w:r w:rsidRPr="00C90979">
        <w:t>Trial Judge:</w:t>
      </w:r>
      <w:r w:rsidRPr="00C90979">
        <w:tab/>
        <w:t>Hon. </w:t>
      </w:r>
      <w:r>
        <w:t>Charles E. Wilson II</w:t>
      </w:r>
    </w:p>
    <w:p w14:paraId="7BBFB5F9" w14:textId="77777777" w:rsidR="00172FF3" w:rsidRPr="00C90979" w:rsidRDefault="00172FF3" w:rsidP="00172FF3">
      <w:pPr>
        <w:tabs>
          <w:tab w:val="left" w:pos="1620"/>
        </w:tabs>
        <w:spacing w:line="240" w:lineRule="auto"/>
        <w:ind w:left="1980" w:hanging="1980"/>
        <w:rPr>
          <w:shd w:val="clear" w:color="auto" w:fill="FFFF00"/>
        </w:rPr>
      </w:pPr>
      <w:r w:rsidRPr="00C90979">
        <w:t>Counsel:</w:t>
      </w:r>
      <w:r w:rsidRPr="00C90979">
        <w:tab/>
      </w:r>
      <w:r>
        <w:t xml:space="preserve">Anna L. Stuart, by appointment of the Court of Appeal under the Sixth District Appellate Program, </w:t>
      </w:r>
      <w:r w:rsidRPr="00C90979">
        <w:t>for Defendant and</w:t>
      </w:r>
      <w:r>
        <w:t> </w:t>
      </w:r>
      <w:r w:rsidRPr="00C90979">
        <w:t>Appellant</w:t>
      </w:r>
      <w:r>
        <w:t>.</w:t>
      </w:r>
    </w:p>
    <w:p w14:paraId="04B5164F" w14:textId="77777777" w:rsidR="00172FF3" w:rsidRPr="00C90979" w:rsidRDefault="00172FF3" w:rsidP="00172FF3">
      <w:pPr>
        <w:tabs>
          <w:tab w:val="left" w:pos="1620"/>
        </w:tabs>
        <w:spacing w:line="240" w:lineRule="auto"/>
      </w:pPr>
    </w:p>
    <w:p w14:paraId="32258A20" w14:textId="77777777" w:rsidR="00172FF3" w:rsidRDefault="00172FF3" w:rsidP="00172FF3">
      <w:pPr>
        <w:tabs>
          <w:tab w:val="left" w:pos="1620"/>
        </w:tabs>
        <w:spacing w:line="240" w:lineRule="auto"/>
        <w:ind w:left="1980" w:hanging="1980"/>
      </w:pPr>
      <w:r w:rsidRPr="00C90979">
        <w:tab/>
      </w:r>
      <w:r>
        <w:tab/>
        <w:t xml:space="preserve">Rob Bonta, Attorney General, Lance E. Winters, Chief Assistant Attorney General, Jeffrey M. Laurence, Senior Assistant Attorney General, Arthur P. </w:t>
      </w:r>
      <w:proofErr w:type="spellStart"/>
      <w:r>
        <w:t>Beever</w:t>
      </w:r>
      <w:proofErr w:type="spellEnd"/>
      <w:r>
        <w:t xml:space="preserve">, Deputy Attorney General and Julia Y. Je, Deputy Attorney General, </w:t>
      </w:r>
      <w:r w:rsidRPr="00C90979">
        <w:t>for Plaintiff and Respondent.</w:t>
      </w:r>
    </w:p>
    <w:p w14:paraId="6530B4A8" w14:textId="77777777" w:rsidR="00172FF3" w:rsidRDefault="00172FF3" w:rsidP="00172FF3">
      <w:pPr>
        <w:tabs>
          <w:tab w:val="left" w:pos="1620"/>
        </w:tabs>
        <w:spacing w:line="240" w:lineRule="auto"/>
        <w:ind w:left="1980" w:hanging="1980"/>
      </w:pPr>
    </w:p>
    <w:p w14:paraId="188F725E" w14:textId="77777777" w:rsidR="00172FF3" w:rsidRDefault="00172FF3" w:rsidP="00172FF3">
      <w:pPr>
        <w:tabs>
          <w:tab w:val="clear" w:pos="720"/>
        </w:tabs>
        <w:spacing w:after="160" w:line="240" w:lineRule="auto"/>
      </w:pPr>
    </w:p>
    <w:p w14:paraId="522331C0" w14:textId="77777777" w:rsidR="00172FF3" w:rsidRDefault="00172FF3" w:rsidP="00172FF3">
      <w:pPr>
        <w:tabs>
          <w:tab w:val="clear" w:pos="720"/>
        </w:tabs>
        <w:spacing w:after="160" w:line="240" w:lineRule="auto"/>
      </w:pPr>
    </w:p>
    <w:p w14:paraId="2B387608" w14:textId="77777777" w:rsidR="00172FF3" w:rsidRDefault="00172FF3" w:rsidP="00172FF3">
      <w:pPr>
        <w:tabs>
          <w:tab w:val="clear" w:pos="720"/>
        </w:tabs>
        <w:spacing w:after="160" w:line="240" w:lineRule="auto"/>
      </w:pPr>
    </w:p>
    <w:p w14:paraId="3014DE3C" w14:textId="77777777" w:rsidR="00172FF3" w:rsidRDefault="00172FF3" w:rsidP="00172FF3">
      <w:pPr>
        <w:tabs>
          <w:tab w:val="clear" w:pos="720"/>
        </w:tabs>
        <w:spacing w:after="160" w:line="240" w:lineRule="auto"/>
      </w:pPr>
    </w:p>
    <w:p w14:paraId="2B9E68A8" w14:textId="77777777" w:rsidR="00172FF3" w:rsidRDefault="00172FF3" w:rsidP="00172FF3">
      <w:pPr>
        <w:tabs>
          <w:tab w:val="clear" w:pos="720"/>
        </w:tabs>
        <w:spacing w:after="160" w:line="240" w:lineRule="auto"/>
      </w:pPr>
    </w:p>
    <w:p w14:paraId="7721CC18" w14:textId="77777777" w:rsidR="00172FF3" w:rsidRDefault="00172FF3" w:rsidP="00172FF3">
      <w:pPr>
        <w:tabs>
          <w:tab w:val="clear" w:pos="720"/>
        </w:tabs>
        <w:spacing w:after="160" w:line="240" w:lineRule="auto"/>
      </w:pPr>
    </w:p>
    <w:p w14:paraId="669FB777" w14:textId="77777777" w:rsidR="00172FF3" w:rsidRDefault="00172FF3" w:rsidP="00172FF3">
      <w:pPr>
        <w:tabs>
          <w:tab w:val="clear" w:pos="720"/>
        </w:tabs>
        <w:spacing w:after="160" w:line="240" w:lineRule="auto"/>
      </w:pPr>
    </w:p>
    <w:p w14:paraId="184E4F16" w14:textId="77777777" w:rsidR="00172FF3" w:rsidRDefault="00172FF3" w:rsidP="00172FF3">
      <w:pPr>
        <w:tabs>
          <w:tab w:val="clear" w:pos="720"/>
        </w:tabs>
        <w:spacing w:after="160" w:line="240" w:lineRule="auto"/>
      </w:pPr>
    </w:p>
    <w:p w14:paraId="0F3CC654" w14:textId="77777777" w:rsidR="00172FF3" w:rsidRDefault="00172FF3" w:rsidP="00172FF3">
      <w:pPr>
        <w:tabs>
          <w:tab w:val="clear" w:pos="720"/>
        </w:tabs>
        <w:spacing w:after="160" w:line="240" w:lineRule="auto"/>
      </w:pPr>
    </w:p>
    <w:p w14:paraId="299134FF" w14:textId="77777777" w:rsidR="00172FF3" w:rsidRDefault="00172FF3" w:rsidP="00172FF3">
      <w:pPr>
        <w:tabs>
          <w:tab w:val="clear" w:pos="720"/>
        </w:tabs>
        <w:spacing w:after="160" w:line="240" w:lineRule="auto"/>
      </w:pPr>
    </w:p>
    <w:p w14:paraId="42AAE21E" w14:textId="77777777" w:rsidR="00172FF3" w:rsidRDefault="00172FF3" w:rsidP="00172FF3">
      <w:pPr>
        <w:tabs>
          <w:tab w:val="clear" w:pos="720"/>
        </w:tabs>
        <w:spacing w:after="160" w:line="240" w:lineRule="auto"/>
      </w:pPr>
    </w:p>
    <w:p w14:paraId="30B17DAE" w14:textId="77777777" w:rsidR="00172FF3" w:rsidRDefault="00172FF3" w:rsidP="00172FF3">
      <w:pPr>
        <w:tabs>
          <w:tab w:val="clear" w:pos="720"/>
        </w:tabs>
        <w:spacing w:after="160" w:line="240" w:lineRule="auto"/>
      </w:pPr>
    </w:p>
    <w:p w14:paraId="242F3B74" w14:textId="77777777" w:rsidR="00172FF3" w:rsidRDefault="00172FF3" w:rsidP="00172FF3">
      <w:pPr>
        <w:tabs>
          <w:tab w:val="clear" w:pos="720"/>
        </w:tabs>
        <w:spacing w:after="160" w:line="240" w:lineRule="auto"/>
        <w:ind w:firstLine="0"/>
      </w:pPr>
    </w:p>
    <w:p w14:paraId="4308904E" w14:textId="77777777" w:rsidR="00172FF3" w:rsidRDefault="00172FF3" w:rsidP="00172FF3">
      <w:pPr>
        <w:tabs>
          <w:tab w:val="clear" w:pos="720"/>
        </w:tabs>
        <w:spacing w:after="160" w:line="240" w:lineRule="auto"/>
      </w:pPr>
    </w:p>
    <w:p w14:paraId="3A94DEE5" w14:textId="70B01CF1" w:rsidR="00172FF3" w:rsidRDefault="00172FF3" w:rsidP="00172FF3">
      <w:pPr>
        <w:spacing w:line="240" w:lineRule="auto"/>
        <w:rPr>
          <w:b/>
          <w:i/>
        </w:rPr>
      </w:pPr>
    </w:p>
    <w:p w14:paraId="2F5342B6" w14:textId="28330F05" w:rsidR="00172FF3" w:rsidRDefault="00172FF3" w:rsidP="00172FF3">
      <w:pPr>
        <w:spacing w:line="240" w:lineRule="auto"/>
        <w:rPr>
          <w:b/>
          <w:i/>
        </w:rPr>
      </w:pPr>
    </w:p>
    <w:p w14:paraId="49D3F08F" w14:textId="62C06B33" w:rsidR="00172FF3" w:rsidRDefault="00172FF3" w:rsidP="00172FF3">
      <w:pPr>
        <w:spacing w:line="240" w:lineRule="auto"/>
        <w:rPr>
          <w:b/>
          <w:i/>
        </w:rPr>
      </w:pPr>
    </w:p>
    <w:p w14:paraId="0ADD67C9" w14:textId="6AE33ED7" w:rsidR="00172FF3" w:rsidRDefault="00172FF3" w:rsidP="00172FF3">
      <w:pPr>
        <w:spacing w:line="240" w:lineRule="auto"/>
        <w:rPr>
          <w:b/>
          <w:i/>
        </w:rPr>
      </w:pPr>
    </w:p>
    <w:p w14:paraId="2AEEC07B" w14:textId="245B0A9F" w:rsidR="00172FF3" w:rsidRDefault="00172FF3" w:rsidP="00172FF3">
      <w:pPr>
        <w:spacing w:line="240" w:lineRule="auto"/>
        <w:rPr>
          <w:b/>
          <w:i/>
        </w:rPr>
      </w:pPr>
    </w:p>
    <w:p w14:paraId="53B34ABB" w14:textId="77777777" w:rsidR="00172FF3" w:rsidRDefault="00172FF3" w:rsidP="00172FF3">
      <w:pPr>
        <w:spacing w:line="240" w:lineRule="auto"/>
        <w:rPr>
          <w:b/>
          <w:i/>
        </w:rPr>
      </w:pPr>
    </w:p>
    <w:p w14:paraId="7C37D9DE" w14:textId="77777777" w:rsidR="00172FF3" w:rsidRDefault="00172FF3" w:rsidP="00172FF3">
      <w:pPr>
        <w:spacing w:line="240" w:lineRule="auto"/>
        <w:rPr>
          <w:b/>
          <w:i/>
        </w:rPr>
      </w:pPr>
    </w:p>
    <w:p w14:paraId="05AE2252" w14:textId="77777777" w:rsidR="00172FF3" w:rsidRDefault="00172FF3" w:rsidP="00172FF3">
      <w:pPr>
        <w:spacing w:line="240" w:lineRule="auto"/>
        <w:rPr>
          <w:b/>
          <w:i/>
        </w:rPr>
      </w:pPr>
      <w:r>
        <w:rPr>
          <w:b/>
          <w:i/>
        </w:rPr>
        <w:t xml:space="preserve">People v. De La Rosa </w:t>
      </w:r>
      <w:proofErr w:type="spellStart"/>
      <w:r>
        <w:rPr>
          <w:b/>
          <w:i/>
        </w:rPr>
        <w:t>Burgara</w:t>
      </w:r>
      <w:proofErr w:type="spellEnd"/>
    </w:p>
    <w:p w14:paraId="281BCFF9" w14:textId="04676342" w:rsidR="009620DB" w:rsidRPr="00004477" w:rsidRDefault="00172FF3" w:rsidP="00172FF3">
      <w:pPr>
        <w:spacing w:line="240" w:lineRule="auto"/>
      </w:pPr>
      <w:r w:rsidRPr="004A30C8">
        <w:rPr>
          <w:b/>
        </w:rPr>
        <w:t>H0</w:t>
      </w:r>
      <w:r>
        <w:rPr>
          <w:b/>
        </w:rPr>
        <w:t>49363</w:t>
      </w:r>
    </w:p>
    <w:sectPr w:rsidR="009620DB" w:rsidRPr="00004477" w:rsidSect="00533B38">
      <w:pgSz w:w="12240" w:h="15840" w:code="1"/>
      <w:pgMar w:top="1440" w:right="1152" w:bottom="1440" w:left="1440"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D4A98" w14:textId="77777777" w:rsidR="00371ABD" w:rsidRDefault="00371ABD" w:rsidP="002D669B">
      <w:pPr>
        <w:spacing w:line="240" w:lineRule="auto"/>
      </w:pPr>
      <w:r>
        <w:separator/>
      </w:r>
    </w:p>
  </w:endnote>
  <w:endnote w:type="continuationSeparator" w:id="0">
    <w:p w14:paraId="4A494EEB" w14:textId="77777777" w:rsidR="00371ABD" w:rsidRDefault="00371ABD" w:rsidP="002D669B">
      <w:pPr>
        <w:spacing w:line="240" w:lineRule="auto"/>
      </w:pPr>
      <w:r>
        <w:continuationSeparator/>
      </w:r>
    </w:p>
  </w:endnote>
  <w:endnote w:type="continuationNotice" w:id="1">
    <w:p w14:paraId="700EC9CB" w14:textId="77777777" w:rsidR="00371ABD" w:rsidRDefault="00371A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B826" w14:textId="77777777" w:rsidR="008F3FDF" w:rsidRDefault="008F3F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968512"/>
      <w:docPartObj>
        <w:docPartGallery w:val="Page Numbers (Bottom of Page)"/>
        <w:docPartUnique/>
      </w:docPartObj>
    </w:sdtPr>
    <w:sdtEndPr>
      <w:rPr>
        <w:noProof/>
      </w:rPr>
    </w:sdtEndPr>
    <w:sdtContent>
      <w:p w14:paraId="29037355" w14:textId="77777777" w:rsidR="002D669B" w:rsidRDefault="002D66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6C5508" w14:textId="77777777" w:rsidR="002D669B" w:rsidRDefault="002D66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596F" w14:textId="77777777" w:rsidR="008F3FDF" w:rsidRDefault="008F3F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AD37" w14:textId="77777777" w:rsidR="00056D46" w:rsidRDefault="00056D46">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10</w:t>
    </w:r>
    <w:r>
      <w:rPr>
        <w:rStyle w:val="PageNumber"/>
        <w:rFonts w:eastAsiaTheme="majorEastAsia"/>
      </w:rPr>
      <w:fldChar w:fldCharType="end"/>
    </w:r>
  </w:p>
  <w:p w14:paraId="6ABC22DF" w14:textId="77777777" w:rsidR="00056D46" w:rsidRDefault="00056D4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DA97" w14:textId="77777777" w:rsidR="00056D46" w:rsidRDefault="00056D46">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2</w:t>
    </w:r>
    <w:r>
      <w:rPr>
        <w:rStyle w:val="PageNumber"/>
        <w:rFonts w:eastAsiaTheme="majorEastAsia"/>
      </w:rPr>
      <w:fldChar w:fldCharType="end"/>
    </w:r>
  </w:p>
  <w:p w14:paraId="1E7AB10B" w14:textId="77777777" w:rsidR="00056D46" w:rsidRDefault="00056D4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BDD5" w14:textId="77777777" w:rsidR="00DC3202" w:rsidRDefault="00390F11">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10B68F0A" w14:textId="77777777" w:rsidR="00DC3202" w:rsidRDefault="00DC320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9AF4" w14:textId="77777777" w:rsidR="00DC3202" w:rsidRDefault="00390F11">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2</w:t>
    </w:r>
    <w:r>
      <w:rPr>
        <w:rStyle w:val="PageNumber"/>
        <w:rFonts w:eastAsiaTheme="majorEastAsia"/>
      </w:rPr>
      <w:fldChar w:fldCharType="end"/>
    </w:r>
  </w:p>
  <w:p w14:paraId="4C925B81" w14:textId="77777777" w:rsidR="00DC3202" w:rsidRDefault="00DC3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2EEB2" w14:textId="77777777" w:rsidR="00371ABD" w:rsidRDefault="00371ABD" w:rsidP="002D669B">
      <w:pPr>
        <w:spacing w:line="240" w:lineRule="auto"/>
      </w:pPr>
      <w:r>
        <w:separator/>
      </w:r>
    </w:p>
  </w:footnote>
  <w:footnote w:type="continuationSeparator" w:id="0">
    <w:p w14:paraId="4DB42BFF" w14:textId="77777777" w:rsidR="00371ABD" w:rsidRDefault="00371ABD" w:rsidP="002D669B">
      <w:pPr>
        <w:spacing w:line="240" w:lineRule="auto"/>
      </w:pPr>
      <w:r>
        <w:continuationSeparator/>
      </w:r>
    </w:p>
  </w:footnote>
  <w:footnote w:type="continuationNotice" w:id="1">
    <w:p w14:paraId="2A5FC55F" w14:textId="77777777" w:rsidR="00371ABD" w:rsidRDefault="00371ABD">
      <w:pPr>
        <w:spacing w:line="240" w:lineRule="auto"/>
      </w:pPr>
    </w:p>
  </w:footnote>
  <w:footnote w:id="2">
    <w:p w14:paraId="09E0AB8D" w14:textId="77777777" w:rsidR="0034611E" w:rsidRDefault="0034611E" w:rsidP="0034611E">
      <w:pPr>
        <w:pStyle w:val="Subtitle"/>
      </w:pPr>
      <w:r w:rsidRPr="0025756C">
        <w:rPr>
          <w:rStyle w:val="FootnoteReference"/>
          <w:b/>
        </w:rPr>
        <w:footnoteRef/>
      </w:r>
      <w:r>
        <w:t xml:space="preserve"> U</w:t>
      </w:r>
      <w:r w:rsidRPr="003D4D1F">
        <w:t>nspecified statutory references are to the Penal Code.</w:t>
      </w:r>
    </w:p>
  </w:footnote>
  <w:footnote w:id="3">
    <w:p w14:paraId="3EC222AD" w14:textId="78FFB331" w:rsidR="00CE5AEB" w:rsidRDefault="00CE5AEB" w:rsidP="00CE5AEB">
      <w:pPr>
        <w:pStyle w:val="Subtitle"/>
      </w:pPr>
      <w:r w:rsidRPr="007A3F63">
        <w:rPr>
          <w:rStyle w:val="FootnoteReference"/>
          <w:b/>
          <w:bCs/>
        </w:rPr>
        <w:footnoteRef/>
      </w:r>
      <w:r>
        <w:t xml:space="preserve"> </w:t>
      </w:r>
      <w:r w:rsidR="00B71AB7">
        <w:t>I</w:t>
      </w:r>
      <w:r w:rsidR="00C1496B">
        <w:t xml:space="preserve">n the trial court, </w:t>
      </w:r>
      <w:r w:rsidR="00151F11">
        <w:t>defendant</w:t>
      </w:r>
      <w:r>
        <w:t xml:space="preserve"> was prosecuted under the name </w:t>
      </w:r>
      <w:r w:rsidR="00150500">
        <w:t>“</w:t>
      </w:r>
      <w:r>
        <w:t xml:space="preserve">Mariano Alejandro </w:t>
      </w:r>
      <w:proofErr w:type="spellStart"/>
      <w:r>
        <w:t>Delarosaburgara</w:t>
      </w:r>
      <w:proofErr w:type="spellEnd"/>
      <w:r>
        <w:t>.</w:t>
      </w:r>
      <w:r w:rsidR="00150500">
        <w:t>”</w:t>
      </w:r>
      <w:r>
        <w:t xml:space="preserve"> </w:t>
      </w:r>
      <w:r w:rsidR="00150500">
        <w:t xml:space="preserve"> The notice of appeal, however, state</w:t>
      </w:r>
      <w:r w:rsidR="00B71AB7">
        <w:t>s</w:t>
      </w:r>
      <w:r w:rsidR="00150500">
        <w:t xml:space="preserve"> </w:t>
      </w:r>
      <w:r w:rsidR="00151F11">
        <w:t>defendant’s</w:t>
      </w:r>
      <w:r w:rsidR="00150500">
        <w:t xml:space="preserve"> name as “Mariano Alejandro De La Rosa </w:t>
      </w:r>
      <w:proofErr w:type="spellStart"/>
      <w:r w:rsidR="00150500">
        <w:t>Burgara</w:t>
      </w:r>
      <w:proofErr w:type="spellEnd"/>
      <w:r w:rsidR="00150500">
        <w:t xml:space="preserve">.” </w:t>
      </w:r>
      <w:r w:rsidR="00151F11">
        <w:t xml:space="preserve"> </w:t>
      </w:r>
      <w:r w:rsidR="0068213F">
        <w:t>T</w:t>
      </w:r>
      <w:r w:rsidR="00151F11">
        <w:t xml:space="preserve">he record </w:t>
      </w:r>
      <w:r w:rsidR="0068213F">
        <w:t xml:space="preserve">further </w:t>
      </w:r>
      <w:r w:rsidR="00C502F7">
        <w:t>indicates</w:t>
      </w:r>
      <w:r w:rsidR="00151F11">
        <w:t xml:space="preserve"> that defendant </w:t>
      </w:r>
      <w:r w:rsidR="00985DEC">
        <w:t>uses</w:t>
      </w:r>
      <w:r w:rsidR="00C502F7">
        <w:t xml:space="preserve"> </w:t>
      </w:r>
      <w:r w:rsidR="00985DEC">
        <w:t>De La Rosa</w:t>
      </w:r>
      <w:r w:rsidR="00C502F7">
        <w:t xml:space="preserve"> as his surname</w:t>
      </w:r>
      <w:r w:rsidR="00985DEC">
        <w:t xml:space="preserve">. </w:t>
      </w:r>
      <w:r w:rsidR="00151F11">
        <w:t xml:space="preserve"> </w:t>
      </w:r>
    </w:p>
  </w:footnote>
  <w:footnote w:id="4">
    <w:p w14:paraId="29B6C10D" w14:textId="23D3537E" w:rsidR="00461587" w:rsidRDefault="00461587" w:rsidP="00461587">
      <w:pPr>
        <w:pStyle w:val="Subtitle"/>
      </w:pPr>
      <w:r w:rsidRPr="00461587">
        <w:rPr>
          <w:rStyle w:val="FootnoteReference"/>
          <w:b/>
          <w:bCs/>
        </w:rPr>
        <w:footnoteRef/>
      </w:r>
      <w:r>
        <w:t xml:space="preserve"> The question on review in </w:t>
      </w:r>
      <w:r w:rsidRPr="00461587">
        <w:rPr>
          <w:i/>
          <w:iCs/>
        </w:rPr>
        <w:t>Mitchell</w:t>
      </w:r>
      <w:r>
        <w:t xml:space="preserve"> is</w:t>
      </w:r>
      <w:proofErr w:type="gramStart"/>
      <w:r>
        <w:t>:  “</w:t>
      </w:r>
      <w:proofErr w:type="gramEnd"/>
      <w:r>
        <w:t xml:space="preserve"> ‘Does Senate Bill No. 567 (Stats. 2021, </w:t>
      </w:r>
      <w:proofErr w:type="spellStart"/>
      <w:r>
        <w:t>ch.</w:t>
      </w:r>
      <w:proofErr w:type="spellEnd"/>
      <w:r>
        <w:t xml:space="preserve"> 731), which limits a trial court’s discretion to impose upper term sentences, apply retroactively to defendants sentenced pursuant to stipulated plea agreements [i.e., plea agreements with a stipulated sentence]?</w:t>
      </w:r>
      <w:proofErr w:type="gramStart"/>
      <w:r>
        <w:t>’ ”</w:t>
      </w:r>
      <w:proofErr w:type="gramEnd"/>
      <w:r>
        <w:t xml:space="preserve">  (</w:t>
      </w:r>
      <w:r w:rsidRPr="00461587">
        <w:rPr>
          <w:i/>
          <w:iCs/>
        </w:rPr>
        <w:t>People v. Kelly</w:t>
      </w:r>
      <w:r>
        <w:t xml:space="preserve"> (2022) 87 Cal.App.5th 1, 4, fn. 2.)</w:t>
      </w:r>
    </w:p>
  </w:footnote>
  <w:footnote w:id="5">
    <w:p w14:paraId="1F50174D" w14:textId="5382C421" w:rsidR="005B54A9" w:rsidRDefault="005B54A9" w:rsidP="005B54A9">
      <w:pPr>
        <w:pStyle w:val="Subtitle"/>
      </w:pPr>
      <w:r w:rsidRPr="00BC6FB4">
        <w:rPr>
          <w:rStyle w:val="FootnoteReference"/>
          <w:b/>
          <w:bCs/>
        </w:rPr>
        <w:footnoteRef/>
      </w:r>
      <w:r>
        <w:t xml:space="preserve"> </w:t>
      </w:r>
      <w:r w:rsidRPr="00BC6FB4">
        <w:t xml:space="preserve">We refer to </w:t>
      </w:r>
      <w:r>
        <w:t xml:space="preserve">civilian witnesses and </w:t>
      </w:r>
      <w:r w:rsidRPr="00BC6FB4">
        <w:t xml:space="preserve">the victim by first name and last initial to protect </w:t>
      </w:r>
      <w:r>
        <w:t>their</w:t>
      </w:r>
      <w:r w:rsidRPr="00BC6FB4">
        <w:t xml:space="preserve"> privacy interests. </w:t>
      </w:r>
      <w:r>
        <w:t xml:space="preserve"> </w:t>
      </w:r>
      <w:r w:rsidRPr="00BC6FB4">
        <w:t>(Cal. Rules of Court, rule 8.90(b)(4)</w:t>
      </w:r>
      <w:r>
        <w:t>, (10)</w:t>
      </w:r>
      <w:r w:rsidRPr="00BC6FB4">
        <w:t>.)</w:t>
      </w:r>
      <w:r>
        <w:t xml:space="preserve">  Additionally, we note that Vanessa G. testified at De La Rosa’s November 2019 preliminary hearing </w:t>
      </w:r>
      <w:r w:rsidRPr="00EA3899">
        <w:t xml:space="preserve">under a grant of </w:t>
      </w:r>
      <w:r>
        <w:t xml:space="preserve">use </w:t>
      </w:r>
      <w:r w:rsidRPr="00EA3899">
        <w:t xml:space="preserve">immunity. </w:t>
      </w:r>
    </w:p>
  </w:footnote>
  <w:footnote w:id="6">
    <w:p w14:paraId="458429EA" w14:textId="105611DA" w:rsidR="00B57B19" w:rsidRDefault="00B57B19" w:rsidP="00B57B19">
      <w:pPr>
        <w:pStyle w:val="Subtitle"/>
      </w:pPr>
      <w:r w:rsidRPr="00B57B19">
        <w:rPr>
          <w:rStyle w:val="FootnoteReference"/>
          <w:b/>
          <w:bCs/>
        </w:rPr>
        <w:footnoteRef/>
      </w:r>
      <w:r>
        <w:t xml:space="preserve"> Jose D. testified at the preliminary hearing under a grant of use immunity. </w:t>
      </w:r>
    </w:p>
  </w:footnote>
  <w:footnote w:id="7">
    <w:p w14:paraId="0705AAC3" w14:textId="415F9764" w:rsidR="00F75833" w:rsidRDefault="00F75833" w:rsidP="00F75833">
      <w:pPr>
        <w:pStyle w:val="Subtitle"/>
      </w:pPr>
      <w:r w:rsidRPr="00F75833">
        <w:rPr>
          <w:rStyle w:val="FootnoteReference"/>
          <w:b/>
          <w:bCs/>
        </w:rPr>
        <w:footnoteRef/>
      </w:r>
      <w:r>
        <w:t xml:space="preserve"> The prosecutor </w:t>
      </w:r>
      <w:r w:rsidR="00825758">
        <w:t>granted</w:t>
      </w:r>
      <w:r>
        <w:t xml:space="preserve"> Mariana C. </w:t>
      </w:r>
      <w:r w:rsidR="00825758">
        <w:t xml:space="preserve">use immunity and called her </w:t>
      </w:r>
      <w:r>
        <w:t xml:space="preserve">as a witness at the preliminary hearing.  </w:t>
      </w:r>
      <w:r w:rsidR="006B2E63">
        <w:t>After Mariana provided limited testimony, t</w:t>
      </w:r>
      <w:r>
        <w:t xml:space="preserve">he court </w:t>
      </w:r>
      <w:r w:rsidR="006B2E63">
        <w:t xml:space="preserve">found </w:t>
      </w:r>
      <w:r w:rsidR="00825758">
        <w:t xml:space="preserve">her </w:t>
      </w:r>
      <w:r w:rsidR="006B2E63">
        <w:t>unable to continue due to illness and excused her from the witness stand</w:t>
      </w:r>
      <w:r>
        <w:rPr>
          <w:szCs w:val="26"/>
        </w:rPr>
        <w:t xml:space="preserve">. </w:t>
      </w:r>
    </w:p>
  </w:footnote>
  <w:footnote w:id="8">
    <w:p w14:paraId="446644E8" w14:textId="5DEC4E78" w:rsidR="001758AC" w:rsidRDefault="001758AC" w:rsidP="001758AC">
      <w:pPr>
        <w:pStyle w:val="Subtitle"/>
      </w:pPr>
      <w:r w:rsidRPr="0047573F">
        <w:rPr>
          <w:rStyle w:val="FootnoteReference"/>
          <w:b/>
          <w:bCs/>
        </w:rPr>
        <w:footnoteRef/>
      </w:r>
      <w:r>
        <w:t xml:space="preserve"> At the</w:t>
      </w:r>
      <w:r w:rsidR="00491FA6">
        <w:t xml:space="preserve"> change-of-</w:t>
      </w:r>
      <w:r>
        <w:t>plea hearing, the district attorney orally amended c</w:t>
      </w:r>
      <w:r w:rsidRPr="0047573F">
        <w:t xml:space="preserve">ount 4 to </w:t>
      </w:r>
      <w:r>
        <w:t>charge hit-and-run driving resulting in permanent</w:t>
      </w:r>
      <w:r w:rsidR="00F06B02">
        <w:t>,</w:t>
      </w:r>
      <w:r>
        <w:t xml:space="preserve"> serious injury or death</w:t>
      </w:r>
      <w:r w:rsidR="0001635F">
        <w:t xml:space="preserve"> (</w:t>
      </w:r>
      <w:proofErr w:type="spellStart"/>
      <w:r w:rsidR="0001635F">
        <w:t>Veh</w:t>
      </w:r>
      <w:proofErr w:type="spellEnd"/>
      <w:r w:rsidR="0001635F">
        <w:t>. Code, § 20001, subd.</w:t>
      </w:r>
      <w:r w:rsidRPr="0047573F">
        <w:t xml:space="preserve"> (b)(2)</w:t>
      </w:r>
      <w:r w:rsidR="0001635F">
        <w:t>)</w:t>
      </w:r>
      <w:r w:rsidRPr="0047573F">
        <w:t xml:space="preserve">. </w:t>
      </w:r>
    </w:p>
  </w:footnote>
  <w:footnote w:id="9">
    <w:p w14:paraId="006ACAD3" w14:textId="3C666E02" w:rsidR="00E315F9" w:rsidRDefault="00E315F9" w:rsidP="00E315F9">
      <w:pPr>
        <w:pStyle w:val="Subtitle"/>
      </w:pPr>
      <w:r w:rsidRPr="00E315F9">
        <w:rPr>
          <w:rStyle w:val="FootnoteReference"/>
          <w:b/>
          <w:bCs/>
        </w:rPr>
        <w:footnoteRef/>
      </w:r>
      <w:r>
        <w:t xml:space="preserve"> The sentencing triad for </w:t>
      </w:r>
      <w:r w:rsidR="004D1FBF">
        <w:t xml:space="preserve">felony </w:t>
      </w:r>
      <w:r>
        <w:t>assault with a deadly weapon is two, three, or four years</w:t>
      </w:r>
      <w:r w:rsidR="001927FC">
        <w:t xml:space="preserve"> in state prison</w:t>
      </w:r>
      <w:r>
        <w:t>.  (§ 245, subd. (a)(1).)</w:t>
      </w:r>
    </w:p>
  </w:footnote>
  <w:footnote w:id="10">
    <w:p w14:paraId="5FA68C68" w14:textId="61942405" w:rsidR="00675FDF" w:rsidRDefault="00675FDF" w:rsidP="00675FDF">
      <w:pPr>
        <w:pStyle w:val="Subtitle"/>
      </w:pPr>
      <w:r w:rsidRPr="00675FDF">
        <w:rPr>
          <w:rStyle w:val="FootnoteReference"/>
          <w:b/>
          <w:bCs/>
        </w:rPr>
        <w:footnoteRef/>
      </w:r>
      <w:r>
        <w:t xml:space="preserve"> According to the probation officer’s report completed in anticipation of </w:t>
      </w:r>
      <w:r w:rsidR="001435C0">
        <w:t>De La Rosa</w:t>
      </w:r>
      <w:r>
        <w:t>’s sentencing, codefendant Urias-</w:t>
      </w:r>
      <w:proofErr w:type="spellStart"/>
      <w:r>
        <w:t>Burgara</w:t>
      </w:r>
      <w:proofErr w:type="spellEnd"/>
      <w:r w:rsidR="00AC0DD0">
        <w:t xml:space="preserve"> similarly</w:t>
      </w:r>
      <w:r>
        <w:t xml:space="preserve"> entered into a plea agreement</w:t>
      </w:r>
      <w:r w:rsidR="00AC0DD0">
        <w:t xml:space="preserve"> that included a four-year prison term on count 3 and 364 days in </w:t>
      </w:r>
      <w:r w:rsidR="00702589">
        <w:t xml:space="preserve">county </w:t>
      </w:r>
      <w:r w:rsidR="00AC0DD0">
        <w:t xml:space="preserve">jail, concurrent, on count 4. </w:t>
      </w:r>
    </w:p>
  </w:footnote>
  <w:footnote w:id="11">
    <w:p w14:paraId="2F3225C6" w14:textId="03B0232A" w:rsidR="00A63150" w:rsidRDefault="00A63150" w:rsidP="00A63150">
      <w:pPr>
        <w:pStyle w:val="Subtitle"/>
      </w:pPr>
      <w:r w:rsidRPr="00592615">
        <w:rPr>
          <w:rStyle w:val="FootnoteReference"/>
          <w:b/>
          <w:bCs/>
        </w:rPr>
        <w:footnoteRef/>
      </w:r>
      <w:r>
        <w:t xml:space="preserve"> The Legislature has </w:t>
      </w:r>
      <w:r w:rsidR="00135261">
        <w:t xml:space="preserve">further </w:t>
      </w:r>
      <w:r>
        <w:t xml:space="preserve">amended section 1170 since enacting </w:t>
      </w:r>
      <w:r w:rsidRPr="00FA1149">
        <w:t>Senate Bill 567</w:t>
      </w:r>
      <w:r>
        <w:t>, but the more recent changes to</w:t>
      </w:r>
      <w:r w:rsidR="003F1768">
        <w:t xml:space="preserve"> that</w:t>
      </w:r>
      <w:r>
        <w:t xml:space="preserve"> section do not affect our analysis of </w:t>
      </w:r>
      <w:r w:rsidR="001435C0">
        <w:t>De La Rosa</w:t>
      </w:r>
      <w:r>
        <w:t>’s claim</w:t>
      </w:r>
      <w:r w:rsidR="003F1768">
        <w:t xml:space="preserve"> of error</w:t>
      </w:r>
      <w:r>
        <w:t xml:space="preserve">.  (See Stats. 2022, </w:t>
      </w:r>
      <w:proofErr w:type="spellStart"/>
      <w:r>
        <w:t>ch.</w:t>
      </w:r>
      <w:proofErr w:type="spellEnd"/>
      <w:r>
        <w:t xml:space="preserve"> 744, </w:t>
      </w:r>
      <w:r w:rsidRPr="00473775">
        <w:t>§</w:t>
      </w:r>
      <w:r>
        <w:t> </w:t>
      </w:r>
      <w:r w:rsidRPr="00473775">
        <w:t>1</w:t>
      </w:r>
      <w:r>
        <w:t xml:space="preserve"> [</w:t>
      </w:r>
      <w:proofErr w:type="spellStart"/>
      <w:r>
        <w:t>Assem</w:t>
      </w:r>
      <w:proofErr w:type="spellEnd"/>
      <w:r>
        <w:t xml:space="preserve">. Bill No. 960; eff. Jan. 1, 2023]; Stats. 2023, </w:t>
      </w:r>
      <w:proofErr w:type="spellStart"/>
      <w:r w:rsidR="00161C3D">
        <w:t>ch</w:t>
      </w:r>
      <w:r>
        <w:t>.</w:t>
      </w:r>
      <w:proofErr w:type="spellEnd"/>
      <w:r>
        <w:t xml:space="preserve"> 560, </w:t>
      </w:r>
      <w:r w:rsidRPr="00473775">
        <w:t>§§</w:t>
      </w:r>
      <w:r>
        <w:t> 2.5, 4 [</w:t>
      </w:r>
      <w:proofErr w:type="spellStart"/>
      <w:r>
        <w:t>As</w:t>
      </w:r>
      <w:r w:rsidR="0064638D">
        <w:t>s</w:t>
      </w:r>
      <w:r>
        <w:t>em</w:t>
      </w:r>
      <w:proofErr w:type="spellEnd"/>
      <w:r>
        <w:t>. Bill No. 1104; eff. Jan. 1, 2024].)</w:t>
      </w:r>
    </w:p>
  </w:footnote>
  <w:footnote w:id="12">
    <w:p w14:paraId="1454DB30" w14:textId="7174D783" w:rsidR="00E315F9" w:rsidRDefault="00E315F9" w:rsidP="00E315F9">
      <w:pPr>
        <w:pStyle w:val="Subtitle"/>
      </w:pPr>
      <w:r w:rsidRPr="00E10306">
        <w:rPr>
          <w:rStyle w:val="FootnoteReference"/>
          <w:b/>
          <w:bCs/>
        </w:rPr>
        <w:footnoteRef/>
      </w:r>
      <w:r>
        <w:t xml:space="preserve"> The phrase </w:t>
      </w:r>
      <w:proofErr w:type="gramStart"/>
      <w:r w:rsidRPr="00E10306">
        <w:t>“</w:t>
      </w:r>
      <w:r w:rsidR="003D5302">
        <w:t xml:space="preserve"> ‘</w:t>
      </w:r>
      <w:proofErr w:type="gramEnd"/>
      <w:r w:rsidRPr="00E10306">
        <w:t xml:space="preserve">circumstances in </w:t>
      </w:r>
      <w:r w:rsidRPr="0061608A">
        <w:t>aggravation</w:t>
      </w:r>
      <w:r w:rsidR="003D5302">
        <w:t xml:space="preserve">’ </w:t>
      </w:r>
      <w:r w:rsidRPr="00E10306">
        <w:t>”</w:t>
      </w:r>
      <w:r>
        <w:t xml:space="preserve"> in section 1170(b)(2) refers to the factors listed in California Rules of Court, rule 4.421.  (</w:t>
      </w:r>
      <w:r w:rsidR="00315DA2" w:rsidRPr="00315DA2">
        <w:rPr>
          <w:i/>
          <w:iCs/>
        </w:rPr>
        <w:t>Chavez</w:t>
      </w:r>
      <w:r w:rsidR="00315DA2">
        <w:t xml:space="preserve"> </w:t>
      </w:r>
      <w:r w:rsidRPr="0061608A">
        <w:rPr>
          <w:i/>
          <w:iCs/>
        </w:rPr>
        <w:t>Zepeda v. Superior Court</w:t>
      </w:r>
      <w:r>
        <w:t xml:space="preserve"> (2023) </w:t>
      </w:r>
      <w:r w:rsidR="009620DB">
        <w:t>97</w:t>
      </w:r>
      <w:r>
        <w:t xml:space="preserve"> Cal.App.5th </w:t>
      </w:r>
      <w:r w:rsidR="009620DB">
        <w:t>65, 70–71</w:t>
      </w:r>
      <w:r>
        <w:t xml:space="preserve">.) </w:t>
      </w:r>
    </w:p>
  </w:footnote>
  <w:footnote w:id="13">
    <w:p w14:paraId="322208C3" w14:textId="765A3130" w:rsidR="00C14DDA" w:rsidRDefault="00C14DDA" w:rsidP="00C14DDA">
      <w:pPr>
        <w:pStyle w:val="Subtitle"/>
      </w:pPr>
      <w:r w:rsidRPr="00212677">
        <w:rPr>
          <w:rStyle w:val="FootnoteReference"/>
          <w:b/>
          <w:bCs/>
        </w:rPr>
        <w:footnoteRef/>
      </w:r>
      <w:r>
        <w:t xml:space="preserve"> </w:t>
      </w:r>
      <w:r w:rsidR="00CB2F28" w:rsidRPr="00CB2F28">
        <w:t xml:space="preserve">Section 1016.7, subdivision (b) defines </w:t>
      </w:r>
      <w:proofErr w:type="gramStart"/>
      <w:r w:rsidR="00CB2F28" w:rsidRPr="00CB2F28">
        <w:t>“</w:t>
      </w:r>
      <w:r w:rsidR="00315DA2">
        <w:t xml:space="preserve"> ‘</w:t>
      </w:r>
      <w:proofErr w:type="gramEnd"/>
      <w:r w:rsidR="00CB2F28" w:rsidRPr="00CB2F28">
        <w:t>youth</w:t>
      </w:r>
      <w:r w:rsidR="00315DA2">
        <w:t xml:space="preserve">’ </w:t>
      </w:r>
      <w:r w:rsidR="00CB2F28" w:rsidRPr="00CB2F28">
        <w:t>” as “any person under 26 years of age on the date the offense was committed.”</w:t>
      </w:r>
      <w:r w:rsidR="00CB2F28">
        <w:t xml:space="preserve">  </w:t>
      </w:r>
      <w:r w:rsidR="00F60C75">
        <w:t xml:space="preserve">Although </w:t>
      </w:r>
      <w:r w:rsidR="001435C0">
        <w:t>De La Rosa</w:t>
      </w:r>
      <w:r w:rsidR="00E121C2">
        <w:t xml:space="preserve"> </w:t>
      </w:r>
      <w:r>
        <w:t xml:space="preserve">was 23 years old at the time of </w:t>
      </w:r>
      <w:r w:rsidR="00CB2F28">
        <w:t>his</w:t>
      </w:r>
      <w:r>
        <w:t xml:space="preserve"> offense</w:t>
      </w:r>
      <w:r w:rsidR="00F60C75">
        <w:t>,</w:t>
      </w:r>
      <w:r>
        <w:t xml:space="preserve"> </w:t>
      </w:r>
      <w:r w:rsidR="00CB2F28">
        <w:t xml:space="preserve">he </w:t>
      </w:r>
      <w:r>
        <w:t xml:space="preserve">makes no specific argument </w:t>
      </w:r>
      <w:r w:rsidR="00CB2F28">
        <w:t xml:space="preserve">on appeal </w:t>
      </w:r>
      <w:r>
        <w:t xml:space="preserve">regarding </w:t>
      </w:r>
      <w:r w:rsidR="00CB2F28">
        <w:t xml:space="preserve">the effect of </w:t>
      </w:r>
      <w:r>
        <w:t xml:space="preserve">section 1170, subdivision </w:t>
      </w:r>
      <w:r w:rsidRPr="0014706D">
        <w:t>(b)(6)(B)</w:t>
      </w:r>
      <w:r w:rsidR="00A478C8">
        <w:t xml:space="preserve"> on his requested remedy</w:t>
      </w:r>
      <w:r w:rsidR="00CB2F28">
        <w:t xml:space="preserve">.  </w:t>
      </w:r>
    </w:p>
  </w:footnote>
  <w:footnote w:id="14">
    <w:p w14:paraId="247B2136" w14:textId="26EE12B8" w:rsidR="00F13535" w:rsidRDefault="00F13535" w:rsidP="00F13535">
      <w:pPr>
        <w:pStyle w:val="Subtitle"/>
      </w:pPr>
      <w:r w:rsidRPr="00F13535">
        <w:rPr>
          <w:rStyle w:val="FootnoteReference"/>
          <w:b/>
          <w:bCs/>
        </w:rPr>
        <w:footnoteRef/>
      </w:r>
      <w:r>
        <w:t xml:space="preserve"> Section 1016.8 provides</w:t>
      </w:r>
      <w:proofErr w:type="gramStart"/>
      <w:r>
        <w:t>:  “</w:t>
      </w:r>
      <w:proofErr w:type="gramEnd"/>
      <w:r>
        <w:t>(a) The Legislature finds and declares all of the following:</w:t>
      </w:r>
      <w:r w:rsidR="00315DA2">
        <w:t xml:space="preserve"> </w:t>
      </w:r>
      <w:r>
        <w:t xml:space="preserve"> [¶] </w:t>
      </w:r>
      <w:r w:rsidR="00315DA2">
        <w:t xml:space="preserve"> </w:t>
      </w:r>
      <w:r>
        <w:t xml:space="preserve">(1) The California Supreme Court held in </w:t>
      </w:r>
      <w:r w:rsidRPr="00F13535">
        <w:rPr>
          <w:i/>
          <w:iCs/>
        </w:rPr>
        <w:t>Doe v. Harris</w:t>
      </w:r>
      <w:r>
        <w:t xml:space="preserve"> (2013) 57 Cal.4th 64 that, as a general rule, plea agreements are deemed to incorporate the reserve power of the state to amend the law or enact additional laws for the public good and in pursuance of public policy.  That the parties enter into a plea agreement does not have the effect of insulating them from changes in the law that the Legislature has intended to apply to them.  [</w:t>
      </w:r>
      <w:proofErr w:type="gramStart"/>
      <w:r>
        <w:t>¶]  (</w:t>
      </w:r>
      <w:proofErr w:type="gramEnd"/>
      <w:r>
        <w:t xml:space="preserve">2) </w:t>
      </w:r>
      <w:r w:rsidRPr="007752CE">
        <w:t>In</w:t>
      </w:r>
      <w:r w:rsidRPr="00F13535">
        <w:rPr>
          <w:i/>
          <w:iCs/>
        </w:rPr>
        <w:t xml:space="preserve"> Boykin v. Alabama</w:t>
      </w:r>
      <w:r>
        <w:t xml:space="preserve"> (1969) 395 U.S. 238, the United States Supreme Court held that because of the significant constitutional rights at stake in entering a guilty plea, due process requires that a defendant</w:t>
      </w:r>
      <w:r w:rsidR="0014706D">
        <w:t>’</w:t>
      </w:r>
      <w:r>
        <w:t>s guilty plea be knowing, intelligent, and voluntary.  [</w:t>
      </w:r>
      <w:proofErr w:type="gramStart"/>
      <w:r>
        <w:t>¶]  (</w:t>
      </w:r>
      <w:proofErr w:type="gramEnd"/>
      <w:r>
        <w:t>3) Waiver is the voluntary, intelligent, and intentional relinquishment of a known right or privilege (</w:t>
      </w:r>
      <w:r w:rsidRPr="00F13535">
        <w:rPr>
          <w:i/>
          <w:iCs/>
        </w:rPr>
        <w:t>Estelle v. Smith</w:t>
      </w:r>
      <w:r>
        <w:t xml:space="preserve"> (1981) 451 U.S. 454, 471, fn. 16, quoting </w:t>
      </w:r>
      <w:r w:rsidRPr="00F13535">
        <w:rPr>
          <w:i/>
          <w:iCs/>
        </w:rPr>
        <w:t xml:space="preserve">Johnson v. </w:t>
      </w:r>
      <w:proofErr w:type="spellStart"/>
      <w:r w:rsidRPr="00F13535">
        <w:rPr>
          <w:i/>
          <w:iCs/>
        </w:rPr>
        <w:t>Zerbst</w:t>
      </w:r>
      <w:proofErr w:type="spellEnd"/>
      <w:r>
        <w:t xml:space="preserve"> (1938) 304 U.S. 458, 464).  Waiver requires knowledge that the right exists (</w:t>
      </w:r>
      <w:r w:rsidRPr="00F13535">
        <w:rPr>
          <w:i/>
          <w:iCs/>
        </w:rPr>
        <w:t>Taylor v. U.S.</w:t>
      </w:r>
      <w:r>
        <w:t xml:space="preserve"> (1973) 414 U.S. 17, 19).  [</w:t>
      </w:r>
      <w:proofErr w:type="gramStart"/>
      <w:r>
        <w:t>¶]  (</w:t>
      </w:r>
      <w:proofErr w:type="gramEnd"/>
      <w:r>
        <w:t>4) A plea bargain that requires a defendant to generally waive unknown future benefits of legislative enactments, initiatives, appellate decisions, or other changes in the law that may occur after the date of the plea is not knowing and intelligent.  [</w:t>
      </w:r>
      <w:proofErr w:type="gramStart"/>
      <w:r>
        <w:t xml:space="preserve">¶] </w:t>
      </w:r>
      <w:r w:rsidR="00A32B77">
        <w:t xml:space="preserve"> </w:t>
      </w:r>
      <w:r>
        <w:t>(</w:t>
      </w:r>
      <w:proofErr w:type="gramEnd"/>
      <w:r>
        <w:t>b) A provision of a plea bargain that requires a defendant to generally waive future benefits of legislative enactments, initiatives, appellate decisions, or other changes in the law that may retroactively apply after the date of the plea is void as against public policy.  [</w:t>
      </w:r>
      <w:proofErr w:type="gramStart"/>
      <w:r>
        <w:t>¶]  (</w:t>
      </w:r>
      <w:proofErr w:type="gramEnd"/>
      <w:r>
        <w:t>c) For purposes of this section, ‘plea bargain’ has the same meaning as defined in subdivision (b) of [s]</w:t>
      </w:r>
      <w:proofErr w:type="spellStart"/>
      <w:r>
        <w:t>ection</w:t>
      </w:r>
      <w:proofErr w:type="spellEnd"/>
      <w:r>
        <w:t xml:space="preserve"> 1192.7.”</w:t>
      </w:r>
    </w:p>
  </w:footnote>
  <w:footnote w:id="15">
    <w:p w14:paraId="31C542CE" w14:textId="4BBDC3D7" w:rsidR="00781D9A" w:rsidRDefault="00781D9A" w:rsidP="00B2435D">
      <w:pPr>
        <w:pStyle w:val="Subtitle"/>
      </w:pPr>
      <w:r w:rsidRPr="00781D9A">
        <w:rPr>
          <w:rStyle w:val="FootnoteReference"/>
          <w:b/>
          <w:bCs/>
        </w:rPr>
        <w:footnoteRef/>
      </w:r>
      <w:r>
        <w:t xml:space="preserve"> </w:t>
      </w:r>
      <w:r w:rsidR="00B2435D">
        <w:t xml:space="preserve">Our </w:t>
      </w:r>
      <w:r w:rsidR="00B2435D" w:rsidRPr="00B2435D">
        <w:t>description</w:t>
      </w:r>
      <w:r w:rsidR="00B2435D">
        <w:t xml:space="preserve"> of these procedures is not intended to preclude </w:t>
      </w:r>
      <w:r w:rsidR="007122A7">
        <w:t>D</w:t>
      </w:r>
      <w:r w:rsidR="00F23FEF">
        <w:t>e La Rosa</w:t>
      </w:r>
      <w:r w:rsidR="007122A7">
        <w:t xml:space="preserve"> and the district attorney</w:t>
      </w:r>
      <w:r w:rsidR="00F23FEF">
        <w:t xml:space="preserve"> </w:t>
      </w:r>
      <w:r w:rsidR="00B2435D">
        <w:t xml:space="preserve">from </w:t>
      </w:r>
      <w:r w:rsidR="007122A7">
        <w:t xml:space="preserve">jointly </w:t>
      </w:r>
      <w:r w:rsidR="00945FBA">
        <w:t>request</w:t>
      </w:r>
      <w:r w:rsidR="00617775">
        <w:t>ing</w:t>
      </w:r>
      <w:r w:rsidR="00B2435D">
        <w:t xml:space="preserve"> </w:t>
      </w:r>
      <w:r w:rsidR="00617775">
        <w:t xml:space="preserve">that the trial court allow them to withdraw from the plea agreement, vacate the conviction, </w:t>
      </w:r>
      <w:r w:rsidR="00617775" w:rsidRPr="00B2435D">
        <w:t>and</w:t>
      </w:r>
      <w:r w:rsidR="00617775">
        <w:t xml:space="preserve"> </w:t>
      </w:r>
      <w:r w:rsidR="00FC2432">
        <w:t>return</w:t>
      </w:r>
      <w:r w:rsidR="00617775">
        <w:t xml:space="preserve"> </w:t>
      </w:r>
      <w:r w:rsidR="00B2435D">
        <w:t>them</w:t>
      </w:r>
      <w:r w:rsidR="00617775">
        <w:t xml:space="preserve"> </w:t>
      </w:r>
      <w:r w:rsidR="00FC2432">
        <w:t>to the status quo</w:t>
      </w:r>
      <w:r w:rsidR="00617775">
        <w:t xml:space="preserve"> ante</w:t>
      </w:r>
      <w:r>
        <w:t>.</w:t>
      </w:r>
      <w:r w:rsidR="00F23FEF">
        <w:t xml:space="preserve">  (</w:t>
      </w:r>
      <w:r w:rsidR="007122A7">
        <w:t xml:space="preserve">See </w:t>
      </w:r>
      <w:r w:rsidR="00F23FEF" w:rsidRPr="00F23FEF">
        <w:t>§</w:t>
      </w:r>
      <w:r w:rsidR="00F23FEF">
        <w:t> </w:t>
      </w:r>
      <w:r w:rsidR="00F23FEF" w:rsidRPr="00F23FEF">
        <w:t>1018</w:t>
      </w:r>
      <w:r w:rsidR="007122A7">
        <w:t>;</w:t>
      </w:r>
      <w:r w:rsidR="00FC2432">
        <w:t xml:space="preserve"> </w:t>
      </w:r>
      <w:r w:rsidR="00FC2432" w:rsidRPr="00FC2432">
        <w:rPr>
          <w:i/>
          <w:iCs/>
        </w:rPr>
        <w:t>People v. Hunt</w:t>
      </w:r>
      <w:r w:rsidR="00FC2432">
        <w:t xml:space="preserve"> (1985) 174 Cal.App.3d 95, </w:t>
      </w:r>
      <w:proofErr w:type="gramStart"/>
      <w:r w:rsidR="00FC2432">
        <w:t>102  [</w:t>
      </w:r>
      <w:proofErr w:type="gramEnd"/>
      <w:r w:rsidR="00FC2432">
        <w:t>“A guilty plea may be withdrawn any time before judgment for good cause shown.”]</w:t>
      </w:r>
      <w:r w:rsidR="00F23FEF" w:rsidRPr="00F23FEF">
        <w:t>.)</w:t>
      </w:r>
      <w:r w:rsidR="00617775">
        <w:t xml:space="preserve">  We leave the </w:t>
      </w:r>
      <w:r w:rsidR="00B2435D">
        <w:t>suitability</w:t>
      </w:r>
      <w:r w:rsidR="000B230B">
        <w:t xml:space="preserve"> and propriety</w:t>
      </w:r>
      <w:r w:rsidR="00617775">
        <w:t xml:space="preserve"> of this course of action to the parties and the trial court in the first instance. </w:t>
      </w:r>
      <w:r w:rsidR="007122A7">
        <w:t xml:space="preserve"> </w:t>
      </w:r>
    </w:p>
  </w:footnote>
  <w:footnote w:id="16">
    <w:p w14:paraId="32A17851" w14:textId="3F504565" w:rsidR="0037785F" w:rsidRDefault="0037785F" w:rsidP="00B2435D">
      <w:pPr>
        <w:pStyle w:val="Subtitle"/>
      </w:pPr>
      <w:r w:rsidRPr="00121D24">
        <w:rPr>
          <w:rStyle w:val="FootnoteReference"/>
          <w:b/>
          <w:bCs/>
        </w:rPr>
        <w:footnoteRef/>
      </w:r>
      <w:r>
        <w:t xml:space="preserve"> We note</w:t>
      </w:r>
      <w:r w:rsidR="00B120AE">
        <w:t xml:space="preserve"> that the exception </w:t>
      </w:r>
      <w:r w:rsidR="007C2710">
        <w:t>to the jury</w:t>
      </w:r>
      <w:r w:rsidR="00315DA2">
        <w:t xml:space="preserve"> </w:t>
      </w:r>
      <w:r w:rsidR="007C2710">
        <w:t xml:space="preserve">trial requirement </w:t>
      </w:r>
      <w:r w:rsidR="00B120AE">
        <w:t>for prior convictions</w:t>
      </w:r>
      <w:r w:rsidR="007C2710">
        <w:t xml:space="preserve"> (§ 1170, subd. (b)(3)</w:t>
      </w:r>
      <w:r w:rsidR="00B120AE">
        <w:t xml:space="preserve">) </w:t>
      </w:r>
      <w:r w:rsidR="00965123">
        <w:t xml:space="preserve">seemingly </w:t>
      </w:r>
      <w:r w:rsidR="00B120AE">
        <w:t>has no application in this case because</w:t>
      </w:r>
      <w:r w:rsidR="00965123">
        <w:t xml:space="preserve"> </w:t>
      </w:r>
      <w:r w:rsidR="001435C0">
        <w:t>De La Rosa</w:t>
      </w:r>
      <w:r>
        <w:t xml:space="preserve"> ha</w:t>
      </w:r>
      <w:r w:rsidR="007C2710">
        <w:t>s</w:t>
      </w:r>
      <w:r>
        <w:t xml:space="preserve"> no prior criminal history. </w:t>
      </w:r>
    </w:p>
  </w:footnote>
  <w:footnote w:id="17">
    <w:p w14:paraId="44F3E534" w14:textId="77777777" w:rsidR="00FE1CEF" w:rsidRDefault="00FE1CEF" w:rsidP="00FE1CEF">
      <w:pPr>
        <w:pStyle w:val="FootnoteText"/>
        <w:spacing w:line="240" w:lineRule="auto"/>
        <w:rPr>
          <w:color w:val="000000"/>
        </w:rPr>
      </w:pPr>
      <w:r>
        <w:rPr>
          <w:rStyle w:val="FootnoteReference"/>
          <w:rFonts w:eastAsiaTheme="majorEastAsia"/>
          <w:color w:val="000000"/>
        </w:rPr>
        <w:t>*</w:t>
      </w:r>
      <w:r>
        <w:t>Judge of the Santa Clara County Superior Court, assigned by the Chief Justice pursuant to article VI, section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D80E7" w14:textId="77777777" w:rsidR="008F3FDF" w:rsidRDefault="008F3F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4DA6C" w14:textId="77777777" w:rsidR="008F3FDF" w:rsidRDefault="008F3F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1AD33" w14:textId="77777777" w:rsidR="008F3FDF" w:rsidRDefault="008F3F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07F89"/>
    <w:multiLevelType w:val="hybridMultilevel"/>
    <w:tmpl w:val="18D05D94"/>
    <w:lvl w:ilvl="0" w:tplc="2C2C04AC">
      <w:start w:val="1"/>
      <w:numFmt w:val="decimal"/>
      <w:pStyle w:val="Heading3"/>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11263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477"/>
    <w:rsid w:val="00004477"/>
    <w:rsid w:val="00011524"/>
    <w:rsid w:val="000117CA"/>
    <w:rsid w:val="0001635F"/>
    <w:rsid w:val="00021998"/>
    <w:rsid w:val="000276C8"/>
    <w:rsid w:val="0003161F"/>
    <w:rsid w:val="000317FB"/>
    <w:rsid w:val="000342F2"/>
    <w:rsid w:val="00050CB6"/>
    <w:rsid w:val="000525FD"/>
    <w:rsid w:val="00056553"/>
    <w:rsid w:val="00056D46"/>
    <w:rsid w:val="00057D58"/>
    <w:rsid w:val="00063DA2"/>
    <w:rsid w:val="00067125"/>
    <w:rsid w:val="0006723B"/>
    <w:rsid w:val="00070AA5"/>
    <w:rsid w:val="00071F3A"/>
    <w:rsid w:val="00074F18"/>
    <w:rsid w:val="00080389"/>
    <w:rsid w:val="00087E2F"/>
    <w:rsid w:val="00092CBA"/>
    <w:rsid w:val="000A0369"/>
    <w:rsid w:val="000A1EAF"/>
    <w:rsid w:val="000B230B"/>
    <w:rsid w:val="000B28D7"/>
    <w:rsid w:val="000C30F3"/>
    <w:rsid w:val="000C3BD0"/>
    <w:rsid w:val="000C645C"/>
    <w:rsid w:val="000D02FE"/>
    <w:rsid w:val="000D4757"/>
    <w:rsid w:val="000E1E30"/>
    <w:rsid w:val="000E6EB8"/>
    <w:rsid w:val="000E760C"/>
    <w:rsid w:val="000F03CA"/>
    <w:rsid w:val="000F07A4"/>
    <w:rsid w:val="000F4764"/>
    <w:rsid w:val="00100690"/>
    <w:rsid w:val="00103AE2"/>
    <w:rsid w:val="00114709"/>
    <w:rsid w:val="00115379"/>
    <w:rsid w:val="00121D24"/>
    <w:rsid w:val="00132A90"/>
    <w:rsid w:val="00135261"/>
    <w:rsid w:val="00142BB8"/>
    <w:rsid w:val="001435C0"/>
    <w:rsid w:val="00143957"/>
    <w:rsid w:val="0014706D"/>
    <w:rsid w:val="00150500"/>
    <w:rsid w:val="0015079B"/>
    <w:rsid w:val="00151F11"/>
    <w:rsid w:val="00155DE3"/>
    <w:rsid w:val="00157C2A"/>
    <w:rsid w:val="00161C3D"/>
    <w:rsid w:val="00166AB3"/>
    <w:rsid w:val="00172FF3"/>
    <w:rsid w:val="001758AC"/>
    <w:rsid w:val="001764AD"/>
    <w:rsid w:val="00182ABC"/>
    <w:rsid w:val="001927FC"/>
    <w:rsid w:val="001B76E5"/>
    <w:rsid w:val="001C1B85"/>
    <w:rsid w:val="001D6530"/>
    <w:rsid w:val="001E1992"/>
    <w:rsid w:val="001E2451"/>
    <w:rsid w:val="001E7BC9"/>
    <w:rsid w:val="001F04A4"/>
    <w:rsid w:val="001F2047"/>
    <w:rsid w:val="001F23C1"/>
    <w:rsid w:val="001F2C46"/>
    <w:rsid w:val="001F440E"/>
    <w:rsid w:val="001F7F42"/>
    <w:rsid w:val="00212677"/>
    <w:rsid w:val="00221FD7"/>
    <w:rsid w:val="002233E7"/>
    <w:rsid w:val="00230AA1"/>
    <w:rsid w:val="00267448"/>
    <w:rsid w:val="00274BCF"/>
    <w:rsid w:val="0028362A"/>
    <w:rsid w:val="0028422E"/>
    <w:rsid w:val="0028566E"/>
    <w:rsid w:val="00293697"/>
    <w:rsid w:val="002A04D0"/>
    <w:rsid w:val="002A6CEB"/>
    <w:rsid w:val="002B500C"/>
    <w:rsid w:val="002D172C"/>
    <w:rsid w:val="002D31A2"/>
    <w:rsid w:val="002D57AB"/>
    <w:rsid w:val="002D669B"/>
    <w:rsid w:val="002F2790"/>
    <w:rsid w:val="002F299F"/>
    <w:rsid w:val="002F2AE1"/>
    <w:rsid w:val="00301316"/>
    <w:rsid w:val="00315DA2"/>
    <w:rsid w:val="00327854"/>
    <w:rsid w:val="00330CE4"/>
    <w:rsid w:val="0033157B"/>
    <w:rsid w:val="00334DD4"/>
    <w:rsid w:val="00344846"/>
    <w:rsid w:val="0034611E"/>
    <w:rsid w:val="00351AC6"/>
    <w:rsid w:val="00355F1B"/>
    <w:rsid w:val="003561E8"/>
    <w:rsid w:val="00356869"/>
    <w:rsid w:val="00365D8D"/>
    <w:rsid w:val="00371ABD"/>
    <w:rsid w:val="0037785F"/>
    <w:rsid w:val="00385176"/>
    <w:rsid w:val="00390F11"/>
    <w:rsid w:val="00394410"/>
    <w:rsid w:val="003B2944"/>
    <w:rsid w:val="003B593E"/>
    <w:rsid w:val="003D291E"/>
    <w:rsid w:val="003D2EF3"/>
    <w:rsid w:val="003D3864"/>
    <w:rsid w:val="003D487B"/>
    <w:rsid w:val="003D4E06"/>
    <w:rsid w:val="003D5302"/>
    <w:rsid w:val="003E0283"/>
    <w:rsid w:val="003F1768"/>
    <w:rsid w:val="00407C20"/>
    <w:rsid w:val="00407C65"/>
    <w:rsid w:val="00411346"/>
    <w:rsid w:val="004128E5"/>
    <w:rsid w:val="004416D1"/>
    <w:rsid w:val="00441801"/>
    <w:rsid w:val="00443B31"/>
    <w:rsid w:val="00446709"/>
    <w:rsid w:val="0045184C"/>
    <w:rsid w:val="00452ADD"/>
    <w:rsid w:val="00454997"/>
    <w:rsid w:val="00461587"/>
    <w:rsid w:val="00462072"/>
    <w:rsid w:val="004625DC"/>
    <w:rsid w:val="00467565"/>
    <w:rsid w:val="00470A3F"/>
    <w:rsid w:val="0047573F"/>
    <w:rsid w:val="00484089"/>
    <w:rsid w:val="00491FA6"/>
    <w:rsid w:val="00492205"/>
    <w:rsid w:val="004A4C0B"/>
    <w:rsid w:val="004B0A69"/>
    <w:rsid w:val="004B71DB"/>
    <w:rsid w:val="004D1FBF"/>
    <w:rsid w:val="004D2B49"/>
    <w:rsid w:val="004E2D30"/>
    <w:rsid w:val="004E380B"/>
    <w:rsid w:val="004F23F0"/>
    <w:rsid w:val="004F7C22"/>
    <w:rsid w:val="00523F4D"/>
    <w:rsid w:val="00525AC0"/>
    <w:rsid w:val="00525C19"/>
    <w:rsid w:val="00526DFB"/>
    <w:rsid w:val="00532AE5"/>
    <w:rsid w:val="0055506C"/>
    <w:rsid w:val="00565BEA"/>
    <w:rsid w:val="00576080"/>
    <w:rsid w:val="00582D6B"/>
    <w:rsid w:val="0058579D"/>
    <w:rsid w:val="00592087"/>
    <w:rsid w:val="00597BF8"/>
    <w:rsid w:val="005B54A9"/>
    <w:rsid w:val="005B5B6B"/>
    <w:rsid w:val="005C628C"/>
    <w:rsid w:val="005D2074"/>
    <w:rsid w:val="005D60A4"/>
    <w:rsid w:val="005E15EA"/>
    <w:rsid w:val="005E6FAD"/>
    <w:rsid w:val="005F5255"/>
    <w:rsid w:val="00602421"/>
    <w:rsid w:val="0061608A"/>
    <w:rsid w:val="00617775"/>
    <w:rsid w:val="006208EB"/>
    <w:rsid w:val="006232A9"/>
    <w:rsid w:val="006263A8"/>
    <w:rsid w:val="00641C15"/>
    <w:rsid w:val="00644A8B"/>
    <w:rsid w:val="00644C52"/>
    <w:rsid w:val="0064638D"/>
    <w:rsid w:val="00651FAA"/>
    <w:rsid w:val="00652FEE"/>
    <w:rsid w:val="0065546E"/>
    <w:rsid w:val="006679B9"/>
    <w:rsid w:val="00675FDF"/>
    <w:rsid w:val="00680372"/>
    <w:rsid w:val="0068213F"/>
    <w:rsid w:val="006964EA"/>
    <w:rsid w:val="006A0AE7"/>
    <w:rsid w:val="006A1817"/>
    <w:rsid w:val="006A2450"/>
    <w:rsid w:val="006A2C4B"/>
    <w:rsid w:val="006A43A5"/>
    <w:rsid w:val="006B2E63"/>
    <w:rsid w:val="006C7CD9"/>
    <w:rsid w:val="006D1829"/>
    <w:rsid w:val="006D6D74"/>
    <w:rsid w:val="006E04BB"/>
    <w:rsid w:val="006E1706"/>
    <w:rsid w:val="006E18C7"/>
    <w:rsid w:val="006F0EA2"/>
    <w:rsid w:val="0070031C"/>
    <w:rsid w:val="00702589"/>
    <w:rsid w:val="007122A7"/>
    <w:rsid w:val="00713FCB"/>
    <w:rsid w:val="0071753F"/>
    <w:rsid w:val="0072324B"/>
    <w:rsid w:val="00734A09"/>
    <w:rsid w:val="00747D64"/>
    <w:rsid w:val="00752E03"/>
    <w:rsid w:val="00755352"/>
    <w:rsid w:val="00771FC3"/>
    <w:rsid w:val="007752CE"/>
    <w:rsid w:val="00781D9A"/>
    <w:rsid w:val="00783A68"/>
    <w:rsid w:val="007934AD"/>
    <w:rsid w:val="007A3F63"/>
    <w:rsid w:val="007A5C56"/>
    <w:rsid w:val="007B6F74"/>
    <w:rsid w:val="007C0079"/>
    <w:rsid w:val="007C2710"/>
    <w:rsid w:val="007D7CC2"/>
    <w:rsid w:val="007E2C59"/>
    <w:rsid w:val="007E3518"/>
    <w:rsid w:val="007E6560"/>
    <w:rsid w:val="007F6EC6"/>
    <w:rsid w:val="0080225D"/>
    <w:rsid w:val="0080565F"/>
    <w:rsid w:val="00815938"/>
    <w:rsid w:val="00817A60"/>
    <w:rsid w:val="00820394"/>
    <w:rsid w:val="00820AED"/>
    <w:rsid w:val="00821004"/>
    <w:rsid w:val="00825758"/>
    <w:rsid w:val="008429DF"/>
    <w:rsid w:val="00855CC2"/>
    <w:rsid w:val="00862F7D"/>
    <w:rsid w:val="008643E8"/>
    <w:rsid w:val="00867769"/>
    <w:rsid w:val="0087262F"/>
    <w:rsid w:val="00873E8C"/>
    <w:rsid w:val="0087523D"/>
    <w:rsid w:val="008853D7"/>
    <w:rsid w:val="00886773"/>
    <w:rsid w:val="008A22C0"/>
    <w:rsid w:val="008A43F9"/>
    <w:rsid w:val="008A45C2"/>
    <w:rsid w:val="008A507B"/>
    <w:rsid w:val="008C6800"/>
    <w:rsid w:val="008D5871"/>
    <w:rsid w:val="008E67CA"/>
    <w:rsid w:val="008F3FDF"/>
    <w:rsid w:val="00906485"/>
    <w:rsid w:val="00945FBA"/>
    <w:rsid w:val="00946A7F"/>
    <w:rsid w:val="00946C47"/>
    <w:rsid w:val="00953113"/>
    <w:rsid w:val="009620DB"/>
    <w:rsid w:val="00965123"/>
    <w:rsid w:val="00966E41"/>
    <w:rsid w:val="00973C2E"/>
    <w:rsid w:val="0097444A"/>
    <w:rsid w:val="009772E1"/>
    <w:rsid w:val="00985DEC"/>
    <w:rsid w:val="0099305D"/>
    <w:rsid w:val="0099578D"/>
    <w:rsid w:val="009A25E2"/>
    <w:rsid w:val="009A3557"/>
    <w:rsid w:val="009A39BC"/>
    <w:rsid w:val="009C1DB0"/>
    <w:rsid w:val="009C4BAD"/>
    <w:rsid w:val="009D1D1E"/>
    <w:rsid w:val="009D3530"/>
    <w:rsid w:val="009D4DF2"/>
    <w:rsid w:val="009E1110"/>
    <w:rsid w:val="009E6101"/>
    <w:rsid w:val="009F1A4F"/>
    <w:rsid w:val="00A05377"/>
    <w:rsid w:val="00A20799"/>
    <w:rsid w:val="00A22FC4"/>
    <w:rsid w:val="00A25235"/>
    <w:rsid w:val="00A307B6"/>
    <w:rsid w:val="00A32B77"/>
    <w:rsid w:val="00A36D11"/>
    <w:rsid w:val="00A40482"/>
    <w:rsid w:val="00A4248E"/>
    <w:rsid w:val="00A478C8"/>
    <w:rsid w:val="00A549D6"/>
    <w:rsid w:val="00A57765"/>
    <w:rsid w:val="00A63150"/>
    <w:rsid w:val="00A72219"/>
    <w:rsid w:val="00A80FC1"/>
    <w:rsid w:val="00A81FF1"/>
    <w:rsid w:val="00AA02C0"/>
    <w:rsid w:val="00AB075F"/>
    <w:rsid w:val="00AB25B6"/>
    <w:rsid w:val="00AB4C52"/>
    <w:rsid w:val="00AB67BA"/>
    <w:rsid w:val="00AC0DD0"/>
    <w:rsid w:val="00AD01AB"/>
    <w:rsid w:val="00AD085D"/>
    <w:rsid w:val="00AD5380"/>
    <w:rsid w:val="00B05A43"/>
    <w:rsid w:val="00B120AE"/>
    <w:rsid w:val="00B1593C"/>
    <w:rsid w:val="00B16689"/>
    <w:rsid w:val="00B22BC8"/>
    <w:rsid w:val="00B2435D"/>
    <w:rsid w:val="00B35429"/>
    <w:rsid w:val="00B37A27"/>
    <w:rsid w:val="00B40484"/>
    <w:rsid w:val="00B46001"/>
    <w:rsid w:val="00B51D45"/>
    <w:rsid w:val="00B53877"/>
    <w:rsid w:val="00B57B19"/>
    <w:rsid w:val="00B62EC2"/>
    <w:rsid w:val="00B67CE4"/>
    <w:rsid w:val="00B70A80"/>
    <w:rsid w:val="00B71AB7"/>
    <w:rsid w:val="00B74764"/>
    <w:rsid w:val="00B831D6"/>
    <w:rsid w:val="00B93460"/>
    <w:rsid w:val="00B94ABF"/>
    <w:rsid w:val="00B96D8E"/>
    <w:rsid w:val="00B96F1A"/>
    <w:rsid w:val="00BA4795"/>
    <w:rsid w:val="00BA6DA2"/>
    <w:rsid w:val="00BB49B1"/>
    <w:rsid w:val="00BB60C0"/>
    <w:rsid w:val="00BB7542"/>
    <w:rsid w:val="00BC4420"/>
    <w:rsid w:val="00BC6FB4"/>
    <w:rsid w:val="00BD1E64"/>
    <w:rsid w:val="00BE262D"/>
    <w:rsid w:val="00BF5B71"/>
    <w:rsid w:val="00C078F3"/>
    <w:rsid w:val="00C10E91"/>
    <w:rsid w:val="00C114DF"/>
    <w:rsid w:val="00C1496B"/>
    <w:rsid w:val="00C14DDA"/>
    <w:rsid w:val="00C36E76"/>
    <w:rsid w:val="00C425A4"/>
    <w:rsid w:val="00C502F7"/>
    <w:rsid w:val="00C50501"/>
    <w:rsid w:val="00C5144E"/>
    <w:rsid w:val="00C557A7"/>
    <w:rsid w:val="00C5636C"/>
    <w:rsid w:val="00C619B8"/>
    <w:rsid w:val="00C61B31"/>
    <w:rsid w:val="00C754A3"/>
    <w:rsid w:val="00C7577D"/>
    <w:rsid w:val="00C8359C"/>
    <w:rsid w:val="00C83BB9"/>
    <w:rsid w:val="00C83BD7"/>
    <w:rsid w:val="00CA46EB"/>
    <w:rsid w:val="00CA6F83"/>
    <w:rsid w:val="00CB0502"/>
    <w:rsid w:val="00CB199C"/>
    <w:rsid w:val="00CB2F28"/>
    <w:rsid w:val="00CC68A4"/>
    <w:rsid w:val="00CC6E12"/>
    <w:rsid w:val="00CD4D8E"/>
    <w:rsid w:val="00CE4C9D"/>
    <w:rsid w:val="00CE5AEB"/>
    <w:rsid w:val="00CE7062"/>
    <w:rsid w:val="00CF6E4B"/>
    <w:rsid w:val="00CF7201"/>
    <w:rsid w:val="00D24634"/>
    <w:rsid w:val="00D372EC"/>
    <w:rsid w:val="00D46A25"/>
    <w:rsid w:val="00D573A1"/>
    <w:rsid w:val="00D62EA8"/>
    <w:rsid w:val="00D74110"/>
    <w:rsid w:val="00D836F1"/>
    <w:rsid w:val="00D87DAA"/>
    <w:rsid w:val="00DA0789"/>
    <w:rsid w:val="00DA2A02"/>
    <w:rsid w:val="00DA736B"/>
    <w:rsid w:val="00DC3202"/>
    <w:rsid w:val="00DD6AA8"/>
    <w:rsid w:val="00DD75FE"/>
    <w:rsid w:val="00DE0C83"/>
    <w:rsid w:val="00DE1AD5"/>
    <w:rsid w:val="00DE2797"/>
    <w:rsid w:val="00DE39A5"/>
    <w:rsid w:val="00DE550E"/>
    <w:rsid w:val="00DE6518"/>
    <w:rsid w:val="00E001D9"/>
    <w:rsid w:val="00E0210A"/>
    <w:rsid w:val="00E10306"/>
    <w:rsid w:val="00E121C2"/>
    <w:rsid w:val="00E315F9"/>
    <w:rsid w:val="00E3624E"/>
    <w:rsid w:val="00E5751E"/>
    <w:rsid w:val="00E6307D"/>
    <w:rsid w:val="00E64D88"/>
    <w:rsid w:val="00E653A4"/>
    <w:rsid w:val="00E6720A"/>
    <w:rsid w:val="00E706A9"/>
    <w:rsid w:val="00E84676"/>
    <w:rsid w:val="00EA272F"/>
    <w:rsid w:val="00EA3899"/>
    <w:rsid w:val="00EA54B4"/>
    <w:rsid w:val="00EA7AA0"/>
    <w:rsid w:val="00EB338E"/>
    <w:rsid w:val="00EC0BE8"/>
    <w:rsid w:val="00ED08D7"/>
    <w:rsid w:val="00EE2700"/>
    <w:rsid w:val="00EE5E88"/>
    <w:rsid w:val="00EF10C8"/>
    <w:rsid w:val="00EF6522"/>
    <w:rsid w:val="00F06B02"/>
    <w:rsid w:val="00F13535"/>
    <w:rsid w:val="00F212F8"/>
    <w:rsid w:val="00F23FEF"/>
    <w:rsid w:val="00F26204"/>
    <w:rsid w:val="00F36565"/>
    <w:rsid w:val="00F36FF8"/>
    <w:rsid w:val="00F46528"/>
    <w:rsid w:val="00F60C75"/>
    <w:rsid w:val="00F754F8"/>
    <w:rsid w:val="00F75833"/>
    <w:rsid w:val="00F877EF"/>
    <w:rsid w:val="00F87EC1"/>
    <w:rsid w:val="00F915AF"/>
    <w:rsid w:val="00F91B1E"/>
    <w:rsid w:val="00F93A8B"/>
    <w:rsid w:val="00FA4AC9"/>
    <w:rsid w:val="00FB7921"/>
    <w:rsid w:val="00FB7C39"/>
    <w:rsid w:val="00FC2432"/>
    <w:rsid w:val="00FD0A73"/>
    <w:rsid w:val="00FE1CEF"/>
    <w:rsid w:val="00FE4622"/>
    <w:rsid w:val="00FF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043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6"/>
        <w:lang w:val="en-US" w:eastAsia="en-US" w:bidi="ar-SA"/>
      </w:rPr>
    </w:rPrDefault>
    <w:pPrDefault>
      <w:pPr>
        <w:spacing w:after="160" w:line="4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385176"/>
    <w:pPr>
      <w:tabs>
        <w:tab w:val="left" w:pos="720"/>
      </w:tabs>
      <w:spacing w:after="0" w:line="480" w:lineRule="atLeast"/>
      <w:ind w:firstLine="720"/>
    </w:pPr>
  </w:style>
  <w:style w:type="paragraph" w:styleId="Heading1">
    <w:name w:val="heading 1"/>
    <w:basedOn w:val="Normal"/>
    <w:next w:val="Normal"/>
    <w:link w:val="Heading1Char"/>
    <w:autoRedefine/>
    <w:uiPriority w:val="9"/>
    <w:qFormat/>
    <w:rsid w:val="00752E03"/>
    <w:pPr>
      <w:keepNext/>
      <w:ind w:firstLine="0"/>
      <w:jc w:val="center"/>
      <w:outlineLvl w:val="0"/>
    </w:pPr>
    <w:rPr>
      <w:rFonts w:eastAsiaTheme="majorEastAsia"/>
      <w:b/>
      <w:bCs/>
      <w:caps/>
      <w:szCs w:val="32"/>
    </w:rPr>
  </w:style>
  <w:style w:type="paragraph" w:styleId="Heading2">
    <w:name w:val="heading 2"/>
    <w:basedOn w:val="Normal"/>
    <w:next w:val="Normal"/>
    <w:link w:val="Heading2Char"/>
    <w:uiPriority w:val="9"/>
    <w:qFormat/>
    <w:rsid w:val="00752E03"/>
    <w:pPr>
      <w:keepNext/>
      <w:ind w:left="720" w:firstLine="0"/>
      <w:outlineLvl w:val="1"/>
    </w:pPr>
    <w:rPr>
      <w:rFonts w:eastAsiaTheme="majorEastAsia"/>
      <w:bCs/>
      <w:i/>
      <w:iCs/>
      <w:szCs w:val="28"/>
    </w:rPr>
  </w:style>
  <w:style w:type="paragraph" w:styleId="Heading3">
    <w:name w:val="heading 3"/>
    <w:basedOn w:val="Normal"/>
    <w:next w:val="Normal"/>
    <w:link w:val="Heading3Char"/>
    <w:autoRedefine/>
    <w:uiPriority w:val="9"/>
    <w:qFormat/>
    <w:rsid w:val="00752E03"/>
    <w:pPr>
      <w:keepNext/>
      <w:numPr>
        <w:numId w:val="1"/>
      </w:numPr>
      <w:ind w:left="1080" w:firstLine="0"/>
      <w:outlineLvl w:val="2"/>
    </w:pPr>
    <w:rPr>
      <w:rFonts w:eastAsiaTheme="majorEastAsia"/>
      <w:bCs/>
      <w:u w:val="single"/>
    </w:rPr>
  </w:style>
  <w:style w:type="paragraph" w:styleId="Heading4">
    <w:name w:val="heading 4"/>
    <w:basedOn w:val="Normal"/>
    <w:next w:val="Normal"/>
    <w:link w:val="Heading4Char"/>
    <w:autoRedefine/>
    <w:uiPriority w:val="9"/>
    <w:unhideWhenUsed/>
    <w:qFormat/>
    <w:rsid w:val="00752E03"/>
    <w:pPr>
      <w:keepNext/>
      <w:keepLines/>
      <w:ind w:left="1440" w:firstLine="0"/>
      <w:outlineLvl w:val="3"/>
    </w:pPr>
    <w:rPr>
      <w:rFonts w:eastAsiaTheme="majorEastAsia" w:cstheme="majorBidi"/>
      <w:iCs/>
      <w:color w:val="000000" w:themeColor="text1"/>
      <w:szCs w:val="24"/>
    </w:rPr>
  </w:style>
  <w:style w:type="paragraph" w:styleId="Heading6">
    <w:name w:val="heading 6"/>
    <w:basedOn w:val="Normal"/>
    <w:next w:val="Normal"/>
    <w:link w:val="Heading6Char"/>
    <w:uiPriority w:val="9"/>
    <w:semiHidden/>
    <w:unhideWhenUsed/>
    <w:qFormat/>
    <w:rsid w:val="006E1706"/>
    <w:pPr>
      <w:spacing w:before="240" w:after="60"/>
      <w:outlineLvl w:val="5"/>
    </w:pPr>
    <w:rPr>
      <w:b/>
      <w:bCs/>
    </w:rPr>
  </w:style>
  <w:style w:type="paragraph" w:styleId="Heading7">
    <w:name w:val="heading 7"/>
    <w:basedOn w:val="Normal"/>
    <w:next w:val="Normal"/>
    <w:link w:val="Heading7Char"/>
    <w:uiPriority w:val="9"/>
    <w:semiHidden/>
    <w:unhideWhenUsed/>
    <w:qFormat/>
    <w:rsid w:val="006E1706"/>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6E1706"/>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6E1706"/>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E1706"/>
    <w:pPr>
      <w:tabs>
        <w:tab w:val="clear" w:pos="720"/>
        <w:tab w:val="center" w:pos="4680"/>
        <w:tab w:val="right" w:pos="9360"/>
      </w:tabs>
      <w:spacing w:line="240" w:lineRule="auto"/>
    </w:pPr>
    <w:rPr>
      <w:szCs w:val="24"/>
    </w:rPr>
  </w:style>
  <w:style w:type="character" w:customStyle="1" w:styleId="FooterChar">
    <w:name w:val="Footer Char"/>
    <w:basedOn w:val="DefaultParagraphFont"/>
    <w:link w:val="Footer"/>
    <w:rsid w:val="006E1706"/>
    <w:rPr>
      <w:szCs w:val="24"/>
    </w:rPr>
  </w:style>
  <w:style w:type="character" w:styleId="FootnoteReference">
    <w:name w:val="footnote reference"/>
    <w:basedOn w:val="DefaultParagraphFont"/>
    <w:unhideWhenUsed/>
    <w:qFormat/>
    <w:rsid w:val="006E1706"/>
    <w:rPr>
      <w:vertAlign w:val="superscript"/>
    </w:rPr>
  </w:style>
  <w:style w:type="paragraph" w:styleId="FootnoteText">
    <w:name w:val="footnote text"/>
    <w:basedOn w:val="Normal"/>
    <w:link w:val="FootnoteTextChar"/>
    <w:unhideWhenUsed/>
    <w:rsid w:val="006E1706"/>
    <w:rPr>
      <w:szCs w:val="20"/>
    </w:rPr>
  </w:style>
  <w:style w:type="character" w:customStyle="1" w:styleId="FootnoteTextChar">
    <w:name w:val="Footnote Text Char"/>
    <w:basedOn w:val="DefaultParagraphFont"/>
    <w:link w:val="FootnoteText"/>
    <w:rsid w:val="006E1706"/>
    <w:rPr>
      <w:szCs w:val="20"/>
    </w:rPr>
  </w:style>
  <w:style w:type="character" w:customStyle="1" w:styleId="Heading1Char">
    <w:name w:val="Heading 1 Char"/>
    <w:basedOn w:val="DefaultParagraphFont"/>
    <w:link w:val="Heading1"/>
    <w:uiPriority w:val="9"/>
    <w:rsid w:val="00752E03"/>
    <w:rPr>
      <w:rFonts w:eastAsiaTheme="majorEastAsia"/>
      <w:b/>
      <w:bCs/>
      <w:caps/>
      <w:szCs w:val="32"/>
    </w:rPr>
  </w:style>
  <w:style w:type="character" w:customStyle="1" w:styleId="Heading2Char">
    <w:name w:val="Heading 2 Char"/>
    <w:basedOn w:val="DefaultParagraphFont"/>
    <w:link w:val="Heading2"/>
    <w:uiPriority w:val="9"/>
    <w:rsid w:val="00752E03"/>
    <w:rPr>
      <w:rFonts w:eastAsiaTheme="majorEastAsia"/>
      <w:bCs/>
      <w:i/>
      <w:iCs/>
      <w:szCs w:val="28"/>
    </w:rPr>
  </w:style>
  <w:style w:type="character" w:customStyle="1" w:styleId="Heading3Char">
    <w:name w:val="Heading 3 Char"/>
    <w:basedOn w:val="DefaultParagraphFont"/>
    <w:link w:val="Heading3"/>
    <w:uiPriority w:val="9"/>
    <w:rsid w:val="00752E03"/>
    <w:rPr>
      <w:rFonts w:eastAsiaTheme="majorEastAsia"/>
      <w:bCs/>
      <w:u w:val="single"/>
    </w:rPr>
  </w:style>
  <w:style w:type="character" w:customStyle="1" w:styleId="Heading4Char">
    <w:name w:val="Heading 4 Char"/>
    <w:basedOn w:val="DefaultParagraphFont"/>
    <w:link w:val="Heading4"/>
    <w:uiPriority w:val="9"/>
    <w:rsid w:val="00752E03"/>
    <w:rPr>
      <w:rFonts w:eastAsiaTheme="majorEastAsia" w:cstheme="majorBidi"/>
      <w:iCs/>
      <w:color w:val="000000" w:themeColor="text1"/>
      <w:szCs w:val="24"/>
    </w:rPr>
  </w:style>
  <w:style w:type="character" w:customStyle="1" w:styleId="Heading6Char">
    <w:name w:val="Heading 6 Char"/>
    <w:basedOn w:val="DefaultParagraphFont"/>
    <w:link w:val="Heading6"/>
    <w:uiPriority w:val="9"/>
    <w:semiHidden/>
    <w:rsid w:val="006E1706"/>
    <w:rPr>
      <w:b/>
      <w:bCs/>
    </w:rPr>
  </w:style>
  <w:style w:type="character" w:customStyle="1" w:styleId="Heading7Char">
    <w:name w:val="Heading 7 Char"/>
    <w:basedOn w:val="DefaultParagraphFont"/>
    <w:link w:val="Heading7"/>
    <w:uiPriority w:val="9"/>
    <w:semiHidden/>
    <w:rsid w:val="006E1706"/>
    <w:rPr>
      <w:sz w:val="24"/>
      <w:szCs w:val="24"/>
    </w:rPr>
  </w:style>
  <w:style w:type="character" w:customStyle="1" w:styleId="Heading8Char">
    <w:name w:val="Heading 8 Char"/>
    <w:basedOn w:val="DefaultParagraphFont"/>
    <w:link w:val="Heading8"/>
    <w:uiPriority w:val="9"/>
    <w:semiHidden/>
    <w:rsid w:val="006E1706"/>
    <w:rPr>
      <w:i/>
      <w:iCs/>
      <w:sz w:val="24"/>
      <w:szCs w:val="24"/>
    </w:rPr>
  </w:style>
  <w:style w:type="character" w:customStyle="1" w:styleId="Heading9Char">
    <w:name w:val="Heading 9 Char"/>
    <w:basedOn w:val="DefaultParagraphFont"/>
    <w:link w:val="Heading9"/>
    <w:uiPriority w:val="9"/>
    <w:semiHidden/>
    <w:rsid w:val="006E1706"/>
    <w:rPr>
      <w:rFonts w:asciiTheme="majorHAnsi" w:eastAsiaTheme="majorEastAsia" w:hAnsiTheme="majorHAnsi"/>
    </w:rPr>
  </w:style>
  <w:style w:type="paragraph" w:styleId="Subtitle">
    <w:name w:val="Subtitle"/>
    <w:basedOn w:val="Normal"/>
    <w:next w:val="Normal"/>
    <w:link w:val="SubtitleChar"/>
    <w:uiPriority w:val="11"/>
    <w:qFormat/>
    <w:rsid w:val="001E7BC9"/>
    <w:pPr>
      <w:spacing w:after="60" w:line="240" w:lineRule="atLeast"/>
      <w:outlineLvl w:val="1"/>
    </w:pPr>
    <w:rPr>
      <w:rFonts w:eastAsiaTheme="majorEastAsia"/>
      <w:szCs w:val="24"/>
    </w:rPr>
  </w:style>
  <w:style w:type="character" w:customStyle="1" w:styleId="SubtitleChar">
    <w:name w:val="Subtitle Char"/>
    <w:basedOn w:val="DefaultParagraphFont"/>
    <w:link w:val="Subtitle"/>
    <w:uiPriority w:val="11"/>
    <w:rsid w:val="001E7BC9"/>
    <w:rPr>
      <w:rFonts w:eastAsiaTheme="majorEastAsia"/>
      <w:szCs w:val="24"/>
    </w:rPr>
  </w:style>
  <w:style w:type="paragraph" w:styleId="Header">
    <w:name w:val="header"/>
    <w:basedOn w:val="Normal"/>
    <w:link w:val="HeaderChar"/>
    <w:uiPriority w:val="99"/>
    <w:unhideWhenUsed/>
    <w:rsid w:val="002D669B"/>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2D669B"/>
  </w:style>
  <w:style w:type="character" w:styleId="CommentReference">
    <w:name w:val="annotation reference"/>
    <w:basedOn w:val="DefaultParagraphFont"/>
    <w:uiPriority w:val="99"/>
    <w:semiHidden/>
    <w:unhideWhenUsed/>
    <w:rsid w:val="001F2047"/>
    <w:rPr>
      <w:sz w:val="16"/>
      <w:szCs w:val="16"/>
    </w:rPr>
  </w:style>
  <w:style w:type="paragraph" w:styleId="CommentText">
    <w:name w:val="annotation text"/>
    <w:basedOn w:val="Normal"/>
    <w:link w:val="CommentTextChar"/>
    <w:uiPriority w:val="99"/>
    <w:unhideWhenUsed/>
    <w:rsid w:val="001F2047"/>
    <w:pPr>
      <w:spacing w:line="240" w:lineRule="auto"/>
    </w:pPr>
    <w:rPr>
      <w:sz w:val="20"/>
      <w:szCs w:val="20"/>
    </w:rPr>
  </w:style>
  <w:style w:type="character" w:customStyle="1" w:styleId="CommentTextChar">
    <w:name w:val="Comment Text Char"/>
    <w:basedOn w:val="DefaultParagraphFont"/>
    <w:link w:val="CommentText"/>
    <w:uiPriority w:val="99"/>
    <w:rsid w:val="001F2047"/>
    <w:rPr>
      <w:sz w:val="20"/>
      <w:szCs w:val="20"/>
    </w:rPr>
  </w:style>
  <w:style w:type="paragraph" w:styleId="BalloonText">
    <w:name w:val="Balloon Text"/>
    <w:basedOn w:val="Normal"/>
    <w:link w:val="BalloonTextChar"/>
    <w:uiPriority w:val="99"/>
    <w:semiHidden/>
    <w:unhideWhenUsed/>
    <w:rsid w:val="001F20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047"/>
    <w:rPr>
      <w:rFonts w:ascii="Segoe UI" w:hAnsi="Segoe UI" w:cs="Segoe UI"/>
      <w:sz w:val="18"/>
      <w:szCs w:val="18"/>
    </w:rPr>
  </w:style>
  <w:style w:type="paragraph" w:styleId="Revision">
    <w:name w:val="Revision"/>
    <w:hidden/>
    <w:uiPriority w:val="99"/>
    <w:semiHidden/>
    <w:rsid w:val="009E6101"/>
    <w:pPr>
      <w:spacing w:after="0" w:line="240" w:lineRule="auto"/>
    </w:pPr>
  </w:style>
  <w:style w:type="paragraph" w:styleId="CommentSubject">
    <w:name w:val="annotation subject"/>
    <w:basedOn w:val="CommentText"/>
    <w:next w:val="CommentText"/>
    <w:link w:val="CommentSubjectChar"/>
    <w:uiPriority w:val="99"/>
    <w:semiHidden/>
    <w:unhideWhenUsed/>
    <w:rsid w:val="0064638D"/>
    <w:rPr>
      <w:b/>
      <w:bCs/>
    </w:rPr>
  </w:style>
  <w:style w:type="character" w:customStyle="1" w:styleId="CommentSubjectChar">
    <w:name w:val="Comment Subject Char"/>
    <w:basedOn w:val="CommentTextChar"/>
    <w:link w:val="CommentSubject"/>
    <w:uiPriority w:val="99"/>
    <w:semiHidden/>
    <w:rsid w:val="0064638D"/>
    <w:rPr>
      <w:b/>
      <w:bCs/>
      <w:sz w:val="20"/>
      <w:szCs w:val="20"/>
    </w:rPr>
  </w:style>
  <w:style w:type="character" w:styleId="PageNumber">
    <w:name w:val="page number"/>
    <w:basedOn w:val="DefaultParagraphFont"/>
    <w:rsid w:val="00056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3991</Words>
  <Characters>21157</Characters>
  <Application>Microsoft Office Word</Application>
  <DocSecurity>0</DocSecurity>
  <Lines>440</Lines>
  <Paragraphs>136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25012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2023-12-13T18:14:00Z</cp:lastPrinted>
  <dcterms:created xsi:type="dcterms:W3CDTF">2024-02-24T00:28:00Z</dcterms:created>
  <dcterms:modified xsi:type="dcterms:W3CDTF">2024-02-24T00:28:00Z</dcterms:modified>
  <cp:category/>
</cp:coreProperties>
</file>