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20" w:right="0" w:firstLine="0"/>
        <w:jc w:val="left"/>
        <w:rPr>
          <w:rFonts w:ascii="Arial"/>
          <w:b/>
          <w:sz w:val="22"/>
        </w:rPr>
      </w:pPr>
      <w:r>
        <w:rPr>
          <w:rFonts w:ascii="Arial"/>
          <w:b/>
          <w:sz w:val="22"/>
        </w:rPr>
        <w:t>Seminar Content</w:t>
      </w:r>
    </w:p>
    <w:p>
      <w:pPr>
        <w:pStyle w:val="BodyText"/>
        <w:spacing w:before="1"/>
        <w:rPr>
          <w:rFonts w:ascii="Arial"/>
          <w:b/>
          <w:sz w:val="26"/>
        </w:rPr>
      </w:pPr>
    </w:p>
    <w:p>
      <w:pPr>
        <w:spacing w:before="0"/>
        <w:ind w:left="1420" w:right="0" w:firstLine="0"/>
        <w:jc w:val="left"/>
        <w:rPr>
          <w:rFonts w:ascii="Arial"/>
          <w:b/>
          <w:sz w:val="22"/>
        </w:rPr>
      </w:pPr>
      <w:r>
        <w:rPr>
          <w:rFonts w:ascii="Arial"/>
          <w:b/>
          <w:sz w:val="22"/>
        </w:rPr>
        <w:t>The Superior Courts and the Bar Associations of the Counties of</w:t>
      </w:r>
    </w:p>
    <w:p>
      <w:pPr>
        <w:tabs>
          <w:tab w:pos="2887" w:val="left" w:leader="none"/>
          <w:tab w:pos="4232" w:val="left" w:leader="none"/>
          <w:tab w:pos="5700" w:val="left" w:leader="none"/>
          <w:tab w:pos="5933" w:val="left" w:leader="none"/>
          <w:tab w:pos="7254" w:val="left" w:leader="none"/>
        </w:tabs>
        <w:spacing w:before="0"/>
        <w:ind w:left="1839" w:right="1765" w:hanging="53"/>
        <w:jc w:val="center"/>
        <w:rPr>
          <w:rFonts w:ascii="Arial"/>
          <w:b/>
          <w:sz w:val="22"/>
        </w:rPr>
      </w:pPr>
      <w:r>
        <w:rPr>
          <w:rFonts w:ascii="Arial"/>
          <w:b/>
          <w:w w:val="99"/>
          <w:sz w:val="22"/>
          <w:u w:val="single"/>
        </w:rPr>
        <w:t> </w:t>
      </w:r>
      <w:r>
        <w:rPr>
          <w:rFonts w:ascii="Arial"/>
          <w:b/>
          <w:sz w:val="22"/>
          <w:u w:val="single"/>
        </w:rPr>
        <w:tab/>
      </w:r>
      <w:r>
        <w:rPr>
          <w:rFonts w:ascii="Arial"/>
          <w:b/>
          <w:sz w:val="22"/>
        </w:rPr>
        <w:t>,</w:t>
      </w:r>
      <w:r>
        <w:rPr>
          <w:rFonts w:ascii="Arial"/>
          <w:b/>
          <w:sz w:val="22"/>
          <w:u w:val="single"/>
        </w:rPr>
        <w:t> </w:t>
        <w:tab/>
      </w:r>
      <w:r>
        <w:rPr>
          <w:rFonts w:ascii="Arial"/>
          <w:b/>
          <w:sz w:val="22"/>
        </w:rPr>
        <w:t>,</w:t>
      </w:r>
      <w:r>
        <w:rPr>
          <w:rFonts w:ascii="Arial"/>
          <w:b/>
          <w:sz w:val="22"/>
          <w:u w:val="single"/>
        </w:rPr>
        <w:t> </w:t>
        <w:tab/>
      </w:r>
      <w:r>
        <w:rPr>
          <w:rFonts w:ascii="Arial"/>
          <w:b/>
          <w:sz w:val="22"/>
        </w:rPr>
        <w:t>,</w:t>
      </w:r>
      <w:r>
        <w:rPr>
          <w:rFonts w:ascii="Arial"/>
          <w:b/>
          <w:spacing w:val="-1"/>
          <w:sz w:val="22"/>
        </w:rPr>
        <w:t> </w:t>
      </w:r>
      <w:r>
        <w:rPr>
          <w:rFonts w:ascii="Arial"/>
          <w:b/>
          <w:sz w:val="22"/>
        </w:rPr>
        <w:t>and</w:t>
      </w:r>
      <w:r>
        <w:rPr>
          <w:rFonts w:ascii="Arial"/>
          <w:b/>
          <w:sz w:val="22"/>
          <w:u w:val="single"/>
        </w:rPr>
        <w:t> </w:t>
        <w:tab/>
      </w:r>
      <w:r>
        <w:rPr>
          <w:rFonts w:ascii="Arial"/>
          <w:b/>
          <w:sz w:val="22"/>
        </w:rPr>
        <w:t>and the California Court</w:t>
      </w:r>
      <w:r>
        <w:rPr>
          <w:rFonts w:ascii="Arial"/>
          <w:b/>
          <w:spacing w:val="-3"/>
          <w:sz w:val="22"/>
        </w:rPr>
        <w:t> </w:t>
      </w:r>
      <w:r>
        <w:rPr>
          <w:rFonts w:ascii="Arial"/>
          <w:b/>
          <w:sz w:val="22"/>
        </w:rPr>
        <w:t>of</w:t>
      </w:r>
      <w:r>
        <w:rPr>
          <w:rFonts w:ascii="Arial"/>
          <w:b/>
          <w:spacing w:val="-1"/>
          <w:sz w:val="22"/>
        </w:rPr>
        <w:t> </w:t>
      </w:r>
      <w:r>
        <w:rPr>
          <w:rFonts w:ascii="Arial"/>
          <w:b/>
          <w:sz w:val="22"/>
        </w:rPr>
        <w:t>Appeal,</w:t>
      </w:r>
      <w:r>
        <w:rPr>
          <w:rFonts w:ascii="Arial"/>
          <w:b/>
          <w:sz w:val="22"/>
          <w:u w:val="single"/>
        </w:rPr>
        <w:t> </w:t>
        <w:tab/>
        <w:tab/>
      </w:r>
      <w:r>
        <w:rPr>
          <w:rFonts w:ascii="Arial"/>
          <w:b/>
          <w:sz w:val="22"/>
        </w:rPr>
        <w:t>Appellate District Present</w:t>
      </w:r>
    </w:p>
    <w:p>
      <w:pPr>
        <w:pStyle w:val="BodyText"/>
        <w:spacing w:before="11"/>
        <w:rPr>
          <w:rFonts w:ascii="Arial"/>
          <w:b/>
          <w:sz w:val="21"/>
        </w:rPr>
      </w:pPr>
    </w:p>
    <w:p>
      <w:pPr>
        <w:spacing w:before="0"/>
        <w:ind w:left="1915" w:right="0" w:firstLine="0"/>
        <w:jc w:val="left"/>
        <w:rPr>
          <w:rFonts w:ascii="Arial"/>
          <w:b/>
          <w:sz w:val="22"/>
        </w:rPr>
      </w:pPr>
      <w:r>
        <w:rPr>
          <w:rFonts w:ascii="Arial"/>
          <w:b/>
          <w:sz w:val="22"/>
        </w:rPr>
        <w:t>CHARTING THE COURSE TO JUDICIAL APPOINTMENT</w:t>
      </w:r>
    </w:p>
    <w:p>
      <w:pPr>
        <w:pStyle w:val="BodyText"/>
        <w:spacing w:before="0"/>
        <w:rPr>
          <w:rFonts w:ascii="Arial"/>
          <w:b/>
          <w:sz w:val="22"/>
        </w:rPr>
      </w:pPr>
    </w:p>
    <w:p>
      <w:pPr>
        <w:spacing w:line="252" w:lineRule="exact" w:before="1"/>
        <w:ind w:left="4467" w:right="4449" w:firstLine="0"/>
        <w:jc w:val="center"/>
        <w:rPr>
          <w:rFonts w:ascii="Arial"/>
          <w:b/>
          <w:i/>
          <w:sz w:val="22"/>
        </w:rPr>
      </w:pPr>
      <w:r>
        <w:rPr>
          <w:rFonts w:ascii="Arial"/>
          <w:b/>
          <w:i/>
          <w:sz w:val="22"/>
        </w:rPr>
        <w:t>[Date]</w:t>
      </w:r>
    </w:p>
    <w:p>
      <w:pPr>
        <w:spacing w:line="252" w:lineRule="exact" w:before="0"/>
        <w:ind w:left="2213" w:right="0" w:firstLine="0"/>
        <w:jc w:val="left"/>
        <w:rPr>
          <w:rFonts w:ascii="Arial"/>
          <w:b/>
          <w:i/>
          <w:sz w:val="22"/>
        </w:rPr>
      </w:pPr>
      <w:r>
        <w:rPr>
          <w:rFonts w:ascii="Arial"/>
          <w:b/>
          <w:sz w:val="22"/>
        </w:rPr>
        <w:t>1:00 to 4:30 p.m. </w:t>
      </w:r>
      <w:r>
        <w:rPr>
          <w:rFonts w:ascii="Arial"/>
          <w:b/>
          <w:i/>
          <w:sz w:val="22"/>
        </w:rPr>
        <w:t>[or other three-hour time period]</w:t>
      </w:r>
    </w:p>
    <w:p>
      <w:pPr>
        <w:tabs>
          <w:tab w:pos="4225" w:val="left" w:leader="none"/>
        </w:tabs>
        <w:spacing w:before="0"/>
        <w:ind w:left="2758" w:right="2736" w:hanging="1"/>
        <w:jc w:val="center"/>
        <w:rPr>
          <w:rFonts w:ascii="Arial"/>
          <w:b/>
          <w:sz w:val="22"/>
        </w:rPr>
      </w:pPr>
      <w:r>
        <w:rPr>
          <w:rFonts w:ascii="Arial"/>
          <w:b/>
          <w:w w:val="99"/>
          <w:sz w:val="22"/>
          <w:u w:val="single"/>
        </w:rPr>
        <w:t> </w:t>
      </w:r>
      <w:r>
        <w:rPr>
          <w:rFonts w:ascii="Arial"/>
          <w:b/>
          <w:sz w:val="22"/>
          <w:u w:val="single"/>
        </w:rPr>
        <w:tab/>
      </w:r>
      <w:r>
        <w:rPr>
          <w:rFonts w:ascii="Arial"/>
          <w:b/>
          <w:sz w:val="22"/>
        </w:rPr>
        <w:t> County</w:t>
      </w:r>
      <w:r>
        <w:rPr>
          <w:rFonts w:ascii="Arial"/>
          <w:b/>
          <w:spacing w:val="-2"/>
          <w:sz w:val="22"/>
        </w:rPr>
        <w:t> </w:t>
      </w:r>
      <w:r>
        <w:rPr>
          <w:rFonts w:ascii="Arial"/>
          <w:b/>
          <w:sz w:val="22"/>
        </w:rPr>
        <w:t>Courthouse     </w:t>
      </w:r>
      <w:r>
        <w:rPr>
          <w:rFonts w:ascii="Arial"/>
          <w:b/>
          <w:i/>
          <w:sz w:val="22"/>
        </w:rPr>
        <w:t>[Courthouse address or other</w:t>
      </w:r>
      <w:r>
        <w:rPr>
          <w:rFonts w:ascii="Arial"/>
          <w:b/>
          <w:i/>
          <w:spacing w:val="-16"/>
          <w:sz w:val="22"/>
        </w:rPr>
        <w:t> </w:t>
      </w:r>
      <w:r>
        <w:rPr>
          <w:rFonts w:ascii="Arial"/>
          <w:b/>
          <w:i/>
          <w:sz w:val="22"/>
        </w:rPr>
        <w:t>location] </w:t>
      </w:r>
      <w:r>
        <w:rPr>
          <w:rFonts w:ascii="Arial"/>
          <w:b/>
          <w:i/>
          <w:sz w:val="22"/>
        </w:rPr>
        <w:t>[City],</w:t>
      </w:r>
      <w:r>
        <w:rPr>
          <w:rFonts w:ascii="Arial"/>
          <w:b/>
          <w:i/>
          <w:spacing w:val="-1"/>
          <w:sz w:val="22"/>
        </w:rPr>
        <w:t> </w:t>
      </w:r>
      <w:r>
        <w:rPr>
          <w:rFonts w:ascii="Arial"/>
          <w:b/>
          <w:sz w:val="22"/>
        </w:rPr>
        <w:t>California</w:t>
      </w:r>
    </w:p>
    <w:p>
      <w:pPr>
        <w:pStyle w:val="BodyText"/>
        <w:spacing w:before="2"/>
        <w:rPr>
          <w:rFonts w:ascii="Arial"/>
          <w:b/>
          <w:sz w:val="28"/>
        </w:rPr>
      </w:pPr>
    </w:p>
    <w:p>
      <w:pPr>
        <w:tabs>
          <w:tab w:pos="2279" w:val="left" w:leader="none"/>
        </w:tabs>
        <w:spacing w:before="0"/>
        <w:ind w:left="120" w:right="0" w:firstLine="0"/>
        <w:jc w:val="left"/>
        <w:rPr>
          <w:b/>
          <w:sz w:val="24"/>
        </w:rPr>
      </w:pPr>
      <w:r>
        <w:rPr>
          <w:sz w:val="24"/>
        </w:rPr>
        <w:t>1:00–1:05 p.m.</w:t>
        <w:tab/>
      </w:r>
      <w:r>
        <w:rPr>
          <w:b/>
          <w:sz w:val="24"/>
        </w:rPr>
        <w:t>Welcome</w:t>
      </w:r>
    </w:p>
    <w:p>
      <w:pPr>
        <w:spacing w:before="25"/>
        <w:ind w:left="2280" w:right="0" w:firstLine="0"/>
        <w:jc w:val="left"/>
        <w:rPr>
          <w:i/>
          <w:sz w:val="24"/>
        </w:rPr>
      </w:pPr>
      <w:r>
        <w:rPr>
          <w:i/>
          <w:sz w:val="24"/>
        </w:rPr>
        <w:t>Presiding Judge of Hosting Superior Court</w:t>
      </w:r>
    </w:p>
    <w:p>
      <w:pPr>
        <w:pStyle w:val="ListParagraph"/>
        <w:numPr>
          <w:ilvl w:val="0"/>
          <w:numId w:val="1"/>
        </w:numPr>
        <w:tabs>
          <w:tab w:pos="2639" w:val="left" w:leader="none"/>
          <w:tab w:pos="2640" w:val="left" w:leader="none"/>
        </w:tabs>
        <w:spacing w:line="259" w:lineRule="auto" w:before="126" w:after="0"/>
        <w:ind w:left="2640" w:right="107" w:hanging="360"/>
        <w:jc w:val="left"/>
        <w:rPr>
          <w:sz w:val="24"/>
        </w:rPr>
      </w:pPr>
      <w:r>
        <w:rPr>
          <w:sz w:val="24"/>
        </w:rPr>
        <w:t>The presiding judge opens the program and serves as moderator for</w:t>
      </w:r>
      <w:r>
        <w:rPr>
          <w:spacing w:val="-24"/>
          <w:sz w:val="24"/>
        </w:rPr>
        <w:t> </w:t>
      </w:r>
      <w:r>
        <w:rPr>
          <w:sz w:val="24"/>
        </w:rPr>
        <w:t>the day.</w:t>
      </w:r>
    </w:p>
    <w:p>
      <w:pPr>
        <w:pStyle w:val="BodyText"/>
        <w:spacing w:before="2"/>
        <w:rPr>
          <w:sz w:val="26"/>
        </w:rPr>
      </w:pPr>
    </w:p>
    <w:p>
      <w:pPr>
        <w:tabs>
          <w:tab w:pos="2279" w:val="left" w:leader="none"/>
        </w:tabs>
        <w:spacing w:before="0"/>
        <w:ind w:left="119" w:right="0" w:firstLine="0"/>
        <w:jc w:val="left"/>
        <w:rPr>
          <w:b/>
          <w:sz w:val="24"/>
        </w:rPr>
      </w:pPr>
      <w:r>
        <w:rPr>
          <w:sz w:val="24"/>
        </w:rPr>
        <w:t>1:05–1:30 p.m.</w:t>
        <w:tab/>
      </w:r>
      <w:r>
        <w:rPr>
          <w:b/>
          <w:sz w:val="24"/>
        </w:rPr>
        <w:t>The Trial Bench: An Overview by Presiding</w:t>
      </w:r>
      <w:r>
        <w:rPr>
          <w:b/>
          <w:spacing w:val="-3"/>
          <w:sz w:val="24"/>
        </w:rPr>
        <w:t> </w:t>
      </w:r>
      <w:r>
        <w:rPr>
          <w:b/>
          <w:sz w:val="24"/>
        </w:rPr>
        <w:t>Judges</w:t>
      </w:r>
    </w:p>
    <w:p>
      <w:pPr>
        <w:pStyle w:val="ListParagraph"/>
        <w:numPr>
          <w:ilvl w:val="0"/>
          <w:numId w:val="1"/>
        </w:numPr>
        <w:tabs>
          <w:tab w:pos="2639" w:val="left" w:leader="none"/>
          <w:tab w:pos="2640" w:val="left" w:leader="none"/>
        </w:tabs>
        <w:spacing w:line="261" w:lineRule="auto" w:before="127" w:after="0"/>
        <w:ind w:left="2640" w:right="225" w:hanging="360"/>
        <w:jc w:val="left"/>
        <w:rPr>
          <w:sz w:val="24"/>
        </w:rPr>
      </w:pPr>
      <w:r>
        <w:rPr>
          <w:sz w:val="24"/>
        </w:rPr>
        <w:t>Presiding judges of all hosting courts discuss the number of judges on their courts, each presiding judge’s philosophy regarding assignments for new judges, training programs and educational requirements for new judges (including New Judges Orientation, Judicial College, and continuing judicial education expectations), designation of judicial mentors for each new judge,</w:t>
      </w:r>
      <w:r>
        <w:rPr>
          <w:spacing w:val="-1"/>
          <w:sz w:val="24"/>
        </w:rPr>
        <w:t> </w:t>
      </w:r>
      <w:r>
        <w:rPr>
          <w:sz w:val="24"/>
        </w:rPr>
        <w:t>etc.</w:t>
      </w:r>
    </w:p>
    <w:p>
      <w:pPr>
        <w:pStyle w:val="BodyText"/>
        <w:spacing w:before="5"/>
        <w:rPr>
          <w:sz w:val="25"/>
        </w:rPr>
      </w:pPr>
    </w:p>
    <w:p>
      <w:pPr>
        <w:tabs>
          <w:tab w:pos="2279" w:val="left" w:leader="none"/>
        </w:tabs>
        <w:spacing w:before="0"/>
        <w:ind w:left="120" w:right="0" w:firstLine="0"/>
        <w:jc w:val="left"/>
        <w:rPr>
          <w:b/>
          <w:sz w:val="24"/>
        </w:rPr>
      </w:pPr>
      <w:r>
        <w:rPr>
          <w:sz w:val="24"/>
        </w:rPr>
        <w:t>1:30–2:00 p.m.</w:t>
        <w:tab/>
      </w:r>
      <w:r>
        <w:rPr>
          <w:b/>
          <w:sz w:val="24"/>
        </w:rPr>
        <w:t>The Governor’s Office: The Appointment</w:t>
      </w:r>
      <w:r>
        <w:rPr>
          <w:b/>
          <w:spacing w:val="-3"/>
          <w:sz w:val="24"/>
        </w:rPr>
        <w:t> </w:t>
      </w:r>
      <w:r>
        <w:rPr>
          <w:b/>
          <w:sz w:val="24"/>
        </w:rPr>
        <w:t>Process</w:t>
      </w:r>
    </w:p>
    <w:p>
      <w:pPr>
        <w:spacing w:before="25"/>
        <w:ind w:left="2280" w:right="0" w:firstLine="0"/>
        <w:jc w:val="left"/>
        <w:rPr>
          <w:i/>
          <w:sz w:val="24"/>
        </w:rPr>
      </w:pPr>
      <w:r>
        <w:rPr>
          <w:i/>
          <w:sz w:val="24"/>
        </w:rPr>
        <w:t>Judicial Appointments Secretary</w:t>
      </w:r>
    </w:p>
    <w:p>
      <w:pPr>
        <w:pStyle w:val="ListParagraph"/>
        <w:numPr>
          <w:ilvl w:val="0"/>
          <w:numId w:val="1"/>
        </w:numPr>
        <w:tabs>
          <w:tab w:pos="2639" w:val="left" w:leader="none"/>
          <w:tab w:pos="2640" w:val="left" w:leader="none"/>
        </w:tabs>
        <w:spacing w:line="261" w:lineRule="auto" w:before="126" w:after="0"/>
        <w:ind w:left="2640" w:right="122" w:hanging="360"/>
        <w:jc w:val="left"/>
        <w:rPr>
          <w:sz w:val="24"/>
        </w:rPr>
      </w:pPr>
      <w:r>
        <w:rPr>
          <w:sz w:val="24"/>
        </w:rPr>
        <w:t>The Governor’s judicial appointments secretary (or, if he or she is unavailable, a former judicial appointments secretary) describes the Governor’s appointment process, the role played by the Governor’s Judicial Advisory Selection Committees (often referred to as the</w:t>
      </w:r>
      <w:r>
        <w:rPr>
          <w:spacing w:val="-30"/>
          <w:sz w:val="24"/>
        </w:rPr>
        <w:t> </w:t>
      </w:r>
      <w:r>
        <w:rPr>
          <w:sz w:val="24"/>
        </w:rPr>
        <w:t>“local committees”), the role of letters of recommendation, what kinds of applications have the greatest impact, the role of the Commission on Judicial Nominees Evaluation (JNE), how the JNE rating affects the next steps, the interview with the Governor’s Office, and the final call from the appointments secretary advising of the appointment. The judicial appointments secretary also explains options if the JNE rates the candidate “not qualified” or “not qualified at this</w:t>
      </w:r>
      <w:r>
        <w:rPr>
          <w:spacing w:val="-7"/>
          <w:sz w:val="24"/>
        </w:rPr>
        <w:t> </w:t>
      </w:r>
      <w:r>
        <w:rPr>
          <w:sz w:val="24"/>
        </w:rPr>
        <w:t>time.”</w:t>
      </w:r>
      <w:r>
        <w:rPr>
          <w:sz w:val="24"/>
          <w:vertAlign w:val="superscript"/>
        </w:rPr>
        <w:t>9</w:t>
      </w:r>
    </w:p>
    <w:p>
      <w:pPr>
        <w:pStyle w:val="BodyText"/>
        <w:spacing w:before="0"/>
        <w:rPr>
          <w:sz w:val="20"/>
        </w:rPr>
      </w:pPr>
    </w:p>
    <w:p>
      <w:pPr>
        <w:pStyle w:val="BodyText"/>
        <w:spacing w:before="9"/>
        <w:rPr>
          <w:sz w:val="22"/>
        </w:rPr>
      </w:pPr>
      <w:r>
        <w:rPr/>
        <w:pict>
          <v:line style="position:absolute;mso-position-horizontal-relative:page;mso-position-vertical-relative:paragraph;z-index:-1024;mso-wrap-distance-left:0;mso-wrap-distance-right:0" from="72pt,15.351355pt" to="216pt,15.351355pt" stroked="true" strokeweight=".6pt" strokecolor="#000000">
            <v:stroke dashstyle="solid"/>
            <w10:wrap type="topAndBottom"/>
          </v:line>
        </w:pict>
      </w:r>
    </w:p>
    <w:p>
      <w:pPr>
        <w:spacing w:before="47"/>
        <w:ind w:left="120" w:right="0" w:firstLine="0"/>
        <w:jc w:val="left"/>
        <w:rPr>
          <w:sz w:val="20"/>
        </w:rPr>
      </w:pPr>
      <w:r>
        <w:rPr>
          <w:position w:val="9"/>
          <w:sz w:val="13"/>
        </w:rPr>
        <w:t>9 </w:t>
      </w:r>
      <w:r>
        <w:rPr>
          <w:sz w:val="20"/>
        </w:rPr>
        <w:t>This additional rating is pending legislative approval at the time of this toolkit’s publication.</w:t>
      </w:r>
    </w:p>
    <w:p>
      <w:pPr>
        <w:spacing w:after="0"/>
        <w:jc w:val="left"/>
        <w:rPr>
          <w:sz w:val="20"/>
        </w:rPr>
        <w:sectPr>
          <w:type w:val="continuous"/>
          <w:pgSz w:w="12240" w:h="15840"/>
          <w:pgMar w:top="1360" w:bottom="280" w:left="1320" w:right="1340"/>
        </w:sectPr>
      </w:pPr>
    </w:p>
    <w:p>
      <w:pPr>
        <w:tabs>
          <w:tab w:pos="2279" w:val="left" w:leader="none"/>
        </w:tabs>
        <w:spacing w:before="62"/>
        <w:ind w:left="120" w:right="0" w:firstLine="0"/>
        <w:jc w:val="left"/>
        <w:rPr>
          <w:b/>
          <w:sz w:val="24"/>
        </w:rPr>
      </w:pPr>
      <w:r>
        <w:rPr>
          <w:sz w:val="24"/>
        </w:rPr>
        <w:t>2:00–2:15 p.m.</w:t>
        <w:tab/>
      </w:r>
      <w:r>
        <w:rPr>
          <w:b/>
          <w:sz w:val="24"/>
        </w:rPr>
        <w:t>Break</w:t>
      </w:r>
    </w:p>
    <w:p>
      <w:pPr>
        <w:pStyle w:val="BodyText"/>
        <w:spacing w:before="1"/>
        <w:rPr>
          <w:b/>
          <w:sz w:val="28"/>
        </w:rPr>
      </w:pPr>
    </w:p>
    <w:p>
      <w:pPr>
        <w:tabs>
          <w:tab w:pos="2279" w:val="left" w:leader="none"/>
        </w:tabs>
        <w:spacing w:before="1"/>
        <w:ind w:left="120" w:right="0" w:firstLine="0"/>
        <w:jc w:val="left"/>
        <w:rPr>
          <w:b/>
          <w:sz w:val="24"/>
        </w:rPr>
      </w:pPr>
      <w:r>
        <w:rPr>
          <w:sz w:val="24"/>
        </w:rPr>
        <w:t>2:15–2:45 p.m.</w:t>
        <w:tab/>
      </w:r>
      <w:r>
        <w:rPr>
          <w:b/>
          <w:sz w:val="24"/>
        </w:rPr>
        <w:t>The Role of County and Specialty Bar</w:t>
      </w:r>
      <w:r>
        <w:rPr>
          <w:b/>
          <w:spacing w:val="-6"/>
          <w:sz w:val="24"/>
        </w:rPr>
        <w:t> </w:t>
      </w:r>
      <w:r>
        <w:rPr>
          <w:b/>
          <w:sz w:val="24"/>
        </w:rPr>
        <w:t>Associations</w:t>
      </w:r>
    </w:p>
    <w:p>
      <w:pPr>
        <w:pStyle w:val="ListParagraph"/>
        <w:numPr>
          <w:ilvl w:val="0"/>
          <w:numId w:val="1"/>
        </w:numPr>
        <w:tabs>
          <w:tab w:pos="2639" w:val="left" w:leader="none"/>
          <w:tab w:pos="2640" w:val="left" w:leader="none"/>
        </w:tabs>
        <w:spacing w:line="259" w:lineRule="auto" w:before="126" w:after="0"/>
        <w:ind w:left="2640" w:right="117" w:hanging="360"/>
        <w:jc w:val="left"/>
        <w:rPr>
          <w:sz w:val="24"/>
        </w:rPr>
      </w:pPr>
      <w:r>
        <w:rPr>
          <w:sz w:val="24"/>
        </w:rPr>
        <w:t>Bar association and specialty bar presidents in hosting counties discuss their mandatory and optional evaluation programs and provide tips on how best to navigate that aspect of the appointment</w:t>
      </w:r>
      <w:r>
        <w:rPr>
          <w:spacing w:val="-6"/>
          <w:sz w:val="24"/>
        </w:rPr>
        <w:t> </w:t>
      </w:r>
      <w:r>
        <w:rPr>
          <w:sz w:val="24"/>
        </w:rPr>
        <w:t>process.</w:t>
      </w:r>
    </w:p>
    <w:p>
      <w:pPr>
        <w:pStyle w:val="BodyText"/>
        <w:spacing w:before="5"/>
        <w:rPr>
          <w:sz w:val="26"/>
        </w:rPr>
      </w:pPr>
    </w:p>
    <w:p>
      <w:pPr>
        <w:tabs>
          <w:tab w:pos="2279" w:val="left" w:leader="none"/>
        </w:tabs>
        <w:spacing w:before="0"/>
        <w:ind w:left="120" w:right="0" w:firstLine="0"/>
        <w:jc w:val="left"/>
        <w:rPr>
          <w:b/>
          <w:sz w:val="24"/>
        </w:rPr>
      </w:pPr>
      <w:r>
        <w:rPr>
          <w:sz w:val="24"/>
        </w:rPr>
        <w:t>2:45–3:15 p.m.</w:t>
        <w:tab/>
      </w:r>
      <w:r>
        <w:rPr>
          <w:b/>
          <w:sz w:val="24"/>
        </w:rPr>
        <w:t>Commission on Judicial Nominees</w:t>
      </w:r>
      <w:r>
        <w:rPr>
          <w:b/>
          <w:spacing w:val="-7"/>
          <w:sz w:val="24"/>
        </w:rPr>
        <w:t> </w:t>
      </w:r>
      <w:r>
        <w:rPr>
          <w:b/>
          <w:sz w:val="24"/>
        </w:rPr>
        <w:t>Evaluation</w:t>
      </w:r>
    </w:p>
    <w:p>
      <w:pPr>
        <w:spacing w:before="25"/>
        <w:ind w:left="2279" w:right="0" w:firstLine="0"/>
        <w:jc w:val="left"/>
        <w:rPr>
          <w:i/>
          <w:sz w:val="24"/>
        </w:rPr>
      </w:pPr>
      <w:r>
        <w:rPr>
          <w:i/>
          <w:sz w:val="24"/>
        </w:rPr>
        <w:t>Current Chair, JNE Commission</w:t>
      </w:r>
    </w:p>
    <w:p>
      <w:pPr>
        <w:pStyle w:val="ListParagraph"/>
        <w:numPr>
          <w:ilvl w:val="0"/>
          <w:numId w:val="1"/>
        </w:numPr>
        <w:tabs>
          <w:tab w:pos="2639" w:val="left" w:leader="none"/>
          <w:tab w:pos="2640" w:val="left" w:leader="none"/>
        </w:tabs>
        <w:spacing w:line="261" w:lineRule="auto" w:before="126" w:after="0"/>
        <w:ind w:left="2640" w:right="232" w:hanging="360"/>
        <w:jc w:val="left"/>
        <w:rPr>
          <w:sz w:val="24"/>
        </w:rPr>
      </w:pPr>
      <w:r>
        <w:rPr>
          <w:sz w:val="24"/>
        </w:rPr>
        <w:t>The chair (or, if he or she is unavailable, a member) of JNE guides participants through the evaluation process, from the referral from the Governor’s Office to the call from JNE requesting that the nominee provide mailing labels, issuance of mandatory evaluation forms, receipt of and follow-up on negative criticism, the summary of negative comments provided to the applicant in advance of the JNE interview, the JNE interview itself, and the report of JNE’s rating to the Governor’s</w:t>
      </w:r>
      <w:r>
        <w:rPr>
          <w:spacing w:val="-1"/>
          <w:sz w:val="24"/>
        </w:rPr>
        <w:t> </w:t>
      </w:r>
      <w:r>
        <w:rPr>
          <w:sz w:val="24"/>
        </w:rPr>
        <w:t>Office.</w:t>
      </w:r>
    </w:p>
    <w:p>
      <w:pPr>
        <w:pStyle w:val="BodyText"/>
        <w:spacing w:before="3"/>
        <w:rPr>
          <w:sz w:val="25"/>
        </w:rPr>
      </w:pPr>
    </w:p>
    <w:p>
      <w:pPr>
        <w:tabs>
          <w:tab w:pos="2279" w:val="left" w:leader="none"/>
        </w:tabs>
        <w:spacing w:before="0"/>
        <w:ind w:left="119" w:right="0" w:firstLine="0"/>
        <w:jc w:val="left"/>
        <w:rPr>
          <w:b/>
          <w:sz w:val="24"/>
        </w:rPr>
      </w:pPr>
      <w:r>
        <w:rPr>
          <w:sz w:val="24"/>
        </w:rPr>
        <w:t>3:15–3:25 p.m.</w:t>
        <w:tab/>
      </w:r>
      <w:r>
        <w:rPr>
          <w:b/>
          <w:sz w:val="24"/>
        </w:rPr>
        <w:t>Salary, Benefits,</w:t>
      </w:r>
      <w:r>
        <w:rPr>
          <w:b/>
          <w:spacing w:val="-2"/>
          <w:sz w:val="24"/>
        </w:rPr>
        <w:t> </w:t>
      </w:r>
      <w:r>
        <w:rPr>
          <w:b/>
          <w:sz w:val="24"/>
        </w:rPr>
        <w:t>Retirement</w:t>
      </w:r>
    </w:p>
    <w:p>
      <w:pPr>
        <w:spacing w:line="261" w:lineRule="auto" w:before="26"/>
        <w:ind w:left="2279" w:right="2129" w:firstLine="0"/>
        <w:jc w:val="left"/>
        <w:rPr>
          <w:i/>
          <w:sz w:val="24"/>
        </w:rPr>
      </w:pPr>
      <w:r>
        <w:rPr>
          <w:i/>
          <w:sz w:val="24"/>
        </w:rPr>
        <w:t>Representative From the Judicial Services Unit of the </w:t>
      </w:r>
      <w:r>
        <w:rPr>
          <w:i/>
          <w:sz w:val="24"/>
        </w:rPr>
        <w:t>Administrative Office of the Courts</w:t>
      </w:r>
    </w:p>
    <w:p>
      <w:pPr>
        <w:pStyle w:val="ListParagraph"/>
        <w:numPr>
          <w:ilvl w:val="0"/>
          <w:numId w:val="1"/>
        </w:numPr>
        <w:tabs>
          <w:tab w:pos="2640" w:val="left" w:leader="none"/>
        </w:tabs>
        <w:spacing w:line="259" w:lineRule="auto" w:before="100" w:after="0"/>
        <w:ind w:left="2640" w:right="488" w:hanging="360"/>
        <w:jc w:val="both"/>
        <w:rPr>
          <w:sz w:val="24"/>
        </w:rPr>
      </w:pPr>
      <w:r>
        <w:rPr>
          <w:sz w:val="24"/>
        </w:rPr>
        <w:t>The presenter describes the current salary, how salary increases</w:t>
      </w:r>
      <w:r>
        <w:rPr>
          <w:spacing w:val="-20"/>
          <w:sz w:val="24"/>
        </w:rPr>
        <w:t> </w:t>
      </w:r>
      <w:r>
        <w:rPr>
          <w:sz w:val="24"/>
        </w:rPr>
        <w:t>are determined, Tier 2 of the Judicial Retirement System, and vacation policies.</w:t>
      </w:r>
    </w:p>
    <w:p>
      <w:pPr>
        <w:pStyle w:val="BodyText"/>
        <w:spacing w:before="4"/>
        <w:rPr>
          <w:sz w:val="26"/>
        </w:rPr>
      </w:pPr>
    </w:p>
    <w:p>
      <w:pPr>
        <w:tabs>
          <w:tab w:pos="2279" w:val="left" w:leader="none"/>
        </w:tabs>
        <w:spacing w:before="0"/>
        <w:ind w:left="120" w:right="0" w:firstLine="0"/>
        <w:jc w:val="left"/>
        <w:rPr>
          <w:b/>
          <w:sz w:val="24"/>
        </w:rPr>
      </w:pPr>
      <w:r>
        <w:rPr>
          <w:sz w:val="24"/>
        </w:rPr>
        <w:t>3:25–3:40 p.m.</w:t>
        <w:tab/>
      </w:r>
      <w:r>
        <w:rPr>
          <w:b/>
          <w:sz w:val="24"/>
        </w:rPr>
        <w:t>Optional Segment: The Appellate</w:t>
      </w:r>
      <w:r>
        <w:rPr>
          <w:b/>
          <w:spacing w:val="-6"/>
          <w:sz w:val="24"/>
        </w:rPr>
        <w:t> </w:t>
      </w:r>
      <w:r>
        <w:rPr>
          <w:b/>
          <w:sz w:val="24"/>
        </w:rPr>
        <w:t>Court</w:t>
      </w:r>
    </w:p>
    <w:p>
      <w:pPr>
        <w:spacing w:before="25"/>
        <w:ind w:left="2280" w:right="0" w:firstLine="0"/>
        <w:jc w:val="left"/>
        <w:rPr>
          <w:i/>
          <w:sz w:val="24"/>
        </w:rPr>
      </w:pPr>
      <w:r>
        <w:rPr>
          <w:i/>
          <w:sz w:val="24"/>
        </w:rPr>
        <w:t>Administrative Presiding Justice (APJ) of the Appellate District</w:t>
      </w:r>
    </w:p>
    <w:p>
      <w:pPr>
        <w:pStyle w:val="ListParagraph"/>
        <w:numPr>
          <w:ilvl w:val="0"/>
          <w:numId w:val="1"/>
        </w:numPr>
        <w:tabs>
          <w:tab w:pos="2639" w:val="left" w:leader="none"/>
          <w:tab w:pos="2640" w:val="left" w:leader="none"/>
        </w:tabs>
        <w:spacing w:line="259" w:lineRule="auto" w:before="126" w:after="0"/>
        <w:ind w:left="2640" w:right="285" w:hanging="360"/>
        <w:jc w:val="left"/>
        <w:rPr>
          <w:sz w:val="24"/>
        </w:rPr>
      </w:pPr>
      <w:r>
        <w:rPr>
          <w:sz w:val="24"/>
        </w:rPr>
        <w:t>The APJ makes a brief appearance to discuss the role of the appellate courts and give a brief description of the appointment</w:t>
      </w:r>
      <w:r>
        <w:rPr>
          <w:spacing w:val="-3"/>
          <w:sz w:val="24"/>
        </w:rPr>
        <w:t> </w:t>
      </w:r>
      <w:r>
        <w:rPr>
          <w:sz w:val="24"/>
        </w:rPr>
        <w:t>process.</w:t>
      </w:r>
    </w:p>
    <w:p>
      <w:pPr>
        <w:pStyle w:val="BodyText"/>
        <w:spacing w:before="3"/>
        <w:rPr>
          <w:sz w:val="26"/>
        </w:rPr>
      </w:pPr>
    </w:p>
    <w:p>
      <w:pPr>
        <w:tabs>
          <w:tab w:pos="2279" w:val="left" w:leader="none"/>
        </w:tabs>
        <w:spacing w:before="0"/>
        <w:ind w:left="120" w:right="0" w:firstLine="0"/>
        <w:jc w:val="left"/>
        <w:rPr>
          <w:b/>
          <w:sz w:val="24"/>
        </w:rPr>
      </w:pPr>
      <w:r>
        <w:rPr>
          <w:sz w:val="24"/>
        </w:rPr>
        <w:t>3:25–3:35 p.m.</w:t>
        <w:tab/>
      </w:r>
      <w:r>
        <w:rPr>
          <w:b/>
          <w:sz w:val="24"/>
        </w:rPr>
        <w:t>Questions and</w:t>
      </w:r>
      <w:r>
        <w:rPr>
          <w:b/>
          <w:spacing w:val="-1"/>
          <w:sz w:val="24"/>
        </w:rPr>
        <w:t> </w:t>
      </w:r>
      <w:r>
        <w:rPr>
          <w:b/>
          <w:sz w:val="24"/>
        </w:rPr>
        <w:t>Answers</w:t>
      </w:r>
    </w:p>
    <w:p>
      <w:pPr>
        <w:pStyle w:val="BodyText"/>
        <w:tabs>
          <w:tab w:pos="2279" w:val="left" w:leader="none"/>
          <w:tab w:pos="2639" w:val="left" w:leader="none"/>
        </w:tabs>
        <w:spacing w:before="7"/>
        <w:ind w:left="120"/>
        <w:rPr>
          <w:b/>
        </w:rPr>
      </w:pPr>
      <w:r>
        <w:rPr/>
        <w:t>[or</w:t>
      </w:r>
      <w:r>
        <w:rPr>
          <w:spacing w:val="-1"/>
        </w:rPr>
        <w:t> </w:t>
      </w:r>
      <w:r>
        <w:rPr/>
        <w:t>3:40–3:50</w:t>
      </w:r>
      <w:r>
        <w:rPr>
          <w:spacing w:val="-1"/>
        </w:rPr>
        <w:t> </w:t>
      </w:r>
      <w:r>
        <w:rPr/>
        <w:t>p.m.]</w:t>
        <w:tab/>
      </w:r>
      <w:r>
        <w:rPr>
          <w:rFonts w:ascii="Symbol" w:hAnsi="Symbol"/>
        </w:rPr>
        <w:t></w:t>
      </w:r>
      <w:r>
        <w:rPr/>
        <w:tab/>
        <w:t>Audience members pose questions to all</w:t>
      </w:r>
      <w:r>
        <w:rPr>
          <w:spacing w:val="-4"/>
        </w:rPr>
        <w:t> </w:t>
      </w:r>
      <w:r>
        <w:rPr/>
        <w:t>presenters</w:t>
      </w:r>
      <w:r>
        <w:rPr>
          <w:b/>
        </w:rPr>
        <w:t>.</w:t>
      </w:r>
    </w:p>
    <w:p>
      <w:pPr>
        <w:pStyle w:val="BodyText"/>
        <w:spacing w:before="6"/>
        <w:rPr>
          <w:b/>
          <w:sz w:val="38"/>
        </w:rPr>
      </w:pPr>
    </w:p>
    <w:p>
      <w:pPr>
        <w:tabs>
          <w:tab w:pos="2279" w:val="left" w:leader="none"/>
        </w:tabs>
        <w:spacing w:before="0"/>
        <w:ind w:left="120" w:right="0" w:firstLine="0"/>
        <w:jc w:val="left"/>
        <w:rPr>
          <w:b/>
          <w:sz w:val="24"/>
        </w:rPr>
      </w:pPr>
      <w:r>
        <w:rPr>
          <w:sz w:val="24"/>
        </w:rPr>
        <w:t>3:35–4:00</w:t>
        <w:tab/>
      </w:r>
      <w:r>
        <w:rPr>
          <w:b/>
          <w:sz w:val="24"/>
        </w:rPr>
        <w:t>Meet and Greet</w:t>
      </w:r>
    </w:p>
    <w:p>
      <w:pPr>
        <w:pStyle w:val="BodyText"/>
        <w:tabs>
          <w:tab w:pos="2279" w:val="left" w:leader="none"/>
          <w:tab w:pos="2639" w:val="left" w:leader="none"/>
        </w:tabs>
        <w:spacing w:line="259" w:lineRule="auto" w:before="7"/>
        <w:ind w:left="2640" w:right="358" w:hanging="2520"/>
      </w:pPr>
      <w:r>
        <w:rPr/>
        <w:t>[or</w:t>
      </w:r>
      <w:r>
        <w:rPr>
          <w:spacing w:val="-1"/>
        </w:rPr>
        <w:t> </w:t>
      </w:r>
      <w:r>
        <w:rPr/>
        <w:t>3:50–4:00</w:t>
      </w:r>
      <w:r>
        <w:rPr>
          <w:spacing w:val="-1"/>
        </w:rPr>
        <w:t> </w:t>
      </w:r>
      <w:r>
        <w:rPr/>
        <w:t>p.m.]</w:t>
        <w:tab/>
      </w:r>
      <w:r>
        <w:rPr>
          <w:rFonts w:ascii="Symbol" w:hAnsi="Symbol"/>
        </w:rPr>
        <w:t></w:t>
      </w:r>
      <w:r>
        <w:rPr/>
        <w:tab/>
        <w:t>The audience has the opportunity to meet and talk with speakers and judicial officers.</w:t>
      </w:r>
    </w:p>
    <w:p>
      <w:pPr>
        <w:pStyle w:val="BodyText"/>
        <w:spacing w:before="4"/>
        <w:rPr>
          <w:sz w:val="26"/>
        </w:rPr>
      </w:pPr>
    </w:p>
    <w:p>
      <w:pPr>
        <w:spacing w:before="1"/>
        <w:ind w:left="120" w:right="0" w:firstLine="0"/>
        <w:jc w:val="left"/>
        <w:rPr>
          <w:b/>
          <w:sz w:val="24"/>
        </w:rPr>
      </w:pPr>
      <w:r>
        <w:rPr>
          <w:b/>
          <w:sz w:val="24"/>
        </w:rPr>
        <w:t>Admission is free. Due to limited seating capacity </w:t>
      </w:r>
      <w:r>
        <w:rPr>
          <w:b/>
          <w:i/>
          <w:sz w:val="24"/>
        </w:rPr>
        <w:t>[optional], </w:t>
      </w:r>
      <w:r>
        <w:rPr>
          <w:b/>
          <w:sz w:val="24"/>
        </w:rPr>
        <w:t>please reply by </w:t>
      </w:r>
      <w:r>
        <w:rPr>
          <w:b/>
          <w:i/>
          <w:sz w:val="24"/>
        </w:rPr>
        <w:t>[date], </w:t>
      </w:r>
      <w:r>
        <w:rPr>
          <w:b/>
          <w:sz w:val="24"/>
        </w:rPr>
        <w:t>to</w:t>
      </w:r>
    </w:p>
    <w:p>
      <w:pPr>
        <w:spacing w:before="24"/>
        <w:ind w:left="120" w:right="0" w:firstLine="0"/>
        <w:jc w:val="left"/>
        <w:rPr>
          <w:b/>
          <w:sz w:val="24"/>
        </w:rPr>
      </w:pPr>
      <w:r>
        <w:rPr>
          <w:b/>
          <w:i/>
          <w:sz w:val="24"/>
        </w:rPr>
        <w:t>[name of contact person] at [e-mail and phone number] if you wish </w:t>
      </w:r>
      <w:r>
        <w:rPr>
          <w:b/>
          <w:sz w:val="24"/>
        </w:rPr>
        <w:t>to attend.</w:t>
      </w:r>
    </w:p>
    <w:sectPr>
      <w:pgSz w:w="12240" w:h="15840"/>
      <w:pgMar w:top="14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640" w:hanging="360"/>
      </w:pPr>
      <w:rPr>
        <w:rFonts w:hint="default" w:ascii="Symbol" w:hAnsi="Symbol" w:eastAsia="Symbol" w:cs="Symbol"/>
        <w:w w:val="100"/>
        <w:sz w:val="24"/>
        <w:szCs w:val="24"/>
      </w:rPr>
    </w:lvl>
    <w:lvl w:ilvl="1">
      <w:start w:val="0"/>
      <w:numFmt w:val="bullet"/>
      <w:lvlText w:val="•"/>
      <w:lvlJc w:val="left"/>
      <w:pPr>
        <w:ind w:left="3334" w:hanging="360"/>
      </w:pPr>
      <w:rPr>
        <w:rFonts w:hint="default"/>
      </w:rPr>
    </w:lvl>
    <w:lvl w:ilvl="2">
      <w:start w:val="0"/>
      <w:numFmt w:val="bullet"/>
      <w:lvlText w:val="•"/>
      <w:lvlJc w:val="left"/>
      <w:pPr>
        <w:ind w:left="4028" w:hanging="360"/>
      </w:pPr>
      <w:rPr>
        <w:rFonts w:hint="default"/>
      </w:rPr>
    </w:lvl>
    <w:lvl w:ilvl="3">
      <w:start w:val="0"/>
      <w:numFmt w:val="bullet"/>
      <w:lvlText w:val="•"/>
      <w:lvlJc w:val="left"/>
      <w:pPr>
        <w:ind w:left="4722" w:hanging="360"/>
      </w:pPr>
      <w:rPr>
        <w:rFonts w:hint="default"/>
      </w:rPr>
    </w:lvl>
    <w:lvl w:ilvl="4">
      <w:start w:val="0"/>
      <w:numFmt w:val="bullet"/>
      <w:lvlText w:val="•"/>
      <w:lvlJc w:val="left"/>
      <w:pPr>
        <w:ind w:left="5416" w:hanging="360"/>
      </w:pPr>
      <w:rPr>
        <w:rFonts w:hint="default"/>
      </w:rPr>
    </w:lvl>
    <w:lvl w:ilvl="5">
      <w:start w:val="0"/>
      <w:numFmt w:val="bullet"/>
      <w:lvlText w:val="•"/>
      <w:lvlJc w:val="left"/>
      <w:pPr>
        <w:ind w:left="6110" w:hanging="360"/>
      </w:pPr>
      <w:rPr>
        <w:rFonts w:hint="default"/>
      </w:rPr>
    </w:lvl>
    <w:lvl w:ilvl="6">
      <w:start w:val="0"/>
      <w:numFmt w:val="bullet"/>
      <w:lvlText w:val="•"/>
      <w:lvlJc w:val="left"/>
      <w:pPr>
        <w:ind w:left="6804" w:hanging="360"/>
      </w:pPr>
      <w:rPr>
        <w:rFonts w:hint="default"/>
      </w:rPr>
    </w:lvl>
    <w:lvl w:ilvl="7">
      <w:start w:val="0"/>
      <w:numFmt w:val="bullet"/>
      <w:lvlText w:val="•"/>
      <w:lvlJc w:val="left"/>
      <w:pPr>
        <w:ind w:left="7498" w:hanging="360"/>
      </w:pPr>
      <w:rPr>
        <w:rFonts w:hint="default"/>
      </w:rPr>
    </w:lvl>
    <w:lvl w:ilvl="8">
      <w:start w:val="0"/>
      <w:numFmt w:val="bullet"/>
      <w:lvlText w:val="•"/>
      <w:lvlJc w:val="left"/>
      <w:pPr>
        <w:ind w:left="819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26"/>
    </w:pPr>
    <w:rPr>
      <w:rFonts w:ascii="Times New Roman" w:hAnsi="Times New Roman" w:eastAsia="Times New Roman" w:cs="Times New Roman"/>
      <w:sz w:val="24"/>
      <w:szCs w:val="24"/>
    </w:rPr>
  </w:style>
  <w:style w:styleId="ListParagraph" w:type="paragraph">
    <w:name w:val="List Paragraph"/>
    <w:basedOn w:val="Normal"/>
    <w:uiPriority w:val="1"/>
    <w:qFormat/>
    <w:pPr>
      <w:spacing w:before="126"/>
      <w:ind w:left="2640" w:right="107"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CAlumno</dc:creator>
  <dc:title>Microsoft Word - Judicial Diversity Toolkit 01 12 2011.docx</dc:title>
  <dcterms:created xsi:type="dcterms:W3CDTF">2019-05-21T21:28:04Z</dcterms:created>
  <dcterms:modified xsi:type="dcterms:W3CDTF">2019-05-21T21:28:04Z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PScript5.dll Version 5.2.2</vt:lpwstr>
  </property>
  <property fmtid="{D5CDD505-2E9C-101B-9397-08002B2CF9AE}" pid="4" name="LastSaved">
    <vt:filetime>2019-05-21T00:00:00Z</vt:filetime>
  </property>
</Properties>
</file>