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19" w:rsidRPr="005E7219" w:rsidRDefault="005E7219" w:rsidP="005E7219">
      <w:pPr>
        <w:pStyle w:val="PlainText"/>
        <w:ind w:right="-450"/>
        <w:rPr>
          <w:rFonts w:asciiTheme="minorHAnsi" w:hAnsiTheme="minorHAnsi" w:cstheme="minorHAnsi"/>
          <w:b/>
          <w:color w:val="000000"/>
          <w:sz w:val="28"/>
          <w:szCs w:val="28"/>
        </w:rPr>
      </w:pPr>
      <w:proofErr w:type="gramStart"/>
      <w:r w:rsidRPr="005E7219">
        <w:rPr>
          <w:rFonts w:asciiTheme="minorHAnsi" w:hAnsiTheme="minorHAnsi" w:cstheme="minorHAnsi"/>
          <w:b/>
          <w:color w:val="000000"/>
          <w:sz w:val="28"/>
          <w:szCs w:val="28"/>
        </w:rPr>
        <w:t>INFORMATION re.</w:t>
      </w:r>
      <w:proofErr w:type="gramEnd"/>
      <w:r w:rsidRPr="005E7219">
        <w:rPr>
          <w:rFonts w:asciiTheme="minorHAnsi" w:hAnsiTheme="minorHAnsi" w:cstheme="minorHAnsi"/>
          <w:b/>
          <w:color w:val="000000"/>
          <w:sz w:val="28"/>
          <w:szCs w:val="28"/>
        </w:rPr>
        <w:t xml:space="preserve"> SERVICE ON PERSON RESIDING OUTSIDE OF U</w:t>
      </w:r>
      <w:r>
        <w:rPr>
          <w:rFonts w:asciiTheme="minorHAnsi" w:hAnsiTheme="minorHAnsi" w:cstheme="minorHAnsi"/>
          <w:b/>
          <w:color w:val="000000"/>
          <w:sz w:val="28"/>
          <w:szCs w:val="28"/>
        </w:rPr>
        <w:t>.</w:t>
      </w:r>
      <w:r w:rsidRPr="005E7219">
        <w:rPr>
          <w:rFonts w:asciiTheme="minorHAnsi" w:hAnsiTheme="minorHAnsi" w:cstheme="minorHAnsi"/>
          <w:b/>
          <w:color w:val="000000"/>
          <w:sz w:val="28"/>
          <w:szCs w:val="28"/>
        </w:rPr>
        <w:t>S</w:t>
      </w:r>
      <w:r>
        <w:rPr>
          <w:rFonts w:asciiTheme="minorHAnsi" w:hAnsiTheme="minorHAnsi" w:cstheme="minorHAnsi"/>
          <w:b/>
          <w:color w:val="000000"/>
          <w:sz w:val="28"/>
          <w:szCs w:val="28"/>
        </w:rPr>
        <w:t>.</w:t>
      </w:r>
      <w:r w:rsidRPr="005E7219">
        <w:rPr>
          <w:rFonts w:asciiTheme="minorHAnsi" w:hAnsiTheme="minorHAnsi" w:cstheme="minorHAnsi"/>
          <w:b/>
          <w:color w:val="000000"/>
          <w:sz w:val="28"/>
          <w:szCs w:val="28"/>
        </w:rPr>
        <w:t xml:space="preserve"> </w:t>
      </w:r>
    </w:p>
    <w:p w:rsidR="005E7219" w:rsidRPr="005E7219" w:rsidRDefault="005E7219" w:rsidP="005E7219">
      <w:pPr>
        <w:pStyle w:val="PlainText"/>
        <w:rPr>
          <w:rFonts w:asciiTheme="minorHAnsi" w:hAnsiTheme="minorHAnsi" w:cstheme="minorHAnsi"/>
          <w:color w:val="000000"/>
          <w:sz w:val="24"/>
          <w:szCs w:val="24"/>
        </w:rPr>
      </w:pPr>
      <w:r w:rsidRPr="005E7219">
        <w:rPr>
          <w:rFonts w:asciiTheme="minorHAnsi" w:hAnsiTheme="minorHAnsi" w:cstheme="minorHAnsi"/>
          <w:i/>
          <w:color w:val="000000"/>
          <w:sz w:val="24"/>
          <w:szCs w:val="24"/>
        </w:rPr>
        <w:t xml:space="preserve">Prepared by </w:t>
      </w:r>
      <w:proofErr w:type="spellStart"/>
      <w:r w:rsidRPr="005E7219">
        <w:rPr>
          <w:rFonts w:asciiTheme="minorHAnsi" w:hAnsiTheme="minorHAnsi" w:cstheme="minorHAnsi"/>
          <w:i/>
          <w:color w:val="000000"/>
          <w:sz w:val="24"/>
          <w:szCs w:val="24"/>
        </w:rPr>
        <w:t>Rheeah</w:t>
      </w:r>
      <w:proofErr w:type="spellEnd"/>
      <w:r w:rsidRPr="005E7219">
        <w:rPr>
          <w:rFonts w:asciiTheme="minorHAnsi" w:hAnsiTheme="minorHAnsi" w:cstheme="minorHAnsi"/>
          <w:i/>
          <w:color w:val="000000"/>
          <w:sz w:val="24"/>
          <w:szCs w:val="24"/>
        </w:rPr>
        <w:t xml:space="preserve"> </w:t>
      </w:r>
      <w:proofErr w:type="spellStart"/>
      <w:r w:rsidRPr="005E7219">
        <w:rPr>
          <w:rFonts w:asciiTheme="minorHAnsi" w:hAnsiTheme="minorHAnsi" w:cstheme="minorHAnsi"/>
          <w:i/>
          <w:color w:val="000000"/>
          <w:sz w:val="24"/>
          <w:szCs w:val="24"/>
        </w:rPr>
        <w:t>Yoo</w:t>
      </w:r>
      <w:proofErr w:type="spellEnd"/>
      <w:r w:rsidRPr="005E7219">
        <w:rPr>
          <w:rFonts w:asciiTheme="minorHAnsi" w:hAnsiTheme="minorHAnsi" w:cstheme="minorHAnsi"/>
          <w:i/>
          <w:color w:val="000000"/>
          <w:sz w:val="24"/>
          <w:szCs w:val="24"/>
        </w:rPr>
        <w:t xml:space="preserve"> and staff at Family Law Facilitator’s Office for Imperial County</w:t>
      </w:r>
      <w:r w:rsidRPr="005E7219">
        <w:rPr>
          <w:rFonts w:asciiTheme="minorHAnsi" w:hAnsiTheme="minorHAnsi" w:cstheme="minorHAnsi"/>
          <w:color w:val="000000"/>
          <w:sz w:val="24"/>
          <w:szCs w:val="24"/>
        </w:rPr>
        <w:t>.</w:t>
      </w:r>
    </w:p>
    <w:p w:rsidR="005E7219" w:rsidRPr="005E7219" w:rsidRDefault="005E7219" w:rsidP="005E7219">
      <w:pPr>
        <w:pStyle w:val="PlainText"/>
        <w:rPr>
          <w:rFonts w:asciiTheme="minorHAnsi" w:hAnsiTheme="minorHAnsi" w:cstheme="minorHAnsi"/>
          <w:color w:val="000000"/>
          <w:sz w:val="24"/>
          <w:szCs w:val="24"/>
        </w:rPr>
      </w:pPr>
    </w:p>
    <w:p w:rsidR="005E7219" w:rsidRPr="005E7219" w:rsidRDefault="005E7219" w:rsidP="005E7219">
      <w:pPr>
        <w:pStyle w:val="PlainText"/>
        <w:rPr>
          <w:rFonts w:asciiTheme="minorHAnsi" w:hAnsiTheme="minorHAnsi" w:cstheme="minorHAnsi"/>
          <w:color w:val="000000"/>
          <w:sz w:val="24"/>
          <w:szCs w:val="24"/>
        </w:rPr>
      </w:pPr>
      <w:r w:rsidRPr="005E7219">
        <w:rPr>
          <w:rFonts w:asciiTheme="minorHAnsi" w:hAnsiTheme="minorHAnsi" w:cstheme="minorHAnsi"/>
          <w:color w:val="000000"/>
          <w:sz w:val="24"/>
          <w:szCs w:val="24"/>
        </w:rPr>
        <w:t xml:space="preserve">California’s “long-arm statute” is in CCP 410.10.  “A Court of this state may exercise jurisdiction not inconsistent with the Constitution of this state or the United States.”  </w:t>
      </w:r>
    </w:p>
    <w:p w:rsidR="005E7219" w:rsidRPr="005E7219" w:rsidRDefault="005E7219" w:rsidP="005E7219">
      <w:pPr>
        <w:pStyle w:val="PlainText"/>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pStyle w:val="PlainText"/>
        <w:rPr>
          <w:rFonts w:asciiTheme="minorHAnsi" w:hAnsiTheme="minorHAnsi" w:cstheme="minorHAnsi"/>
          <w:color w:val="000000"/>
          <w:sz w:val="24"/>
          <w:szCs w:val="24"/>
        </w:rPr>
      </w:pPr>
      <w:r w:rsidRPr="005E7219">
        <w:rPr>
          <w:rFonts w:asciiTheme="minorHAnsi" w:hAnsiTheme="minorHAnsi" w:cstheme="minorHAnsi"/>
          <w:color w:val="000000"/>
          <w:sz w:val="24"/>
          <w:szCs w:val="24"/>
        </w:rPr>
        <w:t>Long arm jurisdiction may exist when the "defendant has engaged in activity of the requisite quality and nature [has the required minimum contacts] in the forum state and that the cause of action is sufficiently connected with this activity..." Abbott Power Corp v Overhead Elec. Co., Cal. Ct. App. 1976</w:t>
      </w:r>
      <w:proofErr w:type="gramStart"/>
      <w:r w:rsidRPr="005E7219">
        <w:rPr>
          <w:rFonts w:asciiTheme="minorHAnsi" w:hAnsiTheme="minorHAnsi" w:cstheme="minorHAnsi"/>
          <w:color w:val="000000"/>
          <w:sz w:val="24"/>
          <w:szCs w:val="24"/>
        </w:rPr>
        <w:t>, relying</w:t>
      </w:r>
      <w:proofErr w:type="gramEnd"/>
      <w:r w:rsidRPr="005E7219">
        <w:rPr>
          <w:rFonts w:asciiTheme="minorHAnsi" w:hAnsiTheme="minorHAnsi" w:cstheme="minorHAnsi"/>
          <w:color w:val="000000"/>
          <w:sz w:val="24"/>
          <w:szCs w:val="24"/>
        </w:rPr>
        <w:t xml:space="preserve"> on International Shoe.  </w:t>
      </w:r>
    </w:p>
    <w:p w:rsidR="005E7219" w:rsidRPr="005E7219" w:rsidRDefault="005E7219" w:rsidP="005E7219">
      <w:pPr>
        <w:pStyle w:val="PlainText"/>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pStyle w:val="PlainText"/>
        <w:rPr>
          <w:rFonts w:asciiTheme="minorHAnsi" w:hAnsiTheme="minorHAnsi" w:cstheme="minorHAnsi"/>
          <w:color w:val="000000"/>
          <w:sz w:val="24"/>
          <w:szCs w:val="24"/>
        </w:rPr>
      </w:pPr>
      <w:r w:rsidRPr="005E7219">
        <w:rPr>
          <w:rFonts w:asciiTheme="minorHAnsi" w:hAnsiTheme="minorHAnsi" w:cstheme="minorHAnsi"/>
          <w:color w:val="000000"/>
          <w:sz w:val="24"/>
          <w:szCs w:val="24"/>
        </w:rPr>
        <w:t xml:space="preserve">Minimum contacts require substantial, continuous and systematic actions and invoke the benefits and protections of the forums laws, etc.  </w:t>
      </w:r>
      <w:proofErr w:type="spellStart"/>
      <w:proofErr w:type="gramStart"/>
      <w:r w:rsidRPr="005E7219">
        <w:rPr>
          <w:rFonts w:asciiTheme="minorHAnsi" w:hAnsiTheme="minorHAnsi" w:cstheme="minorHAnsi"/>
          <w:color w:val="000000"/>
          <w:sz w:val="24"/>
          <w:szCs w:val="24"/>
        </w:rPr>
        <w:t>Inselberg</w:t>
      </w:r>
      <w:proofErr w:type="spellEnd"/>
      <w:r w:rsidRPr="005E7219">
        <w:rPr>
          <w:rFonts w:asciiTheme="minorHAnsi" w:hAnsiTheme="minorHAnsi" w:cstheme="minorHAnsi"/>
          <w:color w:val="000000"/>
          <w:sz w:val="24"/>
          <w:szCs w:val="24"/>
        </w:rPr>
        <w:t xml:space="preserve"> v </w:t>
      </w:r>
      <w:proofErr w:type="spellStart"/>
      <w:r w:rsidRPr="005E7219">
        <w:rPr>
          <w:rFonts w:asciiTheme="minorHAnsi" w:hAnsiTheme="minorHAnsi" w:cstheme="minorHAnsi"/>
          <w:color w:val="000000"/>
          <w:sz w:val="24"/>
          <w:szCs w:val="24"/>
        </w:rPr>
        <w:t>Inselberg</w:t>
      </w:r>
      <w:proofErr w:type="spellEnd"/>
      <w:r w:rsidRPr="005E7219">
        <w:rPr>
          <w:rFonts w:asciiTheme="minorHAnsi" w:hAnsiTheme="minorHAnsi" w:cstheme="minorHAnsi"/>
          <w:color w:val="000000"/>
          <w:sz w:val="24"/>
          <w:szCs w:val="24"/>
        </w:rPr>
        <w:t xml:space="preserve"> 56 </w:t>
      </w:r>
      <w:proofErr w:type="spellStart"/>
      <w:r w:rsidRPr="005E7219">
        <w:rPr>
          <w:rFonts w:asciiTheme="minorHAnsi" w:hAnsiTheme="minorHAnsi" w:cstheme="minorHAnsi"/>
          <w:color w:val="000000"/>
          <w:sz w:val="24"/>
          <w:szCs w:val="24"/>
        </w:rPr>
        <w:t>Cal.App</w:t>
      </w:r>
      <w:proofErr w:type="spellEnd"/>
      <w:r w:rsidRPr="005E7219">
        <w:rPr>
          <w:rFonts w:asciiTheme="minorHAnsi" w:hAnsiTheme="minorHAnsi" w:cstheme="minorHAnsi"/>
          <w:color w:val="000000"/>
          <w:sz w:val="24"/>
          <w:szCs w:val="24"/>
        </w:rPr>
        <w:t xml:space="preserve"> 3d 484.</w:t>
      </w:r>
      <w:proofErr w:type="gramEnd"/>
      <w:r w:rsidRPr="005E7219">
        <w:rPr>
          <w:rFonts w:asciiTheme="minorHAnsi" w:hAnsiTheme="minorHAnsi" w:cstheme="minorHAnsi"/>
          <w:color w:val="000000"/>
          <w:sz w:val="24"/>
          <w:szCs w:val="24"/>
        </w:rPr>
        <w:t xml:space="preserve">  </w:t>
      </w:r>
    </w:p>
    <w:p w:rsidR="005E7219" w:rsidRPr="005E7219" w:rsidRDefault="005E7219" w:rsidP="005E7219">
      <w:pPr>
        <w:pStyle w:val="PlainText"/>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pStyle w:val="PlainText"/>
        <w:rPr>
          <w:rFonts w:asciiTheme="minorHAnsi" w:hAnsiTheme="minorHAnsi" w:cstheme="minorHAnsi"/>
          <w:color w:val="000000"/>
          <w:sz w:val="24"/>
          <w:szCs w:val="24"/>
        </w:rPr>
      </w:pPr>
      <w:r w:rsidRPr="005E7219">
        <w:rPr>
          <w:rFonts w:asciiTheme="minorHAnsi" w:hAnsiTheme="minorHAnsi" w:cstheme="minorHAnsi"/>
          <w:color w:val="000000"/>
          <w:sz w:val="24"/>
          <w:szCs w:val="24"/>
        </w:rPr>
        <w:t xml:space="preserve">On the other end of the spectrum, a CA court might have only domiciliary jurisdiction.  In situations where jurisdiction is based solely on a petitioner’s domicile, the court lacks personal jurisdiction over a respondent.  The court has only in </w:t>
      </w:r>
      <w:proofErr w:type="spellStart"/>
      <w:r w:rsidRPr="005E7219">
        <w:rPr>
          <w:rFonts w:asciiTheme="minorHAnsi" w:hAnsiTheme="minorHAnsi" w:cstheme="minorHAnsi"/>
          <w:color w:val="000000"/>
          <w:sz w:val="24"/>
          <w:szCs w:val="24"/>
        </w:rPr>
        <w:t>rem</w:t>
      </w:r>
      <w:proofErr w:type="spellEnd"/>
      <w:r w:rsidRPr="005E7219">
        <w:rPr>
          <w:rFonts w:asciiTheme="minorHAnsi" w:hAnsiTheme="minorHAnsi" w:cstheme="minorHAnsi"/>
          <w:color w:val="000000"/>
          <w:sz w:val="24"/>
          <w:szCs w:val="24"/>
        </w:rPr>
        <w:t xml:space="preserve"> jurisdiction over the divorce itself (can’t make orders for support or property division).</w:t>
      </w:r>
    </w:p>
    <w:p w:rsidR="005E7219" w:rsidRPr="005E7219" w:rsidRDefault="005E7219" w:rsidP="005E7219">
      <w:pPr>
        <w:pStyle w:val="PlainText"/>
        <w:rPr>
          <w:rFonts w:asciiTheme="minorHAnsi" w:hAnsiTheme="minorHAnsi" w:cstheme="minorHAnsi"/>
          <w:color w:val="000000"/>
          <w:sz w:val="24"/>
          <w:szCs w:val="24"/>
        </w:rPr>
      </w:pPr>
      <w:r w:rsidRPr="005E7219">
        <w:rPr>
          <w:rFonts w:asciiTheme="minorHAnsi" w:hAnsiTheme="minorHAnsi" w:cstheme="minorHAnsi"/>
          <w:color w:val="000000"/>
          <w:sz w:val="24"/>
          <w:szCs w:val="24"/>
        </w:rPr>
        <w:t>Whether there is long-arm or domiciliary jurisdiction, or something in between, parties still have to observe procedural due process.  A court’s judgment is not binding without notice and opportunity to be heard. Section 3:152 in California Practice Guide: Family Law (</w:t>
      </w:r>
      <w:proofErr w:type="spellStart"/>
      <w:r w:rsidRPr="005E7219">
        <w:rPr>
          <w:rFonts w:asciiTheme="minorHAnsi" w:hAnsiTheme="minorHAnsi" w:cstheme="minorHAnsi"/>
          <w:color w:val="000000"/>
          <w:sz w:val="24"/>
          <w:szCs w:val="24"/>
        </w:rPr>
        <w:t>Rutter</w:t>
      </w:r>
      <w:proofErr w:type="spellEnd"/>
      <w:r w:rsidRPr="005E7219">
        <w:rPr>
          <w:rFonts w:asciiTheme="minorHAnsi" w:hAnsiTheme="minorHAnsi" w:cstheme="minorHAnsi"/>
          <w:color w:val="000000"/>
          <w:sz w:val="24"/>
          <w:szCs w:val="24"/>
        </w:rPr>
        <w:t xml:space="preserve"> Group) highlighting </w:t>
      </w:r>
      <w:proofErr w:type="spellStart"/>
      <w:r w:rsidRPr="005E7219">
        <w:rPr>
          <w:rFonts w:asciiTheme="minorHAnsi" w:hAnsiTheme="minorHAnsi" w:cstheme="minorHAnsi"/>
          <w:color w:val="000000"/>
          <w:sz w:val="24"/>
          <w:szCs w:val="24"/>
        </w:rPr>
        <w:t>Pennoyer</w:t>
      </w:r>
      <w:proofErr w:type="spellEnd"/>
      <w:r w:rsidRPr="005E7219">
        <w:rPr>
          <w:rFonts w:asciiTheme="minorHAnsi" w:hAnsiTheme="minorHAnsi" w:cstheme="minorHAnsi"/>
          <w:color w:val="000000"/>
          <w:sz w:val="24"/>
          <w:szCs w:val="24"/>
        </w:rPr>
        <w:t xml:space="preserve"> v Neff and Shaffer v </w:t>
      </w:r>
      <w:proofErr w:type="spellStart"/>
      <w:r w:rsidRPr="005E7219">
        <w:rPr>
          <w:rFonts w:asciiTheme="minorHAnsi" w:hAnsiTheme="minorHAnsi" w:cstheme="minorHAnsi"/>
          <w:color w:val="000000"/>
          <w:sz w:val="24"/>
          <w:szCs w:val="24"/>
        </w:rPr>
        <w:t>Heitner</w:t>
      </w:r>
      <w:proofErr w:type="spellEnd"/>
      <w:r w:rsidRPr="005E7219">
        <w:rPr>
          <w:rFonts w:asciiTheme="minorHAnsi" w:hAnsiTheme="minorHAnsi" w:cstheme="minorHAnsi"/>
          <w:color w:val="000000"/>
          <w:sz w:val="24"/>
          <w:szCs w:val="24"/>
        </w:rPr>
        <w:t>.</w:t>
      </w:r>
    </w:p>
    <w:p w:rsidR="005E7219" w:rsidRPr="005E7219" w:rsidRDefault="005E7219" w:rsidP="005E7219">
      <w:pPr>
        <w:pStyle w:val="PlainText"/>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pStyle w:val="PlainText"/>
        <w:rPr>
          <w:rFonts w:asciiTheme="minorHAnsi" w:hAnsiTheme="minorHAnsi" w:cstheme="minorHAnsi"/>
          <w:color w:val="000000"/>
          <w:sz w:val="24"/>
          <w:szCs w:val="24"/>
        </w:rPr>
      </w:pPr>
      <w:r w:rsidRPr="005E7219">
        <w:rPr>
          <w:rFonts w:asciiTheme="minorHAnsi" w:hAnsiTheme="minorHAnsi" w:cstheme="minorHAnsi"/>
          <w:color w:val="000000"/>
          <w:sz w:val="24"/>
          <w:szCs w:val="24"/>
        </w:rPr>
        <w:t xml:space="preserve">The court’s conclusion in the case mentioned in your email, </w:t>
      </w:r>
      <w:proofErr w:type="spellStart"/>
      <w:r w:rsidRPr="005E7219">
        <w:rPr>
          <w:rFonts w:asciiTheme="minorHAnsi" w:hAnsiTheme="minorHAnsi" w:cstheme="minorHAnsi"/>
          <w:color w:val="000000"/>
          <w:sz w:val="24"/>
          <w:szCs w:val="24"/>
        </w:rPr>
        <w:t>Kreimerman</w:t>
      </w:r>
      <w:proofErr w:type="spellEnd"/>
      <w:r w:rsidRPr="005E7219">
        <w:rPr>
          <w:rFonts w:asciiTheme="minorHAnsi" w:hAnsiTheme="minorHAnsi" w:cstheme="minorHAnsi"/>
          <w:color w:val="000000"/>
          <w:sz w:val="24"/>
          <w:szCs w:val="24"/>
        </w:rPr>
        <w:t xml:space="preserve"> v. Casa </w:t>
      </w:r>
      <w:proofErr w:type="spellStart"/>
      <w:r w:rsidRPr="005E7219">
        <w:rPr>
          <w:rFonts w:asciiTheme="minorHAnsi" w:hAnsiTheme="minorHAnsi" w:cstheme="minorHAnsi"/>
          <w:color w:val="000000"/>
          <w:sz w:val="24"/>
          <w:szCs w:val="24"/>
        </w:rPr>
        <w:t>Veerkamp</w:t>
      </w:r>
      <w:proofErr w:type="spellEnd"/>
      <w:r w:rsidRPr="005E7219">
        <w:rPr>
          <w:rFonts w:asciiTheme="minorHAnsi" w:hAnsiTheme="minorHAnsi" w:cstheme="minorHAnsi"/>
          <w:color w:val="000000"/>
          <w:sz w:val="24"/>
          <w:szCs w:val="24"/>
        </w:rPr>
        <w:t xml:space="preserve">, S.A. 22 F3d was that  </w:t>
      </w:r>
    </w:p>
    <w:p w:rsidR="005E7219" w:rsidRPr="005E7219" w:rsidRDefault="005E7219" w:rsidP="005E7219">
      <w:pPr>
        <w:spacing w:before="100" w:beforeAutospacing="1" w:after="100" w:afterAutospacing="1" w:line="240" w:lineRule="atLeast"/>
        <w:ind w:left="720"/>
        <w:rPr>
          <w:rFonts w:asciiTheme="minorHAnsi" w:hAnsiTheme="minorHAnsi" w:cstheme="minorHAnsi"/>
          <w:color w:val="000000"/>
          <w:sz w:val="24"/>
          <w:szCs w:val="24"/>
        </w:rPr>
      </w:pPr>
      <w:r w:rsidRPr="005E7219">
        <w:rPr>
          <w:rFonts w:asciiTheme="minorHAnsi" w:hAnsiTheme="minorHAnsi" w:cstheme="minorHAnsi"/>
          <w:color w:val="1E1E1E"/>
          <w:sz w:val="24"/>
          <w:szCs w:val="24"/>
        </w:rPr>
        <w:t xml:space="preserve">Although the parties apparently agree that </w:t>
      </w:r>
      <w:proofErr w:type="spellStart"/>
      <w:r w:rsidRPr="005E7219">
        <w:rPr>
          <w:rFonts w:asciiTheme="minorHAnsi" w:hAnsiTheme="minorHAnsi" w:cstheme="minorHAnsi"/>
          <w:color w:val="1E1E1E"/>
          <w:sz w:val="24"/>
          <w:szCs w:val="24"/>
        </w:rPr>
        <w:t>Kreimerman</w:t>
      </w:r>
      <w:proofErr w:type="spellEnd"/>
      <w:r w:rsidRPr="005E7219">
        <w:rPr>
          <w:rFonts w:asciiTheme="minorHAnsi" w:hAnsiTheme="minorHAnsi" w:cstheme="minorHAnsi"/>
          <w:color w:val="1E1E1E"/>
          <w:sz w:val="24"/>
          <w:szCs w:val="24"/>
        </w:rPr>
        <w:t xml:space="preserve"> et al. properly employed the machinery of the Texas Long-Arm Statute, </w:t>
      </w:r>
      <w:r w:rsidRPr="005E7219">
        <w:rPr>
          <w:rFonts w:asciiTheme="minorHAnsi" w:hAnsiTheme="minorHAnsi" w:cstheme="minorHAnsi"/>
          <w:b/>
          <w:bCs/>
          <w:color w:val="1E1E1E"/>
          <w:sz w:val="24"/>
          <w:szCs w:val="24"/>
        </w:rPr>
        <w:t xml:space="preserve">they do not address—in their submissions to us or to the district court—whether service of process under the Texas Long-Arm Statute on defendants residing in Mexico contravenes notions of comity, the procedural requirements of </w:t>
      </w:r>
      <w:proofErr w:type="spellStart"/>
      <w:r w:rsidRPr="005E7219">
        <w:rPr>
          <w:rFonts w:asciiTheme="minorHAnsi" w:hAnsiTheme="minorHAnsi" w:cstheme="minorHAnsi"/>
          <w:b/>
          <w:bCs/>
          <w:color w:val="1E1E1E"/>
          <w:sz w:val="24"/>
          <w:szCs w:val="24"/>
        </w:rPr>
        <w:t>Fed.R.Civ.P</w:t>
      </w:r>
      <w:proofErr w:type="spellEnd"/>
      <w:r w:rsidRPr="005E7219">
        <w:rPr>
          <w:rFonts w:asciiTheme="minorHAnsi" w:hAnsiTheme="minorHAnsi" w:cstheme="minorHAnsi"/>
          <w:b/>
          <w:bCs/>
          <w:color w:val="1E1E1E"/>
          <w:sz w:val="24"/>
          <w:szCs w:val="24"/>
        </w:rPr>
        <w:t xml:space="preserve">. </w:t>
      </w:r>
      <w:proofErr w:type="gramStart"/>
      <w:r w:rsidRPr="005E7219">
        <w:rPr>
          <w:rFonts w:asciiTheme="minorHAnsi" w:hAnsiTheme="minorHAnsi" w:cstheme="minorHAnsi"/>
          <w:b/>
          <w:bCs/>
          <w:color w:val="1E1E1E"/>
          <w:sz w:val="24"/>
          <w:szCs w:val="24"/>
        </w:rPr>
        <w:t>4,</w:t>
      </w:r>
      <w:proofErr w:type="gramEnd"/>
      <w:r w:rsidRPr="005E7219">
        <w:rPr>
          <w:rFonts w:asciiTheme="minorHAnsi" w:hAnsiTheme="minorHAnsi" w:cstheme="minorHAnsi"/>
          <w:b/>
          <w:bCs/>
          <w:color w:val="1E1E1E"/>
          <w:sz w:val="24"/>
          <w:szCs w:val="24"/>
        </w:rPr>
        <w:t xml:space="preserve"> or any other applicable domestic or international laws</w:t>
      </w:r>
      <w:r w:rsidRPr="005E7219">
        <w:rPr>
          <w:rFonts w:asciiTheme="minorHAnsi" w:hAnsiTheme="minorHAnsi" w:cstheme="minorHAnsi"/>
          <w:color w:val="1E1E1E"/>
          <w:sz w:val="24"/>
          <w:szCs w:val="24"/>
        </w:rPr>
        <w:t>.</w:t>
      </w:r>
      <w:hyperlink r:id="rId4" w:anchor="fid57" w:history="1">
        <w:r w:rsidRPr="005E7219">
          <w:rPr>
            <w:rStyle w:val="Hyperlink"/>
            <w:rFonts w:asciiTheme="minorHAnsi" w:hAnsiTheme="minorHAnsi" w:cstheme="minorHAnsi"/>
            <w:sz w:val="24"/>
            <w:szCs w:val="24"/>
            <w:vertAlign w:val="superscript"/>
          </w:rPr>
          <w:t>56</w:t>
        </w:r>
      </w:hyperlink>
      <w:r w:rsidRPr="005E7219">
        <w:rPr>
          <w:rFonts w:asciiTheme="minorHAnsi" w:hAnsiTheme="minorHAnsi" w:cstheme="minorHAnsi"/>
          <w:color w:val="1E1E1E"/>
          <w:sz w:val="24"/>
          <w:szCs w:val="24"/>
        </w:rPr>
        <w:t xml:space="preserve"> </w:t>
      </w:r>
      <w:r w:rsidRPr="005E7219">
        <w:rPr>
          <w:rFonts w:asciiTheme="minorHAnsi" w:hAnsiTheme="minorHAnsi" w:cstheme="minorHAnsi"/>
          <w:b/>
          <w:bCs/>
          <w:color w:val="1E1E1E"/>
          <w:sz w:val="24"/>
          <w:szCs w:val="24"/>
        </w:rPr>
        <w:t>Neither did the district court reach such issues</w:t>
      </w:r>
      <w:r w:rsidRPr="005E7219">
        <w:rPr>
          <w:rFonts w:asciiTheme="minorHAnsi" w:hAnsiTheme="minorHAnsi" w:cstheme="minorHAnsi"/>
          <w:color w:val="1E1E1E"/>
          <w:sz w:val="24"/>
          <w:szCs w:val="24"/>
        </w:rPr>
        <w:t xml:space="preserve">: Its inquiry ended when it held— incorrectly, we conclude—that the Convention preempted all other methods of service on defendants residing in another signatory nation. </w:t>
      </w:r>
      <w:r w:rsidRPr="005E7219">
        <w:rPr>
          <w:rFonts w:asciiTheme="minorHAnsi" w:hAnsiTheme="minorHAnsi" w:cstheme="minorHAnsi"/>
          <w:b/>
          <w:bCs/>
          <w:color w:val="1E1E1E"/>
          <w:sz w:val="24"/>
          <w:szCs w:val="24"/>
        </w:rPr>
        <w:t xml:space="preserve">Whether </w:t>
      </w:r>
      <w:proofErr w:type="spellStart"/>
      <w:r w:rsidRPr="005E7219">
        <w:rPr>
          <w:rFonts w:asciiTheme="minorHAnsi" w:hAnsiTheme="minorHAnsi" w:cstheme="minorHAnsi"/>
          <w:b/>
          <w:bCs/>
          <w:color w:val="1E1E1E"/>
          <w:sz w:val="24"/>
          <w:szCs w:val="24"/>
        </w:rPr>
        <w:t>Kreimerman</w:t>
      </w:r>
      <w:proofErr w:type="spellEnd"/>
      <w:r w:rsidRPr="005E7219">
        <w:rPr>
          <w:rFonts w:asciiTheme="minorHAnsi" w:hAnsiTheme="minorHAnsi" w:cstheme="minorHAnsi"/>
          <w:b/>
          <w:bCs/>
          <w:color w:val="1E1E1E"/>
          <w:sz w:val="24"/>
          <w:szCs w:val="24"/>
        </w:rPr>
        <w:t xml:space="preserve"> et al.'s attempt to serve process under the Texas Long-Arm Statute contravened any other law besides the Convention is thus not before us. Such considerations are for the district court on remand.</w:t>
      </w:r>
      <w:hyperlink r:id="rId5" w:anchor="fid58" w:history="1">
        <w:r w:rsidRPr="005E7219">
          <w:rPr>
            <w:rStyle w:val="Hyperlink"/>
            <w:rFonts w:asciiTheme="minorHAnsi" w:hAnsiTheme="minorHAnsi" w:cstheme="minorHAnsi"/>
            <w:b/>
            <w:bCs/>
            <w:sz w:val="24"/>
            <w:szCs w:val="24"/>
            <w:vertAlign w:val="superscript"/>
          </w:rPr>
          <w:t>57</w:t>
        </w:r>
      </w:hyperlink>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i/>
          <w:iCs/>
          <w:color w:val="000000"/>
          <w:sz w:val="24"/>
          <w:szCs w:val="24"/>
        </w:rPr>
        <w:t>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i/>
          <w:iCs/>
          <w:color w:val="000000"/>
          <w:sz w:val="24"/>
          <w:szCs w:val="24"/>
        </w:rPr>
        <w:t xml:space="preserve">Are Letters </w:t>
      </w:r>
      <w:proofErr w:type="spellStart"/>
      <w:r w:rsidRPr="005E7219">
        <w:rPr>
          <w:rFonts w:asciiTheme="minorHAnsi" w:hAnsiTheme="minorHAnsi" w:cstheme="minorHAnsi"/>
          <w:i/>
          <w:iCs/>
          <w:color w:val="000000"/>
          <w:sz w:val="24"/>
          <w:szCs w:val="24"/>
        </w:rPr>
        <w:t>Rogatory</w:t>
      </w:r>
      <w:proofErr w:type="spellEnd"/>
      <w:r w:rsidRPr="005E7219">
        <w:rPr>
          <w:rFonts w:asciiTheme="minorHAnsi" w:hAnsiTheme="minorHAnsi" w:cstheme="minorHAnsi"/>
          <w:i/>
          <w:iCs/>
          <w:color w:val="000000"/>
          <w:sz w:val="24"/>
          <w:szCs w:val="24"/>
        </w:rPr>
        <w:t xml:space="preserve"> Required?</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i/>
          <w:iCs/>
          <w:color w:val="000000"/>
          <w:sz w:val="24"/>
          <w:szCs w:val="24"/>
        </w:rPr>
        <w:t>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xml:space="preserve">Letters </w:t>
      </w:r>
      <w:proofErr w:type="spellStart"/>
      <w:r w:rsidRPr="005E7219">
        <w:rPr>
          <w:rFonts w:asciiTheme="minorHAnsi" w:hAnsiTheme="minorHAnsi" w:cstheme="minorHAnsi"/>
          <w:color w:val="000000"/>
          <w:sz w:val="24"/>
          <w:szCs w:val="24"/>
        </w:rPr>
        <w:t>Rogatory</w:t>
      </w:r>
      <w:proofErr w:type="spellEnd"/>
      <w:r w:rsidRPr="005E7219">
        <w:rPr>
          <w:rFonts w:asciiTheme="minorHAnsi" w:hAnsiTheme="minorHAnsi" w:cstheme="minorHAnsi"/>
          <w:color w:val="000000"/>
          <w:sz w:val="24"/>
          <w:szCs w:val="24"/>
        </w:rPr>
        <w:t xml:space="preserve"> are not required.  The Hague Service Convention describes many other channels of transmission.  Each country identifies which channels of transmission are acceptable.  Here is a link to a diagram of those channels (pages 3 and 4): </w:t>
      </w:r>
      <w:hyperlink r:id="rId6" w:history="1">
        <w:r w:rsidRPr="005E7219">
          <w:rPr>
            <w:rStyle w:val="Hyperlink"/>
            <w:rFonts w:asciiTheme="minorHAnsi" w:hAnsiTheme="minorHAnsi" w:cstheme="minorHAnsi"/>
            <w:sz w:val="24"/>
            <w:szCs w:val="24"/>
          </w:rPr>
          <w:t>http://www.hcch.net/upload/outline14e.pdf</w:t>
        </w:r>
      </w:hyperlink>
      <w:r w:rsidRPr="005E7219">
        <w:rPr>
          <w:rFonts w:asciiTheme="minorHAnsi" w:hAnsiTheme="minorHAnsi" w:cstheme="minorHAnsi"/>
          <w:color w:val="000000"/>
          <w:sz w:val="24"/>
          <w:szCs w:val="24"/>
        </w:rPr>
        <w:t xml:space="preserve">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lastRenderedPageBreak/>
        <w:t xml:space="preserve">The </w:t>
      </w:r>
      <w:proofErr w:type="spellStart"/>
      <w:r w:rsidRPr="005E7219">
        <w:rPr>
          <w:rFonts w:asciiTheme="minorHAnsi" w:hAnsiTheme="minorHAnsi" w:cstheme="minorHAnsi"/>
          <w:color w:val="000000"/>
          <w:sz w:val="24"/>
          <w:szCs w:val="24"/>
        </w:rPr>
        <w:t>Kreimerman</w:t>
      </w:r>
      <w:proofErr w:type="spellEnd"/>
      <w:r w:rsidRPr="005E7219">
        <w:rPr>
          <w:rFonts w:asciiTheme="minorHAnsi" w:hAnsiTheme="minorHAnsi" w:cstheme="minorHAnsi"/>
          <w:color w:val="000000"/>
          <w:sz w:val="24"/>
          <w:szCs w:val="24"/>
        </w:rPr>
        <w:t xml:space="preserve"> opinion explains:</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ind w:left="720"/>
        <w:rPr>
          <w:rFonts w:asciiTheme="minorHAnsi" w:hAnsiTheme="minorHAnsi" w:cstheme="minorHAnsi"/>
          <w:color w:val="000000"/>
          <w:sz w:val="24"/>
          <w:szCs w:val="24"/>
        </w:rPr>
      </w:pPr>
      <w:r w:rsidRPr="005E7219">
        <w:rPr>
          <w:rFonts w:asciiTheme="minorHAnsi" w:hAnsiTheme="minorHAnsi" w:cstheme="minorHAnsi"/>
          <w:color w:val="000000"/>
          <w:sz w:val="24"/>
          <w:szCs w:val="24"/>
        </w:rPr>
        <w:t xml:space="preserve">Similarly, the official title of the Convention is the Inter-American Convention on </w:t>
      </w:r>
      <w:r w:rsidRPr="005E7219">
        <w:rPr>
          <w:rFonts w:asciiTheme="minorHAnsi" w:hAnsiTheme="minorHAnsi" w:cstheme="minorHAnsi"/>
          <w:i/>
          <w:iCs/>
          <w:color w:val="000000"/>
          <w:sz w:val="24"/>
          <w:szCs w:val="24"/>
        </w:rPr>
        <w:t xml:space="preserve">Letters </w:t>
      </w:r>
      <w:proofErr w:type="spellStart"/>
      <w:r w:rsidRPr="005E7219">
        <w:rPr>
          <w:rFonts w:asciiTheme="minorHAnsi" w:hAnsiTheme="minorHAnsi" w:cstheme="minorHAnsi"/>
          <w:i/>
          <w:iCs/>
          <w:color w:val="000000"/>
          <w:sz w:val="24"/>
          <w:szCs w:val="24"/>
        </w:rPr>
        <w:t>Rogatory</w:t>
      </w:r>
      <w:proofErr w:type="spellEnd"/>
      <w:r w:rsidRPr="005E7219">
        <w:rPr>
          <w:rFonts w:asciiTheme="minorHAnsi" w:hAnsiTheme="minorHAnsi" w:cstheme="minorHAnsi"/>
          <w:i/>
          <w:iCs/>
          <w:color w:val="000000"/>
          <w:sz w:val="24"/>
          <w:szCs w:val="24"/>
        </w:rPr>
        <w:t>,</w:t>
      </w:r>
      <w:r w:rsidRPr="005E7219">
        <w:rPr>
          <w:rFonts w:asciiTheme="minorHAnsi" w:hAnsiTheme="minorHAnsi" w:cstheme="minorHAnsi"/>
          <w:color w:val="000000"/>
          <w:sz w:val="24"/>
          <w:szCs w:val="24"/>
        </w:rPr>
        <w:t xml:space="preserve"> whereas the official title of </w:t>
      </w:r>
      <w:proofErr w:type="gramStart"/>
      <w:r w:rsidRPr="005E7219">
        <w:rPr>
          <w:rFonts w:asciiTheme="minorHAnsi" w:hAnsiTheme="minorHAnsi" w:cstheme="minorHAnsi"/>
          <w:color w:val="000000"/>
          <w:sz w:val="24"/>
          <w:szCs w:val="24"/>
        </w:rPr>
        <w:t>the</w:t>
      </w:r>
      <w:proofErr w:type="gramEnd"/>
      <w:r w:rsidRPr="005E7219">
        <w:rPr>
          <w:rFonts w:asciiTheme="minorHAnsi" w:hAnsiTheme="minorHAnsi" w:cstheme="minorHAnsi"/>
          <w:color w:val="000000"/>
          <w:sz w:val="24"/>
          <w:szCs w:val="24"/>
        </w:rPr>
        <w:t xml:space="preserve"> Hague Service Convention is the Convention on the </w:t>
      </w:r>
      <w:r w:rsidRPr="005E7219">
        <w:rPr>
          <w:rFonts w:asciiTheme="minorHAnsi" w:hAnsiTheme="minorHAnsi" w:cstheme="minorHAnsi"/>
          <w:i/>
          <w:iCs/>
          <w:color w:val="000000"/>
          <w:sz w:val="24"/>
          <w:szCs w:val="24"/>
        </w:rPr>
        <w:t>Service Abroad of Judicial and Extrajudicial Documents</w:t>
      </w:r>
      <w:r w:rsidRPr="005E7219">
        <w:rPr>
          <w:rFonts w:asciiTheme="minorHAnsi" w:hAnsiTheme="minorHAnsi" w:cstheme="minorHAnsi"/>
          <w:color w:val="000000"/>
          <w:sz w:val="24"/>
          <w:szCs w:val="24"/>
        </w:rPr>
        <w:t xml:space="preserve"> in Civil or Commercial Matters.</w:t>
      </w:r>
      <w:hyperlink r:id="rId7" w:anchor="fid27" w:history="1">
        <w:r w:rsidRPr="005E7219">
          <w:rPr>
            <w:rStyle w:val="Hyperlink"/>
            <w:rFonts w:asciiTheme="minorHAnsi" w:hAnsiTheme="minorHAnsi" w:cstheme="minorHAnsi"/>
            <w:sz w:val="24"/>
            <w:szCs w:val="24"/>
            <w:vertAlign w:val="superscript"/>
          </w:rPr>
          <w:t>26</w:t>
        </w:r>
      </w:hyperlink>
      <w:r w:rsidRPr="005E7219">
        <w:rPr>
          <w:rFonts w:asciiTheme="minorHAnsi" w:hAnsiTheme="minorHAnsi" w:cstheme="minorHAnsi"/>
          <w:color w:val="000000"/>
          <w:sz w:val="24"/>
          <w:szCs w:val="24"/>
        </w:rPr>
        <w:t xml:space="preserve"> As </w:t>
      </w:r>
      <w:proofErr w:type="spellStart"/>
      <w:r w:rsidRPr="005E7219">
        <w:rPr>
          <w:rFonts w:asciiTheme="minorHAnsi" w:hAnsiTheme="minorHAnsi" w:cstheme="minorHAnsi"/>
          <w:color w:val="000000"/>
          <w:sz w:val="24"/>
          <w:szCs w:val="24"/>
        </w:rPr>
        <w:t>rogatory</w:t>
      </w:r>
      <w:proofErr w:type="spellEnd"/>
      <w:r w:rsidRPr="005E7219">
        <w:rPr>
          <w:rFonts w:asciiTheme="minorHAnsi" w:hAnsiTheme="minorHAnsi" w:cstheme="minorHAnsi"/>
          <w:color w:val="000000"/>
          <w:sz w:val="24"/>
          <w:szCs w:val="24"/>
        </w:rPr>
        <w:t xml:space="preserve"> letters (or letters of request) are — by definition — merely one of many procedural mechanisms by which a court in one country may request authorities in another country to assist the initiating court in its administration of justice,</w:t>
      </w:r>
      <w:hyperlink r:id="rId8" w:anchor="fid28" w:history="1">
        <w:r w:rsidRPr="005E7219">
          <w:rPr>
            <w:rStyle w:val="Hyperlink"/>
            <w:rFonts w:asciiTheme="minorHAnsi" w:hAnsiTheme="minorHAnsi" w:cstheme="minorHAnsi"/>
            <w:sz w:val="24"/>
            <w:szCs w:val="24"/>
            <w:vertAlign w:val="superscript"/>
          </w:rPr>
          <w:t>27</w:t>
        </w:r>
      </w:hyperlink>
      <w:r w:rsidRPr="005E7219">
        <w:rPr>
          <w:rFonts w:asciiTheme="minorHAnsi" w:hAnsiTheme="minorHAnsi" w:cstheme="minorHAnsi"/>
          <w:color w:val="000000"/>
          <w:sz w:val="24"/>
          <w:szCs w:val="24"/>
        </w:rPr>
        <w:t xml:space="preserve"> the Convention's scope appears to be limited to regulating that one procedural mechanism. In contrast, the scope of the Hague Service Convention is much broader, applying as it does to </w:t>
      </w:r>
      <w:r w:rsidRPr="005E7219">
        <w:rPr>
          <w:rFonts w:asciiTheme="minorHAnsi" w:hAnsiTheme="minorHAnsi" w:cstheme="minorHAnsi"/>
          <w:i/>
          <w:iCs/>
          <w:color w:val="000000"/>
          <w:sz w:val="24"/>
          <w:szCs w:val="24"/>
        </w:rPr>
        <w:t>all</w:t>
      </w:r>
      <w:r w:rsidRPr="005E7219">
        <w:rPr>
          <w:rFonts w:asciiTheme="minorHAnsi" w:hAnsiTheme="minorHAnsi" w:cstheme="minorHAnsi"/>
          <w:color w:val="000000"/>
          <w:sz w:val="24"/>
          <w:szCs w:val="24"/>
        </w:rPr>
        <w:t xml:space="preserve"> service abroad upon defendants residing within signatory States….</w:t>
      </w:r>
    </w:p>
    <w:p w:rsidR="005E7219" w:rsidRPr="005E7219" w:rsidRDefault="005E7219" w:rsidP="005E7219">
      <w:pPr>
        <w:ind w:left="720"/>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ind w:left="720"/>
        <w:rPr>
          <w:rFonts w:asciiTheme="minorHAnsi" w:hAnsiTheme="minorHAnsi" w:cstheme="minorHAnsi"/>
          <w:color w:val="000000"/>
          <w:sz w:val="24"/>
          <w:szCs w:val="24"/>
        </w:rPr>
      </w:pPr>
      <w:r w:rsidRPr="005E7219">
        <w:rPr>
          <w:rFonts w:asciiTheme="minorHAnsi" w:hAnsiTheme="minorHAnsi" w:cstheme="minorHAnsi"/>
          <w:color w:val="000000"/>
          <w:sz w:val="24"/>
          <w:szCs w:val="24"/>
        </w:rPr>
        <w:t xml:space="preserve">Thus, the text of the Convention strongly indicates, not that the Convention preempts other conceivable methods of service, but that it merely provides a mechanism for transmitting and delivering letters </w:t>
      </w:r>
      <w:proofErr w:type="spellStart"/>
      <w:r w:rsidRPr="005E7219">
        <w:rPr>
          <w:rFonts w:asciiTheme="minorHAnsi" w:hAnsiTheme="minorHAnsi" w:cstheme="minorHAnsi"/>
          <w:color w:val="000000"/>
          <w:sz w:val="24"/>
          <w:szCs w:val="24"/>
        </w:rPr>
        <w:t>rogatory</w:t>
      </w:r>
      <w:proofErr w:type="spellEnd"/>
      <w:r w:rsidRPr="005E7219">
        <w:rPr>
          <w:rFonts w:asciiTheme="minorHAnsi" w:hAnsiTheme="minorHAnsi" w:cstheme="minorHAnsi"/>
          <w:color w:val="000000"/>
          <w:sz w:val="24"/>
          <w:szCs w:val="24"/>
        </w:rPr>
        <w:t xml:space="preserve"> when and if parties elect to use that mechanism.</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i/>
          <w:iCs/>
          <w:color w:val="000000"/>
          <w:sz w:val="24"/>
          <w:szCs w:val="24"/>
        </w:rPr>
        <w:t>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i/>
          <w:iCs/>
          <w:color w:val="000000"/>
          <w:sz w:val="24"/>
          <w:szCs w:val="24"/>
        </w:rPr>
        <w:t>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i/>
          <w:iCs/>
          <w:color w:val="000000"/>
          <w:sz w:val="24"/>
          <w:szCs w:val="24"/>
        </w:rPr>
        <w:t xml:space="preserve">Taking this at face value, are California-authorized methods for service of process valid for service in signatory nations to the Inter-American Convention on Letters </w:t>
      </w:r>
      <w:proofErr w:type="spellStart"/>
      <w:r w:rsidRPr="005E7219">
        <w:rPr>
          <w:rFonts w:asciiTheme="minorHAnsi" w:hAnsiTheme="minorHAnsi" w:cstheme="minorHAnsi"/>
          <w:i/>
          <w:iCs/>
          <w:color w:val="000000"/>
          <w:sz w:val="24"/>
          <w:szCs w:val="24"/>
        </w:rPr>
        <w:t>Rogatory</w:t>
      </w:r>
      <w:proofErr w:type="spellEnd"/>
      <w:r w:rsidRPr="005E7219">
        <w:rPr>
          <w:rFonts w:asciiTheme="minorHAnsi" w:hAnsiTheme="minorHAnsi" w:cstheme="minorHAnsi"/>
          <w:i/>
          <w:iCs/>
          <w:color w:val="000000"/>
          <w:sz w:val="24"/>
          <w:szCs w:val="24"/>
        </w:rPr>
        <w:t>?</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xml:space="preserve">The problem with going forward with California-type service (personal from an 18+ year old to a party, etc.) is that international treaties signed by the country are binding on each state.  The Supremacy Clause in the Constitution (art VI, sec. 2) makes the Constitution and all treaties the supreme law of the land.  The Hague Convention on Service and Inter-American Convention on Letters </w:t>
      </w:r>
      <w:proofErr w:type="spellStart"/>
      <w:r w:rsidRPr="005E7219">
        <w:rPr>
          <w:rFonts w:asciiTheme="minorHAnsi" w:hAnsiTheme="minorHAnsi" w:cstheme="minorHAnsi"/>
          <w:color w:val="000000"/>
          <w:sz w:val="24"/>
          <w:szCs w:val="24"/>
        </w:rPr>
        <w:t>Rogatory</w:t>
      </w:r>
      <w:proofErr w:type="spellEnd"/>
      <w:r w:rsidRPr="005E7219">
        <w:rPr>
          <w:rFonts w:asciiTheme="minorHAnsi" w:hAnsiTheme="minorHAnsi" w:cstheme="minorHAnsi"/>
          <w:color w:val="000000"/>
          <w:sz w:val="24"/>
          <w:szCs w:val="24"/>
        </w:rPr>
        <w:t xml:space="preserve"> and its Convention on Additional Protocol are such treaties since they were signed and ratified by the US.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xml:space="preserve">California state law regarding service was written with these treaties in mind.  California’s Code of Civil Procedure lists and authorizes the methods of service which are valid.  CCP 415.30(c) is designed for scenarios where service must take place outside of the US.  </w:t>
      </w:r>
    </w:p>
    <w:p w:rsidR="005E7219" w:rsidRPr="005E7219" w:rsidRDefault="005E7219" w:rsidP="005E7219">
      <w:pPr>
        <w:ind w:left="720"/>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ind w:left="720"/>
        <w:rPr>
          <w:rFonts w:asciiTheme="minorHAnsi" w:hAnsiTheme="minorHAnsi" w:cstheme="minorHAnsi"/>
          <w:color w:val="000000"/>
          <w:sz w:val="24"/>
          <w:szCs w:val="24"/>
        </w:rPr>
      </w:pPr>
      <w:r w:rsidRPr="005E7219">
        <w:rPr>
          <w:rFonts w:asciiTheme="minorHAnsi" w:hAnsiTheme="minorHAnsi" w:cstheme="minorHAnsi"/>
          <w:color w:val="000000"/>
          <w:sz w:val="24"/>
          <w:szCs w:val="24"/>
        </w:rPr>
        <w:t xml:space="preserve">Outside the United States, as provided in this chapter or directed by the court in which the action is pending, or if the court before or after service finds that the service is reasonably calculated to give actual notice, </w:t>
      </w:r>
      <w:r w:rsidRPr="005E7219">
        <w:rPr>
          <w:rFonts w:asciiTheme="minorHAnsi" w:hAnsiTheme="minorHAnsi" w:cstheme="minorHAnsi"/>
          <w:b/>
          <w:bCs/>
          <w:color w:val="000000"/>
          <w:sz w:val="24"/>
          <w:szCs w:val="24"/>
        </w:rPr>
        <w:t xml:space="preserve">as prescribed by the law of the place where the person is served </w:t>
      </w:r>
      <w:r w:rsidRPr="005E7219">
        <w:rPr>
          <w:rFonts w:asciiTheme="minorHAnsi" w:hAnsiTheme="minorHAnsi" w:cstheme="minorHAnsi"/>
          <w:color w:val="000000"/>
          <w:sz w:val="24"/>
          <w:szCs w:val="24"/>
        </w:rPr>
        <w:t xml:space="preserve">or as </w:t>
      </w:r>
      <w:r w:rsidRPr="005E7219">
        <w:rPr>
          <w:rFonts w:asciiTheme="minorHAnsi" w:hAnsiTheme="minorHAnsi" w:cstheme="minorHAnsi"/>
          <w:b/>
          <w:bCs/>
          <w:color w:val="000000"/>
          <w:sz w:val="24"/>
          <w:szCs w:val="24"/>
        </w:rPr>
        <w:t xml:space="preserve">directed by the foreign authority in response to a letter </w:t>
      </w:r>
      <w:proofErr w:type="spellStart"/>
      <w:r w:rsidRPr="005E7219">
        <w:rPr>
          <w:rFonts w:asciiTheme="minorHAnsi" w:hAnsiTheme="minorHAnsi" w:cstheme="minorHAnsi"/>
          <w:b/>
          <w:bCs/>
          <w:color w:val="000000"/>
          <w:sz w:val="24"/>
          <w:szCs w:val="24"/>
        </w:rPr>
        <w:t>rogatory</w:t>
      </w:r>
      <w:proofErr w:type="spellEnd"/>
      <w:r w:rsidRPr="005E7219">
        <w:rPr>
          <w:rFonts w:asciiTheme="minorHAnsi" w:hAnsiTheme="minorHAnsi" w:cstheme="minorHAnsi"/>
          <w:color w:val="000000"/>
          <w:sz w:val="24"/>
          <w:szCs w:val="24"/>
        </w:rPr>
        <w:t xml:space="preserve">.  These rules are </w:t>
      </w:r>
      <w:r w:rsidRPr="005E7219">
        <w:rPr>
          <w:rFonts w:asciiTheme="minorHAnsi" w:hAnsiTheme="minorHAnsi" w:cstheme="minorHAnsi"/>
          <w:b/>
          <w:bCs/>
          <w:color w:val="000000"/>
          <w:sz w:val="24"/>
          <w:szCs w:val="24"/>
        </w:rPr>
        <w:t xml:space="preserve">subject to the provisions of the Convention on the “Service Abroad of Judicial and Extrajudicial Documents” in Civil or Commercial Matters </w:t>
      </w:r>
      <w:r w:rsidRPr="005E7219">
        <w:rPr>
          <w:rFonts w:asciiTheme="minorHAnsi" w:hAnsiTheme="minorHAnsi" w:cstheme="minorHAnsi"/>
          <w:color w:val="000000"/>
          <w:sz w:val="24"/>
          <w:szCs w:val="24"/>
        </w:rPr>
        <w:t>(Hague Service Convention).</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xml:space="preserve">Our Rules of Court also provide for service outside of our country.  CRC 5.68 outlines what methods of service are valid.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rPr>
          <w:rFonts w:asciiTheme="minorHAnsi" w:hAnsiTheme="minorHAnsi" w:cstheme="minorHAnsi"/>
          <w:color w:val="000000"/>
          <w:sz w:val="24"/>
          <w:szCs w:val="24"/>
        </w:rPr>
      </w:pPr>
      <w:proofErr w:type="gramStart"/>
      <w:r w:rsidRPr="005E7219">
        <w:rPr>
          <w:rFonts w:asciiTheme="minorHAnsi" w:hAnsiTheme="minorHAnsi" w:cstheme="minorHAnsi"/>
          <w:color w:val="000000"/>
          <w:sz w:val="24"/>
          <w:szCs w:val="24"/>
        </w:rPr>
        <w:t>Rule 5.68.</w:t>
      </w:r>
      <w:proofErr w:type="gramEnd"/>
      <w:r w:rsidRPr="005E7219">
        <w:rPr>
          <w:rFonts w:asciiTheme="minorHAnsi" w:hAnsiTheme="minorHAnsi" w:cstheme="minorHAnsi"/>
          <w:color w:val="000000"/>
          <w:sz w:val="24"/>
          <w:szCs w:val="24"/>
        </w:rPr>
        <w:t xml:space="preserve"> Manner of service of summons and petition; response; jurisdiction</w:t>
      </w:r>
    </w:p>
    <w:p w:rsidR="005E7219" w:rsidRPr="005E7219" w:rsidRDefault="005E7219" w:rsidP="005E7219">
      <w:pPr>
        <w:ind w:left="300" w:hanging="200"/>
        <w:rPr>
          <w:rFonts w:asciiTheme="minorHAnsi" w:hAnsiTheme="minorHAnsi" w:cstheme="minorHAnsi"/>
          <w:color w:val="000000"/>
          <w:sz w:val="24"/>
          <w:szCs w:val="24"/>
        </w:rPr>
      </w:pPr>
      <w:r w:rsidRPr="005E7219">
        <w:rPr>
          <w:rFonts w:asciiTheme="minorHAnsi" w:hAnsiTheme="minorHAnsi" w:cstheme="minorHAnsi"/>
          <w:color w:val="000000"/>
          <w:sz w:val="24"/>
          <w:szCs w:val="24"/>
        </w:rPr>
        <w:t>(a) Service of summons and petition</w:t>
      </w:r>
    </w:p>
    <w:p w:rsidR="005E7219" w:rsidRPr="005E7219" w:rsidRDefault="005E7219" w:rsidP="005E7219">
      <w:pPr>
        <w:ind w:left="340"/>
        <w:rPr>
          <w:rFonts w:asciiTheme="minorHAnsi" w:hAnsiTheme="minorHAnsi" w:cstheme="minorHAnsi"/>
          <w:color w:val="000000"/>
          <w:sz w:val="24"/>
          <w:szCs w:val="24"/>
        </w:rPr>
      </w:pPr>
      <w:r w:rsidRPr="005E7219">
        <w:rPr>
          <w:rFonts w:asciiTheme="minorHAnsi" w:hAnsiTheme="minorHAnsi" w:cstheme="minorHAnsi"/>
          <w:color w:val="000000"/>
          <w:sz w:val="24"/>
          <w:szCs w:val="24"/>
        </w:rPr>
        <w:lastRenderedPageBreak/>
        <w:t>The petitioner must arrange to serve the other party with a summons, petition, and other papers as required by one of the following methods:</w:t>
      </w:r>
    </w:p>
    <w:p w:rsidR="005E7219" w:rsidRPr="005E7219" w:rsidRDefault="005E7219" w:rsidP="005E7219">
      <w:pPr>
        <w:ind w:left="900" w:hanging="400"/>
        <w:rPr>
          <w:rFonts w:asciiTheme="minorHAnsi" w:hAnsiTheme="minorHAnsi" w:cstheme="minorHAnsi"/>
          <w:color w:val="000000"/>
          <w:sz w:val="24"/>
          <w:szCs w:val="24"/>
        </w:rPr>
      </w:pPr>
      <w:r w:rsidRPr="005E7219">
        <w:rPr>
          <w:rFonts w:asciiTheme="minorHAnsi" w:hAnsiTheme="minorHAnsi" w:cstheme="minorHAnsi"/>
          <w:color w:val="000000"/>
          <w:sz w:val="24"/>
          <w:szCs w:val="24"/>
        </w:rPr>
        <w:t>(1</w:t>
      </w:r>
      <w:proofErr w:type="gramStart"/>
      <w:r w:rsidRPr="005E7219">
        <w:rPr>
          <w:rFonts w:asciiTheme="minorHAnsi" w:hAnsiTheme="minorHAnsi" w:cstheme="minorHAnsi"/>
          <w:color w:val="000000"/>
          <w:sz w:val="24"/>
          <w:szCs w:val="24"/>
        </w:rPr>
        <w:t>)</w:t>
      </w:r>
      <w:proofErr w:type="gramEnd"/>
      <w:r w:rsidRPr="005E7219">
        <w:rPr>
          <w:rFonts w:asciiTheme="minorHAnsi" w:hAnsiTheme="minorHAnsi" w:cstheme="minorHAnsi"/>
          <w:noProof/>
          <w:color w:val="000000"/>
          <w:sz w:val="24"/>
          <w:szCs w:val="24"/>
        </w:rPr>
        <w:drawing>
          <wp:inline distT="0" distB="0" distL="0" distR="0">
            <wp:extent cx="76200" cy="9525"/>
            <wp:effectExtent l="0" t="0" r="0" b="0"/>
            <wp:docPr id="1" name="Picture 1" descr="cid:image001.gif@01CFF784.77D7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FF784.77D78330"/>
                    <pic:cNvPicPr>
                      <a:picLocks noChangeAspect="1" noChangeArrowheads="1"/>
                    </pic:cNvPicPr>
                  </pic:nvPicPr>
                  <pic:blipFill>
                    <a:blip r:embed="rId9" r:link="rId10"/>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5E7219">
        <w:rPr>
          <w:rFonts w:asciiTheme="minorHAnsi" w:hAnsiTheme="minorHAnsi" w:cstheme="minorHAnsi"/>
          <w:color w:val="000000"/>
          <w:sz w:val="24"/>
          <w:szCs w:val="24"/>
        </w:rPr>
        <w:t>Personal service (Code Civ. Proc., § 415.10);</w:t>
      </w:r>
    </w:p>
    <w:p w:rsidR="005E7219" w:rsidRPr="005E7219" w:rsidRDefault="005E7219" w:rsidP="005E7219">
      <w:pPr>
        <w:ind w:left="900" w:hanging="400"/>
        <w:rPr>
          <w:rFonts w:asciiTheme="minorHAnsi" w:hAnsiTheme="minorHAnsi" w:cstheme="minorHAnsi"/>
          <w:color w:val="000000"/>
          <w:sz w:val="24"/>
          <w:szCs w:val="24"/>
        </w:rPr>
      </w:pPr>
      <w:r w:rsidRPr="005E7219">
        <w:rPr>
          <w:rFonts w:asciiTheme="minorHAnsi" w:hAnsiTheme="minorHAnsi" w:cstheme="minorHAnsi"/>
          <w:color w:val="000000"/>
          <w:sz w:val="24"/>
          <w:szCs w:val="24"/>
        </w:rPr>
        <w:t>(2</w:t>
      </w:r>
      <w:proofErr w:type="gramStart"/>
      <w:r w:rsidRPr="005E7219">
        <w:rPr>
          <w:rFonts w:asciiTheme="minorHAnsi" w:hAnsiTheme="minorHAnsi" w:cstheme="minorHAnsi"/>
          <w:color w:val="000000"/>
          <w:sz w:val="24"/>
          <w:szCs w:val="24"/>
        </w:rPr>
        <w:t>)</w:t>
      </w:r>
      <w:proofErr w:type="gramEnd"/>
      <w:r w:rsidRPr="005E7219">
        <w:rPr>
          <w:rFonts w:asciiTheme="minorHAnsi" w:hAnsiTheme="minorHAnsi" w:cstheme="minorHAnsi"/>
          <w:noProof/>
          <w:color w:val="000000"/>
          <w:sz w:val="24"/>
          <w:szCs w:val="24"/>
        </w:rPr>
        <w:drawing>
          <wp:inline distT="0" distB="0" distL="0" distR="0">
            <wp:extent cx="76200" cy="9525"/>
            <wp:effectExtent l="0" t="0" r="0" b="0"/>
            <wp:docPr id="2" name="Picture 2" descr="cid:image001.gif@01CFF784.77D7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FF784.77D78330"/>
                    <pic:cNvPicPr>
                      <a:picLocks noChangeAspect="1" noChangeArrowheads="1"/>
                    </pic:cNvPicPr>
                  </pic:nvPicPr>
                  <pic:blipFill>
                    <a:blip r:embed="rId9" r:link="rId10"/>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5E7219">
        <w:rPr>
          <w:rFonts w:asciiTheme="minorHAnsi" w:hAnsiTheme="minorHAnsi" w:cstheme="minorHAnsi"/>
          <w:color w:val="000000"/>
          <w:sz w:val="24"/>
          <w:szCs w:val="24"/>
        </w:rPr>
        <w:t>Substituted service (Code Civ. Proc., § 415.20);</w:t>
      </w:r>
    </w:p>
    <w:p w:rsidR="005E7219" w:rsidRPr="005E7219" w:rsidRDefault="005E7219" w:rsidP="005E7219">
      <w:pPr>
        <w:ind w:left="900" w:hanging="400"/>
        <w:rPr>
          <w:rFonts w:asciiTheme="minorHAnsi" w:hAnsiTheme="minorHAnsi" w:cstheme="minorHAnsi"/>
          <w:color w:val="000000"/>
          <w:sz w:val="24"/>
          <w:szCs w:val="24"/>
        </w:rPr>
      </w:pPr>
      <w:r w:rsidRPr="005E7219">
        <w:rPr>
          <w:rFonts w:asciiTheme="minorHAnsi" w:hAnsiTheme="minorHAnsi" w:cstheme="minorHAnsi"/>
          <w:color w:val="000000"/>
          <w:sz w:val="24"/>
          <w:szCs w:val="24"/>
        </w:rPr>
        <w:t>(3</w:t>
      </w:r>
      <w:proofErr w:type="gramStart"/>
      <w:r w:rsidRPr="005E7219">
        <w:rPr>
          <w:rFonts w:asciiTheme="minorHAnsi" w:hAnsiTheme="minorHAnsi" w:cstheme="minorHAnsi"/>
          <w:color w:val="000000"/>
          <w:sz w:val="24"/>
          <w:szCs w:val="24"/>
        </w:rPr>
        <w:t>)</w:t>
      </w:r>
      <w:proofErr w:type="gramEnd"/>
      <w:r w:rsidRPr="005E7219">
        <w:rPr>
          <w:rFonts w:asciiTheme="minorHAnsi" w:hAnsiTheme="minorHAnsi" w:cstheme="minorHAnsi"/>
          <w:noProof/>
          <w:color w:val="000000"/>
          <w:sz w:val="24"/>
          <w:szCs w:val="24"/>
        </w:rPr>
        <w:drawing>
          <wp:inline distT="0" distB="0" distL="0" distR="0">
            <wp:extent cx="76200" cy="9525"/>
            <wp:effectExtent l="0" t="0" r="0" b="0"/>
            <wp:docPr id="3" name="Picture 3" descr="cid:image001.gif@01CFF784.77D7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CFF784.77D78330"/>
                    <pic:cNvPicPr>
                      <a:picLocks noChangeAspect="1" noChangeArrowheads="1"/>
                    </pic:cNvPicPr>
                  </pic:nvPicPr>
                  <pic:blipFill>
                    <a:blip r:embed="rId9" r:link="rId10"/>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5E7219">
        <w:rPr>
          <w:rFonts w:asciiTheme="minorHAnsi" w:hAnsiTheme="minorHAnsi" w:cstheme="minorHAnsi"/>
          <w:color w:val="000000"/>
          <w:sz w:val="24"/>
          <w:szCs w:val="24"/>
        </w:rPr>
        <w:t>Service by mail with a notice and acknowledgment of receipt (Code Civ. Proc., § 415.30);</w:t>
      </w:r>
    </w:p>
    <w:p w:rsidR="005E7219" w:rsidRPr="005E7219" w:rsidRDefault="005E7219" w:rsidP="005E7219">
      <w:pPr>
        <w:ind w:left="900" w:hanging="400"/>
        <w:rPr>
          <w:rFonts w:asciiTheme="minorHAnsi" w:hAnsiTheme="minorHAnsi" w:cstheme="minorHAnsi"/>
          <w:color w:val="000000"/>
          <w:sz w:val="24"/>
          <w:szCs w:val="24"/>
        </w:rPr>
      </w:pPr>
      <w:r w:rsidRPr="005E7219">
        <w:rPr>
          <w:rFonts w:asciiTheme="minorHAnsi" w:hAnsiTheme="minorHAnsi" w:cstheme="minorHAnsi"/>
          <w:color w:val="000000"/>
          <w:sz w:val="24"/>
          <w:szCs w:val="24"/>
        </w:rPr>
        <w:t>(4</w:t>
      </w:r>
      <w:proofErr w:type="gramStart"/>
      <w:r w:rsidRPr="005E7219">
        <w:rPr>
          <w:rFonts w:asciiTheme="minorHAnsi" w:hAnsiTheme="minorHAnsi" w:cstheme="minorHAnsi"/>
          <w:color w:val="000000"/>
          <w:sz w:val="24"/>
          <w:szCs w:val="24"/>
        </w:rPr>
        <w:t>)</w:t>
      </w:r>
      <w:proofErr w:type="gramEnd"/>
      <w:r w:rsidRPr="005E7219">
        <w:rPr>
          <w:rFonts w:asciiTheme="minorHAnsi" w:hAnsiTheme="minorHAnsi" w:cstheme="minorHAnsi"/>
          <w:noProof/>
          <w:color w:val="000000"/>
          <w:sz w:val="24"/>
          <w:szCs w:val="24"/>
        </w:rPr>
        <w:drawing>
          <wp:inline distT="0" distB="0" distL="0" distR="0">
            <wp:extent cx="76200" cy="9525"/>
            <wp:effectExtent l="0" t="0" r="0" b="0"/>
            <wp:docPr id="4" name="Picture 4" descr="cid:image001.gif@01CFF784.77D7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gif@01CFF784.77D78330"/>
                    <pic:cNvPicPr>
                      <a:picLocks noChangeAspect="1" noChangeArrowheads="1"/>
                    </pic:cNvPicPr>
                  </pic:nvPicPr>
                  <pic:blipFill>
                    <a:blip r:embed="rId9" r:link="rId10"/>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5E7219">
        <w:rPr>
          <w:rFonts w:asciiTheme="minorHAnsi" w:hAnsiTheme="minorHAnsi" w:cstheme="minorHAnsi"/>
          <w:color w:val="000000"/>
          <w:sz w:val="24"/>
          <w:szCs w:val="24"/>
        </w:rPr>
        <w:t>Service on person outside of the state (Code Civ. Proc., § 415.40);</w:t>
      </w:r>
    </w:p>
    <w:p w:rsidR="005E7219" w:rsidRPr="005E7219" w:rsidRDefault="005E7219" w:rsidP="005E7219">
      <w:pPr>
        <w:ind w:left="900" w:hanging="400"/>
        <w:rPr>
          <w:rFonts w:asciiTheme="minorHAnsi" w:hAnsiTheme="minorHAnsi" w:cstheme="minorHAnsi"/>
          <w:color w:val="000000"/>
          <w:sz w:val="24"/>
          <w:szCs w:val="24"/>
        </w:rPr>
      </w:pPr>
      <w:r w:rsidRPr="005E7219">
        <w:rPr>
          <w:rFonts w:asciiTheme="minorHAnsi" w:hAnsiTheme="minorHAnsi" w:cstheme="minorHAnsi"/>
          <w:color w:val="000000"/>
          <w:sz w:val="24"/>
          <w:szCs w:val="24"/>
        </w:rPr>
        <w:t>(5</w:t>
      </w:r>
      <w:proofErr w:type="gramStart"/>
      <w:r w:rsidRPr="005E7219">
        <w:rPr>
          <w:rFonts w:asciiTheme="minorHAnsi" w:hAnsiTheme="minorHAnsi" w:cstheme="minorHAnsi"/>
          <w:color w:val="000000"/>
          <w:sz w:val="24"/>
          <w:szCs w:val="24"/>
        </w:rPr>
        <w:t>)</w:t>
      </w:r>
      <w:proofErr w:type="gramEnd"/>
      <w:r w:rsidRPr="005E7219">
        <w:rPr>
          <w:rFonts w:asciiTheme="minorHAnsi" w:hAnsiTheme="minorHAnsi" w:cstheme="minorHAnsi"/>
          <w:noProof/>
          <w:color w:val="000000"/>
          <w:sz w:val="24"/>
          <w:szCs w:val="24"/>
        </w:rPr>
        <w:drawing>
          <wp:inline distT="0" distB="0" distL="0" distR="0">
            <wp:extent cx="76200" cy="9525"/>
            <wp:effectExtent l="0" t="0" r="0" b="0"/>
            <wp:docPr id="5" name="Picture 5" descr="cid:image001.gif@01CFF784.77D7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gif@01CFF784.77D78330"/>
                    <pic:cNvPicPr>
                      <a:picLocks noChangeAspect="1" noChangeArrowheads="1"/>
                    </pic:cNvPicPr>
                  </pic:nvPicPr>
                  <pic:blipFill>
                    <a:blip r:embed="rId9" r:link="rId10"/>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5E7219">
        <w:rPr>
          <w:rFonts w:asciiTheme="minorHAnsi" w:hAnsiTheme="minorHAnsi" w:cstheme="minorHAnsi"/>
          <w:b/>
          <w:bCs/>
          <w:color w:val="000000"/>
          <w:sz w:val="24"/>
          <w:szCs w:val="24"/>
        </w:rPr>
        <w:t>Service on a person residing outside of the United States, which must be done in compliance with service rules of the following:</w:t>
      </w:r>
    </w:p>
    <w:p w:rsidR="005E7219" w:rsidRPr="005E7219" w:rsidRDefault="005E7219" w:rsidP="005E7219">
      <w:pPr>
        <w:ind w:left="1300" w:hanging="400"/>
        <w:rPr>
          <w:rFonts w:asciiTheme="minorHAnsi" w:hAnsiTheme="minorHAnsi" w:cstheme="minorHAnsi"/>
          <w:color w:val="000000"/>
          <w:sz w:val="24"/>
          <w:szCs w:val="24"/>
        </w:rPr>
      </w:pPr>
      <w:r w:rsidRPr="005E7219">
        <w:rPr>
          <w:rFonts w:asciiTheme="minorHAnsi" w:hAnsiTheme="minorHAnsi" w:cstheme="minorHAnsi"/>
          <w:b/>
          <w:bCs/>
          <w:color w:val="000000"/>
          <w:sz w:val="24"/>
          <w:szCs w:val="24"/>
        </w:rPr>
        <w:t>(A</w:t>
      </w:r>
      <w:proofErr w:type="gramStart"/>
      <w:r w:rsidRPr="005E7219">
        <w:rPr>
          <w:rFonts w:asciiTheme="minorHAnsi" w:hAnsiTheme="minorHAnsi" w:cstheme="minorHAnsi"/>
          <w:b/>
          <w:bCs/>
          <w:color w:val="000000"/>
          <w:sz w:val="24"/>
          <w:szCs w:val="24"/>
        </w:rPr>
        <w:t>)</w:t>
      </w:r>
      <w:proofErr w:type="gramEnd"/>
      <w:r w:rsidRPr="005E7219">
        <w:rPr>
          <w:rFonts w:asciiTheme="minorHAnsi" w:hAnsiTheme="minorHAnsi" w:cstheme="minorHAnsi"/>
          <w:b/>
          <w:bCs/>
          <w:noProof/>
          <w:color w:val="000000"/>
          <w:sz w:val="24"/>
          <w:szCs w:val="24"/>
        </w:rPr>
        <w:drawing>
          <wp:inline distT="0" distB="0" distL="0" distR="0">
            <wp:extent cx="76200" cy="9525"/>
            <wp:effectExtent l="0" t="0" r="0" b="0"/>
            <wp:docPr id="6" name="Picture 6" descr="cid:image001.gif@01CFF784.77D7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gif@01CFF784.77D78330"/>
                    <pic:cNvPicPr>
                      <a:picLocks noChangeAspect="1" noChangeArrowheads="1"/>
                    </pic:cNvPicPr>
                  </pic:nvPicPr>
                  <pic:blipFill>
                    <a:blip r:embed="rId9" r:link="rId10"/>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5E7219">
        <w:rPr>
          <w:rFonts w:asciiTheme="minorHAnsi" w:hAnsiTheme="minorHAnsi" w:cstheme="minorHAnsi"/>
          <w:b/>
          <w:bCs/>
          <w:color w:val="000000"/>
          <w:sz w:val="24"/>
          <w:szCs w:val="24"/>
        </w:rPr>
        <w:t>Hague Convention on the Service Abroad of Judicial and Extrajudicial Documents in Civil or Commercial Matters; or</w:t>
      </w:r>
    </w:p>
    <w:p w:rsidR="005E7219" w:rsidRPr="005E7219" w:rsidRDefault="005E7219" w:rsidP="005E7219">
      <w:pPr>
        <w:ind w:left="1300" w:hanging="400"/>
        <w:rPr>
          <w:rFonts w:asciiTheme="minorHAnsi" w:hAnsiTheme="minorHAnsi" w:cstheme="minorHAnsi"/>
          <w:color w:val="000000"/>
          <w:sz w:val="24"/>
          <w:szCs w:val="24"/>
        </w:rPr>
      </w:pPr>
      <w:r w:rsidRPr="005E7219">
        <w:rPr>
          <w:rFonts w:asciiTheme="minorHAnsi" w:hAnsiTheme="minorHAnsi" w:cstheme="minorHAnsi"/>
          <w:b/>
          <w:bCs/>
          <w:color w:val="000000"/>
          <w:sz w:val="24"/>
          <w:szCs w:val="24"/>
        </w:rPr>
        <w:t>(B</w:t>
      </w:r>
      <w:proofErr w:type="gramStart"/>
      <w:r w:rsidRPr="005E7219">
        <w:rPr>
          <w:rFonts w:asciiTheme="minorHAnsi" w:hAnsiTheme="minorHAnsi" w:cstheme="minorHAnsi"/>
          <w:b/>
          <w:bCs/>
          <w:color w:val="000000"/>
          <w:sz w:val="24"/>
          <w:szCs w:val="24"/>
        </w:rPr>
        <w:t>)</w:t>
      </w:r>
      <w:proofErr w:type="gramEnd"/>
      <w:r w:rsidRPr="005E7219">
        <w:rPr>
          <w:rFonts w:asciiTheme="minorHAnsi" w:hAnsiTheme="minorHAnsi" w:cstheme="minorHAnsi"/>
          <w:b/>
          <w:bCs/>
          <w:noProof/>
          <w:color w:val="000000"/>
          <w:sz w:val="24"/>
          <w:szCs w:val="24"/>
        </w:rPr>
        <w:drawing>
          <wp:inline distT="0" distB="0" distL="0" distR="0">
            <wp:extent cx="76200" cy="9525"/>
            <wp:effectExtent l="0" t="0" r="0" b="0"/>
            <wp:docPr id="7" name="Picture 7" descr="cid:image001.gif@01CFF784.77D7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gif@01CFF784.77D78330"/>
                    <pic:cNvPicPr>
                      <a:picLocks noChangeAspect="1" noChangeArrowheads="1"/>
                    </pic:cNvPicPr>
                  </pic:nvPicPr>
                  <pic:blipFill>
                    <a:blip r:embed="rId9" r:link="rId10"/>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5E7219">
        <w:rPr>
          <w:rFonts w:asciiTheme="minorHAnsi" w:hAnsiTheme="minorHAnsi" w:cstheme="minorHAnsi"/>
          <w:b/>
          <w:bCs/>
          <w:color w:val="000000"/>
          <w:sz w:val="24"/>
          <w:szCs w:val="24"/>
        </w:rPr>
        <w:t xml:space="preserve">Inter-American Convention on Letters </w:t>
      </w:r>
      <w:proofErr w:type="spellStart"/>
      <w:r w:rsidRPr="005E7219">
        <w:rPr>
          <w:rFonts w:asciiTheme="minorHAnsi" w:hAnsiTheme="minorHAnsi" w:cstheme="minorHAnsi"/>
          <w:b/>
          <w:bCs/>
          <w:color w:val="000000"/>
          <w:sz w:val="24"/>
          <w:szCs w:val="24"/>
        </w:rPr>
        <w:t>Rogatory</w:t>
      </w:r>
      <w:proofErr w:type="spellEnd"/>
      <w:r w:rsidRPr="005E7219">
        <w:rPr>
          <w:rFonts w:asciiTheme="minorHAnsi" w:hAnsiTheme="minorHAnsi" w:cstheme="minorHAnsi"/>
          <w:b/>
          <w:bCs/>
          <w:color w:val="000000"/>
          <w:sz w:val="24"/>
          <w:szCs w:val="24"/>
        </w:rPr>
        <w:t xml:space="preserve"> and the Additional Protocol to the Inter-American Convention on Letters </w:t>
      </w:r>
      <w:proofErr w:type="spellStart"/>
      <w:r w:rsidRPr="005E7219">
        <w:rPr>
          <w:rFonts w:asciiTheme="minorHAnsi" w:hAnsiTheme="minorHAnsi" w:cstheme="minorHAnsi"/>
          <w:b/>
          <w:bCs/>
          <w:color w:val="000000"/>
          <w:sz w:val="24"/>
          <w:szCs w:val="24"/>
        </w:rPr>
        <w:t>Rogatory</w:t>
      </w:r>
      <w:proofErr w:type="spellEnd"/>
      <w:r w:rsidRPr="005E7219">
        <w:rPr>
          <w:rFonts w:asciiTheme="minorHAnsi" w:hAnsiTheme="minorHAnsi" w:cstheme="minorHAnsi"/>
          <w:b/>
          <w:bCs/>
          <w:color w:val="000000"/>
          <w:sz w:val="24"/>
          <w:szCs w:val="24"/>
        </w:rPr>
        <w:t>.</w:t>
      </w:r>
    </w:p>
    <w:p w:rsidR="005E7219" w:rsidRPr="005E7219" w:rsidRDefault="005E7219" w:rsidP="005E7219">
      <w:pPr>
        <w:ind w:left="900" w:hanging="400"/>
        <w:rPr>
          <w:rFonts w:asciiTheme="minorHAnsi" w:hAnsiTheme="minorHAnsi" w:cstheme="minorHAnsi"/>
          <w:color w:val="000000"/>
          <w:sz w:val="24"/>
          <w:szCs w:val="24"/>
        </w:rPr>
      </w:pPr>
      <w:r w:rsidRPr="005E7219">
        <w:rPr>
          <w:rFonts w:asciiTheme="minorHAnsi" w:hAnsiTheme="minorHAnsi" w:cstheme="minorHAnsi"/>
          <w:color w:val="000000"/>
          <w:sz w:val="24"/>
          <w:szCs w:val="24"/>
        </w:rPr>
        <w:t>(6</w:t>
      </w:r>
      <w:proofErr w:type="gramStart"/>
      <w:r w:rsidRPr="005E7219">
        <w:rPr>
          <w:rFonts w:asciiTheme="minorHAnsi" w:hAnsiTheme="minorHAnsi" w:cstheme="minorHAnsi"/>
          <w:color w:val="000000"/>
          <w:sz w:val="24"/>
          <w:szCs w:val="24"/>
        </w:rPr>
        <w:t>)</w:t>
      </w:r>
      <w:proofErr w:type="gramEnd"/>
      <w:r w:rsidRPr="005E7219">
        <w:rPr>
          <w:rFonts w:asciiTheme="minorHAnsi" w:hAnsiTheme="minorHAnsi" w:cstheme="minorHAnsi"/>
          <w:noProof/>
          <w:color w:val="000000"/>
          <w:sz w:val="24"/>
          <w:szCs w:val="24"/>
        </w:rPr>
        <w:drawing>
          <wp:inline distT="0" distB="0" distL="0" distR="0">
            <wp:extent cx="76200" cy="9525"/>
            <wp:effectExtent l="0" t="0" r="0" b="0"/>
            <wp:docPr id="8" name="Picture 8" descr="cid:image001.gif@01CFF784.77D7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gif@01CFF784.77D78330"/>
                    <pic:cNvPicPr>
                      <a:picLocks noChangeAspect="1" noChangeArrowheads="1"/>
                    </pic:cNvPicPr>
                  </pic:nvPicPr>
                  <pic:blipFill>
                    <a:blip r:embed="rId9" r:link="rId10"/>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5E7219">
        <w:rPr>
          <w:rFonts w:asciiTheme="minorHAnsi" w:hAnsiTheme="minorHAnsi" w:cstheme="minorHAnsi"/>
          <w:color w:val="000000"/>
          <w:sz w:val="24"/>
          <w:szCs w:val="24"/>
        </w:rPr>
        <w:t>Service by posting or publication (Code Civ. Proc., §§ 415.50 and 413.30).</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xml:space="preserve">Be sure to check the treaty websites for the types of service that a specific country will find acceptable.  For a super-readable overview, check out the </w:t>
      </w:r>
      <w:r w:rsidRPr="005E7219">
        <w:rPr>
          <w:rFonts w:asciiTheme="minorHAnsi" w:hAnsiTheme="minorHAnsi" w:cstheme="minorHAnsi"/>
          <w:color w:val="000000"/>
          <w:sz w:val="24"/>
          <w:szCs w:val="24"/>
          <w:u w:val="single"/>
        </w:rPr>
        <w:t>Practical Handbook on the Operation of the Hague Service Convention</w:t>
      </w:r>
      <w:r w:rsidRPr="005E7219">
        <w:rPr>
          <w:rFonts w:asciiTheme="minorHAnsi" w:hAnsiTheme="minorHAnsi" w:cstheme="minorHAnsi"/>
          <w:color w:val="000000"/>
          <w:sz w:val="24"/>
          <w:szCs w:val="24"/>
        </w:rPr>
        <w:t xml:space="preserve"> it’s on Amazon, $10 download or free for kindle unlimited members.  It beats the price on the HCCH website where it’s sold for 75 </w:t>
      </w:r>
      <w:proofErr w:type="spellStart"/>
      <w:r w:rsidRPr="005E7219">
        <w:rPr>
          <w:rFonts w:asciiTheme="minorHAnsi" w:hAnsiTheme="minorHAnsi" w:cstheme="minorHAnsi"/>
          <w:color w:val="000000"/>
          <w:sz w:val="24"/>
          <w:szCs w:val="24"/>
        </w:rPr>
        <w:t>euros</w:t>
      </w:r>
      <w:proofErr w:type="spellEnd"/>
      <w:r w:rsidRPr="005E7219">
        <w:rPr>
          <w:rFonts w:asciiTheme="minorHAnsi" w:hAnsiTheme="minorHAnsi" w:cstheme="minorHAnsi"/>
          <w:color w:val="000000"/>
          <w:sz w:val="24"/>
          <w:szCs w:val="24"/>
        </w:rPr>
        <w:t xml:space="preserve">.  There’s a free May 2014 draft revision online right now on the HCCH website: </w:t>
      </w:r>
      <w:hyperlink r:id="rId11" w:history="1">
        <w:r w:rsidRPr="005E7219">
          <w:rPr>
            <w:rStyle w:val="Hyperlink"/>
            <w:rFonts w:asciiTheme="minorHAnsi" w:hAnsiTheme="minorHAnsi" w:cstheme="minorHAnsi"/>
            <w:sz w:val="24"/>
            <w:szCs w:val="24"/>
          </w:rPr>
          <w:t>http</w:t>
        </w:r>
      </w:hyperlink>
      <w:hyperlink r:id="rId12" w:history="1">
        <w:proofErr w:type="gramStart"/>
        <w:r w:rsidRPr="005E7219">
          <w:rPr>
            <w:rStyle w:val="Hyperlink"/>
            <w:rFonts w:asciiTheme="minorHAnsi" w:hAnsiTheme="minorHAnsi" w:cstheme="minorHAnsi"/>
            <w:sz w:val="24"/>
            <w:szCs w:val="24"/>
          </w:rPr>
          <w:t>:/</w:t>
        </w:r>
        <w:proofErr w:type="gramEnd"/>
        <w:r w:rsidRPr="005E7219">
          <w:rPr>
            <w:rStyle w:val="Hyperlink"/>
            <w:rFonts w:asciiTheme="minorHAnsi" w:hAnsiTheme="minorHAnsi" w:cstheme="minorHAnsi"/>
            <w:sz w:val="24"/>
            <w:szCs w:val="24"/>
          </w:rPr>
          <w:t>/</w:t>
        </w:r>
      </w:hyperlink>
      <w:hyperlink r:id="rId13" w:history="1">
        <w:r w:rsidRPr="005E7219">
          <w:rPr>
            <w:rStyle w:val="Hyperlink"/>
            <w:rFonts w:asciiTheme="minorHAnsi" w:hAnsiTheme="minorHAnsi" w:cstheme="minorHAnsi"/>
            <w:sz w:val="24"/>
            <w:szCs w:val="24"/>
          </w:rPr>
          <w:t>www.hcch.net/upload/wop/2014/2014sc_pd02en.pdf</w:t>
        </w:r>
      </w:hyperlink>
      <w:r w:rsidRPr="005E7219">
        <w:rPr>
          <w:rFonts w:asciiTheme="minorHAnsi" w:hAnsiTheme="minorHAnsi" w:cstheme="minorHAnsi"/>
          <w:color w:val="000000"/>
          <w:sz w:val="24"/>
          <w:szCs w:val="24"/>
        </w:rPr>
        <w:t xml:space="preserve">.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w:t>
      </w:r>
    </w:p>
    <w:p w:rsidR="005E7219" w:rsidRPr="005E7219" w:rsidRDefault="005E7219" w:rsidP="005E7219">
      <w:pPr>
        <w:rPr>
          <w:rFonts w:asciiTheme="minorHAnsi" w:hAnsiTheme="minorHAnsi" w:cstheme="minorHAnsi"/>
          <w:color w:val="000000"/>
          <w:sz w:val="24"/>
          <w:szCs w:val="24"/>
        </w:rPr>
      </w:pPr>
      <w:r w:rsidRPr="005E7219">
        <w:rPr>
          <w:rFonts w:asciiTheme="minorHAnsi" w:hAnsiTheme="minorHAnsi" w:cstheme="minorHAnsi"/>
          <w:color w:val="000000"/>
          <w:sz w:val="24"/>
          <w:szCs w:val="24"/>
        </w:rPr>
        <w:t xml:space="preserve">The letters </w:t>
      </w:r>
      <w:proofErr w:type="spellStart"/>
      <w:r w:rsidRPr="005E7219">
        <w:rPr>
          <w:rFonts w:asciiTheme="minorHAnsi" w:hAnsiTheme="minorHAnsi" w:cstheme="minorHAnsi"/>
          <w:color w:val="000000"/>
          <w:sz w:val="24"/>
          <w:szCs w:val="24"/>
        </w:rPr>
        <w:t>rogatory</w:t>
      </w:r>
      <w:proofErr w:type="spellEnd"/>
      <w:r w:rsidRPr="005E7219">
        <w:rPr>
          <w:rFonts w:asciiTheme="minorHAnsi" w:hAnsiTheme="minorHAnsi" w:cstheme="minorHAnsi"/>
          <w:color w:val="000000"/>
          <w:sz w:val="24"/>
          <w:szCs w:val="24"/>
        </w:rPr>
        <w:t xml:space="preserve"> panel from the AB 1058 Conference supports best practices – which of course is why we share that sinking feeling when the respondent is not in the US.  We are glad for your questions as we are all striving to find efficient and supportable means of service for customers’ cases.  </w:t>
      </w:r>
    </w:p>
    <w:p w:rsidR="00492776" w:rsidRPr="005E7219" w:rsidRDefault="00492776">
      <w:pPr>
        <w:rPr>
          <w:rFonts w:asciiTheme="minorHAnsi" w:hAnsiTheme="minorHAnsi" w:cstheme="minorHAnsi"/>
          <w:sz w:val="24"/>
          <w:szCs w:val="24"/>
        </w:rPr>
      </w:pPr>
    </w:p>
    <w:sectPr w:rsidR="00492776" w:rsidRPr="005E7219" w:rsidSect="00492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219"/>
    <w:rsid w:val="00492776"/>
    <w:rsid w:val="00495A94"/>
    <w:rsid w:val="005E7219"/>
    <w:rsid w:val="00FF5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E7219"/>
    <w:pPr>
      <w:spacing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FF5013"/>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FF5013"/>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FF5013"/>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FF5013"/>
    <w:pPr>
      <w:spacing w:before="240" w:after="60" w:line="276" w:lineRule="auto"/>
      <w:outlineLvl w:val="5"/>
    </w:pPr>
    <w:rPr>
      <w:rFonts w:asciiTheme="minorHAnsi" w:hAnsiTheme="minorHAnsi"/>
      <w:b/>
      <w:bCs/>
      <w:sz w:val="24"/>
      <w:szCs w:val="24"/>
      <w:lang w:bidi="en-US"/>
    </w:rPr>
  </w:style>
  <w:style w:type="paragraph" w:styleId="Heading7">
    <w:name w:val="heading 7"/>
    <w:basedOn w:val="Normal"/>
    <w:next w:val="Normal"/>
    <w:link w:val="Heading7Char"/>
    <w:uiPriority w:val="9"/>
    <w:semiHidden/>
    <w:unhideWhenUsed/>
    <w:qFormat/>
    <w:rsid w:val="00FF5013"/>
    <w:pPr>
      <w:spacing w:before="240" w:after="60" w:line="276" w:lineRule="auto"/>
      <w:outlineLvl w:val="6"/>
    </w:pPr>
    <w:rPr>
      <w:rFonts w:asciiTheme="minorHAnsi" w:hAnsiTheme="minorHAnsi"/>
      <w:sz w:val="24"/>
      <w:szCs w:val="24"/>
      <w:lang w:bidi="en-US"/>
    </w:rPr>
  </w:style>
  <w:style w:type="paragraph" w:styleId="Heading8">
    <w:name w:val="heading 8"/>
    <w:basedOn w:val="Normal"/>
    <w:next w:val="Normal"/>
    <w:link w:val="Heading8Char"/>
    <w:uiPriority w:val="9"/>
    <w:semiHidden/>
    <w:unhideWhenUsed/>
    <w:qFormat/>
    <w:rsid w:val="00FF5013"/>
    <w:pPr>
      <w:spacing w:before="240" w:after="60" w:line="276" w:lineRule="auto"/>
      <w:outlineLvl w:val="7"/>
    </w:pPr>
    <w:rPr>
      <w:rFonts w:ascii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FF5013"/>
    <w:pPr>
      <w:spacing w:before="240" w:after="60" w:line="276" w:lineRule="auto"/>
      <w:outlineLvl w:val="8"/>
    </w:pPr>
    <w:rPr>
      <w:rFonts w:asciiTheme="majorHAnsi" w:eastAsiaTheme="majorEastAsia" w:hAnsiTheme="majorHAns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01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F501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F5013"/>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F5013"/>
    <w:rPr>
      <w:b/>
      <w:bCs/>
    </w:rPr>
  </w:style>
  <w:style w:type="character" w:customStyle="1" w:styleId="Heading7Char">
    <w:name w:val="Heading 7 Char"/>
    <w:basedOn w:val="DefaultParagraphFont"/>
    <w:link w:val="Heading7"/>
    <w:uiPriority w:val="9"/>
    <w:semiHidden/>
    <w:rsid w:val="00FF5013"/>
    <w:rPr>
      <w:sz w:val="24"/>
      <w:szCs w:val="24"/>
    </w:rPr>
  </w:style>
  <w:style w:type="character" w:customStyle="1" w:styleId="Heading8Char">
    <w:name w:val="Heading 8 Char"/>
    <w:basedOn w:val="DefaultParagraphFont"/>
    <w:link w:val="Heading8"/>
    <w:uiPriority w:val="9"/>
    <w:semiHidden/>
    <w:rsid w:val="00FF5013"/>
    <w:rPr>
      <w:i/>
      <w:iCs/>
      <w:sz w:val="24"/>
      <w:szCs w:val="24"/>
    </w:rPr>
  </w:style>
  <w:style w:type="character" w:customStyle="1" w:styleId="Heading9Char">
    <w:name w:val="Heading 9 Char"/>
    <w:basedOn w:val="DefaultParagraphFont"/>
    <w:link w:val="Heading9"/>
    <w:uiPriority w:val="9"/>
    <w:semiHidden/>
    <w:rsid w:val="00FF5013"/>
    <w:rPr>
      <w:rFonts w:asciiTheme="majorHAnsi" w:eastAsiaTheme="majorEastAsia" w:hAnsiTheme="majorHAnsi"/>
    </w:rPr>
  </w:style>
  <w:style w:type="paragraph" w:styleId="Title">
    <w:name w:val="Title"/>
    <w:basedOn w:val="Normal"/>
    <w:next w:val="Normal"/>
    <w:link w:val="TitleChar"/>
    <w:uiPriority w:val="10"/>
    <w:qFormat/>
    <w:rsid w:val="00FF5013"/>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FF501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5013"/>
    <w:pPr>
      <w:spacing w:after="60" w:line="276" w:lineRule="auto"/>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FF5013"/>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F5013"/>
    <w:pPr>
      <w:outlineLvl w:val="9"/>
    </w:pPr>
  </w:style>
  <w:style w:type="character" w:styleId="Hyperlink">
    <w:name w:val="Hyperlink"/>
    <w:basedOn w:val="DefaultParagraphFont"/>
    <w:uiPriority w:val="99"/>
    <w:semiHidden/>
    <w:unhideWhenUsed/>
    <w:rsid w:val="005E7219"/>
    <w:rPr>
      <w:color w:val="0000FF"/>
      <w:u w:val="single"/>
    </w:rPr>
  </w:style>
  <w:style w:type="paragraph" w:styleId="PlainText">
    <w:name w:val="Plain Text"/>
    <w:basedOn w:val="Normal"/>
    <w:link w:val="PlainTextChar"/>
    <w:uiPriority w:val="99"/>
    <w:semiHidden/>
    <w:unhideWhenUsed/>
    <w:rsid w:val="005E7219"/>
    <w:rPr>
      <w:rFonts w:ascii="Consolas" w:hAnsi="Consolas" w:cs="Consolas"/>
      <w:sz w:val="21"/>
      <w:szCs w:val="21"/>
    </w:rPr>
  </w:style>
  <w:style w:type="character" w:customStyle="1" w:styleId="PlainTextChar">
    <w:name w:val="Plain Text Char"/>
    <w:basedOn w:val="DefaultParagraphFont"/>
    <w:link w:val="PlainText"/>
    <w:uiPriority w:val="99"/>
    <w:semiHidden/>
    <w:rsid w:val="005E7219"/>
    <w:rPr>
      <w:rFonts w:ascii="Consolas" w:hAnsi="Consolas" w:cs="Consolas"/>
      <w:sz w:val="21"/>
      <w:szCs w:val="21"/>
      <w:lang w:bidi="ar-SA"/>
    </w:rPr>
  </w:style>
  <w:style w:type="paragraph" w:styleId="BalloonText">
    <w:name w:val="Balloon Text"/>
    <w:basedOn w:val="Normal"/>
    <w:link w:val="BalloonTextChar"/>
    <w:uiPriority w:val="99"/>
    <w:semiHidden/>
    <w:unhideWhenUsed/>
    <w:rsid w:val="005E7219"/>
    <w:rPr>
      <w:rFonts w:ascii="Tahoma" w:hAnsi="Tahoma" w:cs="Tahoma"/>
      <w:sz w:val="16"/>
      <w:szCs w:val="16"/>
    </w:rPr>
  </w:style>
  <w:style w:type="character" w:customStyle="1" w:styleId="BalloonTextChar">
    <w:name w:val="Balloon Text Char"/>
    <w:basedOn w:val="DefaultParagraphFont"/>
    <w:link w:val="BalloonText"/>
    <w:uiPriority w:val="99"/>
    <w:semiHidden/>
    <w:rsid w:val="005E7219"/>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5209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agle.com/decision/199465622F3d634_1541.xml/KREIMERMAN%20v.%20CASA%20VEERKAMP,%20S.A.%20de%20C.V." TargetMode="External"/><Relationship Id="rId13" Type="http://schemas.openxmlformats.org/officeDocument/2006/relationships/hyperlink" Target="http://www.hcch.net/upload/wop/2014/2014sc_pd02en.pdf" TargetMode="External"/><Relationship Id="rId3" Type="http://schemas.openxmlformats.org/officeDocument/2006/relationships/webSettings" Target="webSettings.xml"/><Relationship Id="rId7" Type="http://schemas.openxmlformats.org/officeDocument/2006/relationships/hyperlink" Target="http://www.leagle.com/decision/199465622F3d634_1541.xml/KREIMERMAN%20v.%20CASA%20VEERKAMP,%20S.A.%20de%20C.V." TargetMode="External"/><Relationship Id="rId12" Type="http://schemas.openxmlformats.org/officeDocument/2006/relationships/hyperlink" Target="http://www.hcch.net/upload/wop/2014/2014sc_pd02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cch.net/upload/outline14e.pdf" TargetMode="External"/><Relationship Id="rId11" Type="http://schemas.openxmlformats.org/officeDocument/2006/relationships/hyperlink" Target="http://www.hcch.net/upload/wop/2014/2014sc_pd02en.pdf" TargetMode="External"/><Relationship Id="rId5" Type="http://schemas.openxmlformats.org/officeDocument/2006/relationships/hyperlink" Target="http://www.leagle.com/decision/199465622F3d634_1541.xml/KREIMERMAN%20v.%20CASA%20VEERKAMP,%20S.A.%20de%20C.V." TargetMode="External"/><Relationship Id="rId15" Type="http://schemas.openxmlformats.org/officeDocument/2006/relationships/theme" Target="theme/theme1.xml"/><Relationship Id="rId10" Type="http://schemas.openxmlformats.org/officeDocument/2006/relationships/image" Target="cid:image001.gif@01CFF784.77D78330" TargetMode="External"/><Relationship Id="rId4" Type="http://schemas.openxmlformats.org/officeDocument/2006/relationships/hyperlink" Target="http://www.leagle.com/decision/199465622F3d634_1541.xml/KREIMERMAN%20v.%20CASA%20VEERKAMP,%20S.A.%20de%20C.V." TargetMode="Externa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1216</Words>
  <Characters>6934</Characters>
  <Application>Microsoft Office Word</Application>
  <DocSecurity>0</DocSecurity>
  <Lines>57</Lines>
  <Paragraphs>16</Paragraphs>
  <ScaleCrop>false</ScaleCrop>
  <Company>Administrative Office of the Courts</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Llop</dc:creator>
  <cp:lastModifiedBy>Cristina Llop</cp:lastModifiedBy>
  <cp:revision>1</cp:revision>
  <dcterms:created xsi:type="dcterms:W3CDTF">2014-11-07T20:49:00Z</dcterms:created>
  <dcterms:modified xsi:type="dcterms:W3CDTF">2014-11-07T20:56:00Z</dcterms:modified>
</cp:coreProperties>
</file>